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Times New Roman" w:hAnsi="Times New Roman" w:eastAsia="黑体" w:cs="Times New Roman"/>
          <w:b/>
          <w:color w:val="auto"/>
          <w:spacing w:val="22"/>
          <w:lang w:eastAsia="zh-CN"/>
        </w:rPr>
      </w:pPr>
      <w:bookmarkStart w:id="119" w:name="_GoBack"/>
      <w:bookmarkEnd w:id="119"/>
      <w:r>
        <w:rPr>
          <w:rFonts w:hint="default" w:ascii="Times New Roman" w:hAnsi="Times New Roman" w:eastAsia="黑体" w:cs="Times New Roman"/>
          <w:b/>
          <w:color w:val="auto"/>
          <w:spacing w:val="22"/>
          <w:lang w:eastAsia="zh-CN"/>
        </w:rPr>
        <mc:AlternateContent>
          <mc:Choice Requires="wps">
            <w:drawing>
              <wp:anchor distT="0" distB="0" distL="114300" distR="114300" simplePos="0" relativeHeight="251661312" behindDoc="0" locked="0" layoutInCell="1" allowOverlap="1">
                <wp:simplePos x="0" y="0"/>
                <wp:positionH relativeFrom="column">
                  <wp:posOffset>3483610</wp:posOffset>
                </wp:positionH>
                <wp:positionV relativeFrom="paragraph">
                  <wp:posOffset>114300</wp:posOffset>
                </wp:positionV>
                <wp:extent cx="1789430" cy="594360"/>
                <wp:effectExtent l="4445" t="4445" r="15875"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89430" cy="594360"/>
                        </a:xfrm>
                        <a:prstGeom prst="rect">
                          <a:avLst/>
                        </a:prstGeom>
                        <a:solidFill>
                          <a:srgbClr val="FFFFFF"/>
                        </a:solidFill>
                        <a:ln w="9525">
                          <a:solidFill>
                            <a:srgbClr val="000000"/>
                          </a:solidFill>
                          <a:miter lim="800000"/>
                        </a:ln>
                        <a:effectLst/>
                      </wps:spPr>
                      <wps:txbx>
                        <w:txbxContent>
                          <w:p>
                            <w:pPr>
                              <w:spacing w:line="400" w:lineRule="exact"/>
                              <w:rPr>
                                <w:rFonts w:ascii="楷体" w:hAnsi="楷体" w:eastAsia="楷体"/>
                                <w:szCs w:val="21"/>
                                <w:lang w:eastAsia="zh-CN"/>
                              </w:rPr>
                            </w:pPr>
                            <w:r>
                              <w:rPr>
                                <w:rFonts w:hint="eastAsia" w:ascii="楷体" w:hAnsi="楷体" w:eastAsia="楷体"/>
                                <w:szCs w:val="21"/>
                                <w:lang w:eastAsia="zh-CN"/>
                              </w:rPr>
                              <w:t>资质等级：水利行业乙级证书编号：A143004740</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4.3pt;margin-top:9pt;height:46.8pt;width:140.9pt;z-index:251661312;mso-width-relative:page;mso-height-relative:page;" fillcolor="#FFFFFF" filled="t" stroked="t" coordsize="21600,21600" o:gfxdata="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t4m+dgAAAAKAQAADwAAAAAAAAABACAA&#10;AAAiAAAAZHJzL2Rvd25yZXYueG1sUEsBAhQAFAAAAAgAh07iQGTpwNdGAgAAlQQAAA4AAAAAAAAA&#10;AQAgAAAAJwEAAGRycy9lMm9Eb2MueG1sUEsFBgAAAAAGAAYAWQEAAN8FAAAAAA==&#10;">
                <v:fill on="t" focussize="0,0"/>
                <v:stroke color="#000000" miterlimit="8" joinstyle="miter"/>
                <v:imagedata o:title=""/>
                <o:lock v:ext="edit" aspectratio="f"/>
                <v:textbox>
                  <w:txbxContent>
                    <w:p>
                      <w:pPr>
                        <w:spacing w:line="400" w:lineRule="exact"/>
                        <w:rPr>
                          <w:rFonts w:ascii="楷体" w:hAnsi="楷体" w:eastAsia="楷体"/>
                          <w:szCs w:val="21"/>
                          <w:lang w:eastAsia="zh-CN"/>
                        </w:rPr>
                      </w:pPr>
                      <w:r>
                        <w:rPr>
                          <w:rFonts w:hint="eastAsia" w:ascii="楷体" w:hAnsi="楷体" w:eastAsia="楷体"/>
                          <w:szCs w:val="21"/>
                          <w:lang w:eastAsia="zh-CN"/>
                        </w:rPr>
                        <w:t>资质等级：水利行业乙级证书编号：A143004740</w:t>
                      </w:r>
                    </w:p>
                  </w:txbxContent>
                </v:textbox>
              </v:shape>
            </w:pict>
          </mc:Fallback>
        </mc:AlternateContent>
      </w:r>
    </w:p>
    <w:p>
      <w:pPr>
        <w:snapToGrid w:val="0"/>
        <w:ind w:firstLine="482"/>
        <w:jc w:val="both"/>
        <w:rPr>
          <w:rFonts w:hint="default" w:ascii="Times New Roman" w:hAnsi="Times New Roman" w:eastAsia="黑体" w:cs="Times New Roman"/>
          <w:color w:val="auto"/>
          <w:spacing w:val="22"/>
          <w:lang w:eastAsia="zh-CN"/>
        </w:rPr>
      </w:pPr>
    </w:p>
    <w:p>
      <w:pPr>
        <w:spacing w:after="0" w:line="360" w:lineRule="auto"/>
        <w:jc w:val="both"/>
        <w:rPr>
          <w:rFonts w:hint="default" w:ascii="Times New Roman" w:hAnsi="Times New Roman" w:cs="Times New Roman"/>
          <w:color w:val="auto"/>
          <w:sz w:val="32"/>
          <w:lang w:eastAsia="zh-CN"/>
        </w:rPr>
      </w:pPr>
    </w:p>
    <w:p>
      <w:pPr>
        <w:spacing w:after="0" w:line="360" w:lineRule="auto"/>
        <w:jc w:val="center"/>
        <w:rPr>
          <w:rFonts w:hint="default" w:ascii="Times New Roman" w:hAnsi="Times New Roman" w:eastAsia="华文中宋" w:cs="Times New Roman"/>
          <w:color w:val="auto"/>
          <w:sz w:val="48"/>
          <w:szCs w:val="48"/>
          <w:lang w:eastAsia="zh-CN"/>
        </w:rPr>
      </w:pPr>
      <w:r>
        <w:rPr>
          <w:rFonts w:hint="default" w:ascii="Times New Roman" w:hAnsi="Times New Roman" w:eastAsia="华文中宋" w:cs="Times New Roman"/>
          <w:b/>
          <w:bCs/>
          <w:color w:val="auto"/>
          <w:sz w:val="52"/>
          <w:szCs w:val="52"/>
          <w:lang w:eastAsia="zh-CN"/>
        </w:rPr>
        <w:t>湖南省</w:t>
      </w:r>
      <w:r>
        <w:rPr>
          <w:rFonts w:hint="default" w:ascii="Times New Roman" w:hAnsi="Times New Roman" w:eastAsia="华文中宋" w:cs="Times New Roman"/>
          <w:b/>
          <w:bCs/>
          <w:color w:val="auto"/>
          <w:sz w:val="52"/>
          <w:szCs w:val="52"/>
          <w:lang w:val="en-US" w:eastAsia="zh-CN"/>
        </w:rPr>
        <w:t xml:space="preserve"> 邵阳市</w:t>
      </w:r>
      <w:r>
        <w:rPr>
          <w:rFonts w:hint="default" w:ascii="Times New Roman" w:hAnsi="Times New Roman" w:eastAsia="华文中宋" w:cs="Times New Roman"/>
          <w:b/>
          <w:bCs/>
          <w:color w:val="auto"/>
          <w:sz w:val="52"/>
          <w:szCs w:val="52"/>
          <w:lang w:eastAsia="zh-CN"/>
        </w:rPr>
        <w:t>双清区</w:t>
      </w:r>
    </w:p>
    <w:p>
      <w:pPr>
        <w:spacing w:line="360" w:lineRule="auto"/>
        <w:ind w:left="2603" w:hanging="2610" w:hangingChars="500"/>
        <w:jc w:val="center"/>
        <w:rPr>
          <w:rFonts w:hint="default" w:ascii="Times New Roman" w:hAnsi="Times New Roman" w:eastAsia="华文中宋" w:cs="Times New Roman"/>
          <w:b/>
          <w:bCs/>
          <w:color w:val="auto"/>
          <w:sz w:val="52"/>
          <w:szCs w:val="52"/>
          <w:lang w:eastAsia="zh-CN"/>
        </w:rPr>
      </w:pPr>
      <w:r>
        <w:rPr>
          <w:rFonts w:hint="default" w:ascii="Times New Roman" w:hAnsi="Times New Roman" w:eastAsia="华文中宋" w:cs="Times New Roman"/>
          <w:b/>
          <w:bCs/>
          <w:color w:val="auto"/>
          <w:sz w:val="52"/>
          <w:szCs w:val="52"/>
          <w:lang w:eastAsia="zh-CN"/>
        </w:rPr>
        <w:t>小（2</w:t>
      </w:r>
      <w:r>
        <w:rPr>
          <w:rFonts w:hint="eastAsia" w:ascii="Times New Roman" w:hAnsi="Times New Roman" w:eastAsia="华文中宋" w:cs="Times New Roman"/>
          <w:b/>
          <w:bCs/>
          <w:color w:val="auto"/>
          <w:sz w:val="52"/>
          <w:szCs w:val="52"/>
          <w:lang w:eastAsia="zh-CN"/>
        </w:rPr>
        <w:t>）</w:t>
      </w:r>
      <w:r>
        <w:rPr>
          <w:rFonts w:hint="default" w:ascii="Times New Roman" w:hAnsi="Times New Roman" w:eastAsia="华文中宋" w:cs="Times New Roman"/>
          <w:b/>
          <w:bCs/>
          <w:color w:val="auto"/>
          <w:sz w:val="52"/>
          <w:szCs w:val="52"/>
          <w:lang w:eastAsia="zh-CN"/>
        </w:rPr>
        <w:t>型水库管理与保护范围</w:t>
      </w:r>
    </w:p>
    <w:p>
      <w:pPr>
        <w:spacing w:line="360" w:lineRule="auto"/>
        <w:ind w:left="2603" w:hanging="2610" w:hangingChars="500"/>
        <w:jc w:val="center"/>
        <w:rPr>
          <w:rFonts w:hint="default" w:ascii="Times New Roman" w:hAnsi="Times New Roman" w:cs="Times New Roman" w:eastAsiaTheme="majorEastAsia"/>
          <w:b/>
          <w:color w:val="auto"/>
          <w:sz w:val="52"/>
          <w:szCs w:val="52"/>
          <w:lang w:eastAsia="zh-CN"/>
        </w:rPr>
      </w:pPr>
      <w:r>
        <w:rPr>
          <w:rFonts w:hint="default" w:ascii="Times New Roman" w:hAnsi="Times New Roman" w:eastAsia="华文中宋" w:cs="Times New Roman"/>
          <w:b/>
          <w:bCs/>
          <w:color w:val="auto"/>
          <w:sz w:val="52"/>
          <w:szCs w:val="52"/>
          <w:lang w:eastAsia="zh-CN"/>
        </w:rPr>
        <w:t>划界方案</w:t>
      </w:r>
    </w:p>
    <w:p>
      <w:pPr>
        <w:ind w:firstLine="883"/>
        <w:jc w:val="both"/>
        <w:rPr>
          <w:rFonts w:hint="default" w:ascii="Times New Roman" w:hAnsi="Times New Roman" w:eastAsia="华文中宋" w:cs="Times New Roman"/>
          <w:color w:val="auto"/>
          <w:sz w:val="36"/>
          <w:szCs w:val="20"/>
          <w:lang w:eastAsia="zh-CN"/>
        </w:rPr>
      </w:pPr>
    </w:p>
    <w:p>
      <w:pPr>
        <w:ind w:firstLine="883"/>
        <w:jc w:val="both"/>
        <w:rPr>
          <w:rFonts w:hint="default" w:ascii="Times New Roman" w:hAnsi="Times New Roman" w:cs="Times New Roman"/>
          <w:b/>
          <w:color w:val="auto"/>
          <w:sz w:val="44"/>
          <w:lang w:eastAsia="zh-CN"/>
        </w:rPr>
      </w:pPr>
    </w:p>
    <w:p>
      <w:pPr>
        <w:spacing w:line="600" w:lineRule="exact"/>
        <w:ind w:firstLine="640" w:firstLineChars="200"/>
        <w:jc w:val="both"/>
        <w:rPr>
          <w:rFonts w:hint="default" w:ascii="Times New Roman" w:hAnsi="Times New Roman" w:eastAsia="华文中宋" w:cs="Times New Roman"/>
          <w:color w:val="auto"/>
          <w:sz w:val="32"/>
          <w:szCs w:val="32"/>
          <w:lang w:eastAsia="zh-CN"/>
        </w:rPr>
      </w:pPr>
      <w:r>
        <w:rPr>
          <w:rFonts w:hint="default" w:ascii="Times New Roman" w:hAnsi="Times New Roman" w:eastAsia="华文中宋" w:cs="Times New Roman"/>
          <w:color w:val="auto"/>
          <w:sz w:val="32"/>
          <w:szCs w:val="32"/>
          <w:lang w:eastAsia="zh-CN"/>
        </w:rPr>
        <w:t>批准单位：双清区人民政府</w:t>
      </w:r>
    </w:p>
    <w:p>
      <w:pPr>
        <w:spacing w:line="600" w:lineRule="exact"/>
        <w:ind w:firstLine="640" w:firstLineChars="200"/>
        <w:jc w:val="both"/>
        <w:rPr>
          <w:rFonts w:hint="default" w:ascii="Times New Roman" w:hAnsi="Times New Roman" w:eastAsia="华文中宋" w:cs="Times New Roman"/>
          <w:color w:val="auto"/>
          <w:sz w:val="32"/>
          <w:szCs w:val="32"/>
          <w:lang w:eastAsia="zh-CN"/>
        </w:rPr>
      </w:pPr>
      <w:r>
        <w:rPr>
          <w:rFonts w:hint="default" w:ascii="Times New Roman" w:hAnsi="Times New Roman" w:eastAsia="华文中宋" w:cs="Times New Roman"/>
          <w:sz w:val="32"/>
          <w:szCs w:val="32"/>
          <w:lang w:eastAsia="zh-CN"/>
        </w:rPr>
        <w:t>审核单位：邵阳市水利局</w:t>
      </w:r>
      <w:r>
        <w:rPr>
          <w:rFonts w:hint="eastAsia" w:ascii="Times New Roman" w:hAnsi="Times New Roman" w:eastAsia="华文中宋" w:cs="Times New Roman"/>
          <w:sz w:val="32"/>
          <w:szCs w:val="32"/>
          <w:lang w:eastAsia="zh-CN"/>
        </w:rPr>
        <w:t>、</w:t>
      </w:r>
      <w:r>
        <w:rPr>
          <w:rFonts w:hint="default" w:ascii="Times New Roman" w:hAnsi="Times New Roman" w:eastAsia="华文中宋" w:cs="Times New Roman"/>
          <w:sz w:val="32"/>
          <w:szCs w:val="32"/>
          <w:lang w:eastAsia="zh-CN"/>
        </w:rPr>
        <w:t>邵阳市自然资源和规划局</w:t>
      </w:r>
    </w:p>
    <w:p>
      <w:pPr>
        <w:spacing w:line="600" w:lineRule="exact"/>
        <w:ind w:firstLine="640" w:firstLineChars="200"/>
        <w:jc w:val="both"/>
        <w:rPr>
          <w:rFonts w:hint="default" w:ascii="Times New Roman" w:hAnsi="Times New Roman" w:eastAsia="华文中宋" w:cs="Times New Roman"/>
          <w:color w:val="auto"/>
          <w:sz w:val="32"/>
          <w:szCs w:val="32"/>
          <w:lang w:eastAsia="zh-CN"/>
        </w:rPr>
      </w:pPr>
      <w:r>
        <w:rPr>
          <w:rFonts w:hint="default" w:ascii="Times New Roman" w:hAnsi="Times New Roman" w:eastAsia="华文中宋" w:cs="Times New Roman"/>
          <w:color w:val="auto"/>
          <w:sz w:val="32"/>
          <w:szCs w:val="32"/>
          <w:lang w:eastAsia="zh-CN"/>
        </w:rPr>
        <w:t>审</w:t>
      </w:r>
      <w:r>
        <w:rPr>
          <w:rFonts w:hint="default" w:ascii="Times New Roman" w:hAnsi="Times New Roman" w:eastAsia="华文中宋" w:cs="Times New Roman"/>
          <w:color w:val="auto"/>
          <w:sz w:val="32"/>
          <w:szCs w:val="32"/>
          <w:lang w:val="en-US" w:eastAsia="zh-CN"/>
        </w:rPr>
        <w:t>查</w:t>
      </w:r>
      <w:r>
        <w:rPr>
          <w:rFonts w:hint="default" w:ascii="Times New Roman" w:hAnsi="Times New Roman" w:eastAsia="华文中宋" w:cs="Times New Roman"/>
          <w:color w:val="auto"/>
          <w:sz w:val="32"/>
          <w:szCs w:val="32"/>
          <w:lang w:eastAsia="zh-CN"/>
        </w:rPr>
        <w:t>单位：双清区</w:t>
      </w:r>
      <w:r>
        <w:rPr>
          <w:rFonts w:hint="default" w:ascii="Times New Roman" w:hAnsi="Times New Roman" w:eastAsia="华文中宋" w:cs="Times New Roman"/>
          <w:color w:val="auto"/>
          <w:sz w:val="32"/>
          <w:szCs w:val="32"/>
          <w:lang w:val="en-US" w:eastAsia="zh-CN"/>
        </w:rPr>
        <w:t>水利</w:t>
      </w:r>
      <w:r>
        <w:rPr>
          <w:rFonts w:hint="default" w:ascii="Times New Roman" w:hAnsi="Times New Roman" w:eastAsia="华文中宋" w:cs="Times New Roman"/>
          <w:color w:val="auto"/>
          <w:sz w:val="32"/>
          <w:szCs w:val="32"/>
          <w:lang w:eastAsia="zh-CN"/>
        </w:rPr>
        <w:t>局、双清区自然资源局</w:t>
      </w:r>
    </w:p>
    <w:p>
      <w:pPr>
        <w:spacing w:line="600" w:lineRule="exact"/>
        <w:ind w:firstLine="640" w:firstLineChars="200"/>
        <w:jc w:val="both"/>
        <w:rPr>
          <w:rFonts w:hint="default" w:ascii="Times New Roman" w:hAnsi="Times New Roman" w:eastAsia="华文中宋" w:cs="Times New Roman"/>
          <w:color w:val="auto"/>
          <w:sz w:val="32"/>
          <w:szCs w:val="32"/>
          <w:lang w:eastAsia="zh-CN"/>
        </w:rPr>
      </w:pPr>
      <w:r>
        <w:rPr>
          <w:rFonts w:hint="default" w:ascii="Times New Roman" w:hAnsi="Times New Roman" w:eastAsia="华文中宋" w:cs="Times New Roman"/>
          <w:color w:val="auto"/>
          <w:sz w:val="32"/>
          <w:szCs w:val="32"/>
          <w:lang w:eastAsia="zh-CN"/>
        </w:rPr>
        <w:t>编制单位：湖南省第二测绘院</w:t>
      </w:r>
    </w:p>
    <w:p>
      <w:pPr>
        <w:spacing w:line="600" w:lineRule="exact"/>
        <w:ind w:firstLine="2240" w:firstLineChars="700"/>
        <w:jc w:val="both"/>
        <w:rPr>
          <w:rFonts w:hint="default" w:ascii="Times New Roman" w:hAnsi="Times New Roman" w:eastAsia="华文中宋" w:cs="Times New Roman"/>
          <w:color w:val="auto"/>
          <w:sz w:val="32"/>
          <w:szCs w:val="32"/>
          <w:lang w:eastAsia="zh-CN"/>
        </w:rPr>
      </w:pPr>
      <w:r>
        <w:rPr>
          <w:rFonts w:hint="default" w:ascii="Times New Roman" w:hAnsi="Times New Roman" w:eastAsia="华文中宋" w:cs="Times New Roman"/>
          <w:color w:val="auto"/>
          <w:sz w:val="32"/>
          <w:szCs w:val="32"/>
          <w:lang w:eastAsia="zh-CN"/>
        </w:rPr>
        <w:t>邵阳市水利水电勘测设计院</w:t>
      </w:r>
    </w:p>
    <w:p>
      <w:pPr>
        <w:spacing w:line="600" w:lineRule="exact"/>
        <w:jc w:val="center"/>
        <w:rPr>
          <w:rFonts w:hint="default" w:ascii="Times New Roman" w:hAnsi="Times New Roman" w:eastAsia="华文中宋" w:cs="Times New Roman"/>
          <w:color w:val="auto"/>
          <w:sz w:val="32"/>
          <w:szCs w:val="32"/>
          <w:lang w:eastAsia="zh-CN"/>
        </w:rPr>
      </w:pPr>
      <w:r>
        <w:rPr>
          <w:rFonts w:hint="default" w:ascii="Times New Roman" w:hAnsi="Times New Roman" w:eastAsia="华文中宋" w:cs="Times New Roman"/>
          <w:color w:val="auto"/>
          <w:sz w:val="32"/>
          <w:szCs w:val="32"/>
          <w:lang w:eastAsia="zh-CN"/>
        </w:rPr>
        <w:t>二〇二</w:t>
      </w:r>
      <w:r>
        <w:rPr>
          <w:rFonts w:hint="eastAsia" w:ascii="Times New Roman" w:hAnsi="Times New Roman" w:eastAsia="华文中宋" w:cs="Times New Roman"/>
          <w:color w:val="auto"/>
          <w:sz w:val="32"/>
          <w:szCs w:val="32"/>
          <w:lang w:val="en-US" w:eastAsia="zh-CN"/>
        </w:rPr>
        <w:t>二</w:t>
      </w:r>
      <w:r>
        <w:rPr>
          <w:rFonts w:hint="default" w:ascii="Times New Roman" w:hAnsi="Times New Roman" w:eastAsia="华文中宋" w:cs="Times New Roman"/>
          <w:color w:val="auto"/>
          <w:sz w:val="32"/>
          <w:szCs w:val="32"/>
          <w:lang w:eastAsia="zh-CN"/>
        </w:rPr>
        <w:t>年</w:t>
      </w:r>
      <w:r>
        <w:rPr>
          <w:rFonts w:hint="eastAsia" w:ascii="Times New Roman" w:hAnsi="Times New Roman" w:eastAsia="华文中宋" w:cs="Times New Roman"/>
          <w:color w:val="auto"/>
          <w:sz w:val="32"/>
          <w:szCs w:val="32"/>
          <w:lang w:val="en-US" w:eastAsia="zh-CN"/>
        </w:rPr>
        <w:t>二</w:t>
      </w:r>
      <w:r>
        <w:rPr>
          <w:rFonts w:hint="default" w:ascii="Times New Roman" w:hAnsi="Times New Roman" w:eastAsia="华文中宋" w:cs="Times New Roman"/>
          <w:color w:val="auto"/>
          <w:sz w:val="32"/>
          <w:szCs w:val="32"/>
          <w:lang w:eastAsia="zh-CN"/>
        </w:rPr>
        <w:t>月</w:t>
      </w:r>
    </w:p>
    <w:p>
      <w:pPr>
        <w:spacing w:after="0" w:line="360" w:lineRule="auto"/>
        <w:jc w:val="center"/>
        <w:rPr>
          <w:rFonts w:hint="default" w:ascii="Times New Roman" w:hAnsi="Times New Roman" w:eastAsia="黑体" w:cs="Times New Roman"/>
          <w:b/>
          <w:spacing w:val="-20"/>
          <w:sz w:val="44"/>
          <w:szCs w:val="44"/>
          <w:lang w:val="en-US" w:eastAsia="zh-CN"/>
        </w:rPr>
      </w:pPr>
    </w:p>
    <w:p>
      <w:pPr>
        <w:spacing w:after="0" w:line="360" w:lineRule="auto"/>
        <w:jc w:val="center"/>
        <w:rPr>
          <w:rFonts w:hint="default" w:ascii="Times New Roman" w:hAnsi="Times New Roman" w:eastAsia="黑体" w:cs="Times New Roman"/>
          <w:b/>
          <w:spacing w:val="-20"/>
          <w:sz w:val="44"/>
          <w:szCs w:val="44"/>
          <w:lang w:val="en-US" w:eastAsia="zh-CN"/>
        </w:rPr>
      </w:pPr>
    </w:p>
    <w:p>
      <w:pPr>
        <w:spacing w:after="0" w:line="360" w:lineRule="auto"/>
        <w:jc w:val="center"/>
        <w:rPr>
          <w:rFonts w:hint="default" w:ascii="Times New Roman" w:hAnsi="Times New Roman" w:eastAsia="黑体" w:cs="Times New Roman"/>
          <w:b/>
          <w:spacing w:val="-20"/>
          <w:sz w:val="44"/>
          <w:szCs w:val="44"/>
          <w:lang w:val="en-US" w:eastAsia="zh-CN"/>
        </w:rPr>
      </w:pPr>
    </w:p>
    <w:p>
      <w:pPr>
        <w:spacing w:after="0" w:line="360" w:lineRule="auto"/>
        <w:jc w:val="center"/>
        <w:rPr>
          <w:rFonts w:hint="default" w:ascii="Times New Roman" w:hAnsi="Times New Roman" w:eastAsia="黑体" w:cs="Times New Roman"/>
          <w:b/>
          <w:spacing w:val="-20"/>
          <w:sz w:val="44"/>
          <w:szCs w:val="44"/>
          <w:lang w:val="en-US" w:eastAsia="zh-CN"/>
        </w:rPr>
      </w:pPr>
    </w:p>
    <w:p>
      <w:pPr>
        <w:spacing w:after="0" w:line="360" w:lineRule="auto"/>
        <w:jc w:val="center"/>
        <w:rPr>
          <w:rFonts w:hint="default" w:ascii="Times New Roman" w:hAnsi="Times New Roman" w:eastAsia="黑体" w:cs="Times New Roman"/>
          <w:b/>
          <w:spacing w:val="-20"/>
          <w:sz w:val="44"/>
          <w:szCs w:val="44"/>
          <w:lang w:val="en-US" w:eastAsia="zh-CN"/>
        </w:rPr>
      </w:pPr>
    </w:p>
    <w:p>
      <w:pPr>
        <w:spacing w:after="0" w:line="360" w:lineRule="auto"/>
        <w:jc w:val="center"/>
        <w:rPr>
          <w:rFonts w:hint="default" w:ascii="Times New Roman" w:hAnsi="Times New Roman" w:eastAsia="黑体" w:cs="Times New Roman"/>
          <w:b/>
          <w:spacing w:val="-20"/>
          <w:sz w:val="44"/>
          <w:szCs w:val="44"/>
          <w:lang w:val="en-US" w:eastAsia="zh-CN"/>
        </w:rPr>
      </w:pPr>
    </w:p>
    <w:p>
      <w:pPr>
        <w:spacing w:after="0" w:line="360" w:lineRule="auto"/>
        <w:jc w:val="center"/>
        <w:rPr>
          <w:rFonts w:hint="default" w:ascii="Times New Roman" w:hAnsi="Times New Roman" w:eastAsia="黑体" w:cs="Times New Roman"/>
          <w:b/>
          <w:spacing w:val="-20"/>
          <w:sz w:val="44"/>
          <w:szCs w:val="44"/>
          <w:lang w:eastAsia="zh-CN"/>
        </w:rPr>
      </w:pPr>
      <w:r>
        <w:rPr>
          <w:rFonts w:hint="default" w:ascii="Times New Roman" w:hAnsi="Times New Roman" w:eastAsia="黑体" w:cs="Times New Roman"/>
          <w:b/>
          <w:spacing w:val="-20"/>
          <w:sz w:val="44"/>
          <w:szCs w:val="44"/>
          <w:lang w:val="en-US" w:eastAsia="zh-CN"/>
        </w:rPr>
        <w:t>邵阳市</w:t>
      </w:r>
      <w:r>
        <w:rPr>
          <w:rFonts w:hint="default" w:ascii="Times New Roman" w:hAnsi="Times New Roman" w:eastAsia="黑体" w:cs="Times New Roman"/>
          <w:b/>
          <w:spacing w:val="-20"/>
          <w:sz w:val="44"/>
          <w:szCs w:val="44"/>
          <w:lang w:eastAsia="zh-CN"/>
        </w:rPr>
        <w:t>双清区小（2</w:t>
      </w:r>
      <w:r>
        <w:rPr>
          <w:rFonts w:hint="eastAsia" w:ascii="Times New Roman" w:hAnsi="Times New Roman" w:eastAsia="黑体" w:cs="Times New Roman"/>
          <w:b/>
          <w:spacing w:val="-20"/>
          <w:sz w:val="44"/>
          <w:szCs w:val="44"/>
          <w:lang w:eastAsia="zh-CN"/>
        </w:rPr>
        <w:t>）</w:t>
      </w:r>
      <w:r>
        <w:rPr>
          <w:rFonts w:hint="default" w:ascii="Times New Roman" w:hAnsi="Times New Roman" w:eastAsia="黑体" w:cs="Times New Roman"/>
          <w:b/>
          <w:spacing w:val="-20"/>
          <w:sz w:val="44"/>
          <w:szCs w:val="44"/>
          <w:lang w:eastAsia="zh-CN"/>
        </w:rPr>
        <w:t>型水库</w:t>
      </w:r>
    </w:p>
    <w:p>
      <w:pPr>
        <w:spacing w:after="0" w:line="360" w:lineRule="auto"/>
        <w:jc w:val="center"/>
        <w:rPr>
          <w:rFonts w:hint="default" w:ascii="Times New Roman" w:hAnsi="Times New Roman" w:eastAsia="黑体" w:cs="Times New Roman"/>
          <w:b/>
          <w:spacing w:val="-20"/>
          <w:sz w:val="44"/>
          <w:szCs w:val="44"/>
          <w:lang w:eastAsia="zh-CN"/>
        </w:rPr>
      </w:pPr>
      <w:r>
        <w:rPr>
          <w:rFonts w:hint="default" w:ascii="Times New Roman" w:hAnsi="Times New Roman" w:eastAsia="黑体" w:cs="Times New Roman"/>
          <w:b/>
          <w:spacing w:val="-20"/>
          <w:sz w:val="44"/>
          <w:szCs w:val="44"/>
          <w:lang w:eastAsia="zh-CN"/>
        </w:rPr>
        <w:t>管理与保护范围划界方案</w:t>
      </w:r>
    </w:p>
    <w:p>
      <w:pPr>
        <w:snapToGrid w:val="0"/>
        <w:spacing w:before="240" w:beforeLines="100" w:after="120" w:afterLines="50" w:line="400" w:lineRule="exact"/>
        <w:ind w:firstLine="1321" w:firstLineChars="550"/>
        <w:jc w:val="both"/>
        <w:rPr>
          <w:rFonts w:hint="default" w:ascii="Times New Roman" w:hAnsi="Times New Roman" w:cs="Times New Roman"/>
          <w:b/>
          <w:color w:val="auto"/>
          <w:sz w:val="24"/>
          <w:lang w:val="en-US" w:eastAsia="zh-CN"/>
        </w:rPr>
      </w:pPr>
      <w:r>
        <w:rPr>
          <w:rFonts w:hint="default" w:ascii="Times New Roman" w:hAnsi="Times New Roman" w:cs="Times New Roman"/>
          <w:b/>
          <w:color w:val="auto"/>
          <w:sz w:val="24"/>
          <w:lang w:eastAsia="zh-CN"/>
        </w:rPr>
        <w:t>批      准：</w:t>
      </w:r>
      <w:r>
        <w:rPr>
          <w:rFonts w:hint="default" w:ascii="Times New Roman" w:hAnsi="Times New Roman" w:cs="Times New Roman"/>
          <w:b/>
          <w:color w:val="auto"/>
          <w:sz w:val="24"/>
          <w:lang w:val="en-US" w:eastAsia="zh-CN"/>
        </w:rPr>
        <w:t>李雄文</w:t>
      </w:r>
      <w:r>
        <w:rPr>
          <w:rFonts w:hint="default" w:ascii="Times New Roman" w:hAnsi="Times New Roman" w:cs="Times New Roman"/>
          <w:b/>
          <w:color w:val="auto"/>
          <w:sz w:val="24"/>
          <w:lang w:eastAsia="zh-CN"/>
        </w:rPr>
        <w:t>、王  飚</w:t>
      </w:r>
    </w:p>
    <w:p>
      <w:pPr>
        <w:snapToGrid w:val="0"/>
        <w:spacing w:before="240" w:beforeLines="100" w:after="120" w:afterLines="50" w:line="400" w:lineRule="exact"/>
        <w:ind w:firstLine="1321" w:firstLineChars="550"/>
        <w:jc w:val="both"/>
        <w:rPr>
          <w:rFonts w:hint="default" w:ascii="Times New Roman" w:hAnsi="Times New Roman" w:cs="Times New Roman"/>
          <w:b/>
          <w:color w:val="auto"/>
          <w:sz w:val="24"/>
          <w:lang w:val="en-US" w:eastAsia="zh-CN"/>
        </w:rPr>
      </w:pPr>
      <w:r>
        <w:rPr>
          <w:rFonts w:hint="default" w:ascii="Times New Roman" w:hAnsi="Times New Roman" w:cs="Times New Roman"/>
          <w:b/>
          <w:color w:val="auto"/>
          <w:sz w:val="24"/>
          <w:lang w:eastAsia="zh-CN"/>
        </w:rPr>
        <w:t>核      定：</w:t>
      </w:r>
      <w:r>
        <w:rPr>
          <w:rFonts w:hint="default" w:ascii="Times New Roman" w:hAnsi="Times New Roman" w:cs="Times New Roman"/>
          <w:b/>
          <w:color w:val="auto"/>
          <w:sz w:val="24"/>
          <w:lang w:val="en-US" w:eastAsia="zh-CN"/>
        </w:rPr>
        <w:t>高磊、杨光球</w:t>
      </w:r>
    </w:p>
    <w:p>
      <w:pPr>
        <w:snapToGrid w:val="0"/>
        <w:spacing w:before="240" w:beforeLines="100" w:after="120" w:afterLines="50" w:line="400" w:lineRule="exact"/>
        <w:ind w:firstLine="1321" w:firstLineChars="550"/>
        <w:jc w:val="both"/>
        <w:rPr>
          <w:rFonts w:hint="default" w:ascii="Times New Roman" w:hAnsi="Times New Roman" w:cs="Times New Roman"/>
          <w:b/>
          <w:color w:val="auto"/>
          <w:sz w:val="24"/>
          <w:lang w:val="en-US" w:eastAsia="zh-CN"/>
        </w:rPr>
      </w:pPr>
      <w:r>
        <w:rPr>
          <w:rFonts w:hint="default" w:ascii="Times New Roman" w:hAnsi="Times New Roman" w:cs="Times New Roman"/>
          <w:b/>
          <w:color w:val="auto"/>
          <w:sz w:val="24"/>
          <w:lang w:eastAsia="zh-CN"/>
        </w:rPr>
        <w:t>审      查：</w:t>
      </w:r>
      <w:r>
        <w:rPr>
          <w:rFonts w:hint="default" w:ascii="Times New Roman" w:hAnsi="Times New Roman" w:cs="Times New Roman"/>
          <w:b/>
          <w:color w:val="auto"/>
          <w:sz w:val="24"/>
          <w:lang w:val="en-US" w:eastAsia="zh-CN"/>
        </w:rPr>
        <w:t>李雄文</w:t>
      </w:r>
      <w:r>
        <w:rPr>
          <w:rFonts w:hint="default" w:ascii="Times New Roman" w:hAnsi="Times New Roman" w:cs="Times New Roman"/>
          <w:b/>
          <w:color w:val="auto"/>
          <w:sz w:val="24"/>
          <w:lang w:eastAsia="zh-CN"/>
        </w:rPr>
        <w:t>、王  飚</w:t>
      </w:r>
    </w:p>
    <w:p>
      <w:pPr>
        <w:snapToGrid w:val="0"/>
        <w:spacing w:before="240" w:beforeLines="100" w:after="120" w:afterLines="50" w:line="400" w:lineRule="exact"/>
        <w:ind w:firstLine="1321" w:firstLineChars="550"/>
        <w:jc w:val="both"/>
        <w:rPr>
          <w:rFonts w:hint="default" w:ascii="Times New Roman" w:hAnsi="Times New Roman" w:cs="Times New Roman"/>
          <w:b/>
          <w:color w:val="auto"/>
          <w:sz w:val="24"/>
          <w:lang w:eastAsia="zh-CN"/>
        </w:rPr>
      </w:pPr>
      <w:r>
        <w:rPr>
          <w:rFonts w:hint="default" w:ascii="Times New Roman" w:hAnsi="Times New Roman" w:cs="Times New Roman"/>
          <w:b/>
          <w:color w:val="auto"/>
          <w:sz w:val="24"/>
          <w:lang w:eastAsia="zh-CN"/>
        </w:rPr>
        <w:t>项目负责人：胡勇擎、李  健</w:t>
      </w:r>
    </w:p>
    <w:p>
      <w:pPr>
        <w:snapToGrid w:val="0"/>
        <w:spacing w:before="240" w:beforeLines="100" w:after="120" w:afterLines="50" w:line="400" w:lineRule="exact"/>
        <w:ind w:firstLine="1321" w:firstLineChars="550"/>
        <w:jc w:val="both"/>
        <w:rPr>
          <w:rFonts w:hint="default" w:ascii="Times New Roman" w:hAnsi="Times New Roman" w:cs="Times New Roman"/>
          <w:b/>
          <w:color w:val="auto"/>
          <w:sz w:val="24"/>
          <w:lang w:eastAsia="zh-CN"/>
        </w:rPr>
      </w:pPr>
      <w:r>
        <w:rPr>
          <w:rFonts w:hint="default" w:ascii="Times New Roman" w:hAnsi="Times New Roman" w:cs="Times New Roman"/>
          <w:b/>
          <w:color w:val="auto"/>
          <w:sz w:val="24"/>
          <w:lang w:eastAsia="zh-CN"/>
        </w:rPr>
        <w:t>技术负责人：</w:t>
      </w:r>
      <w:r>
        <w:rPr>
          <w:rFonts w:hint="default" w:ascii="Times New Roman" w:hAnsi="Times New Roman" w:cs="Times New Roman"/>
          <w:b/>
          <w:color w:val="auto"/>
          <w:sz w:val="24"/>
          <w:lang w:val="en-US" w:eastAsia="zh-CN"/>
        </w:rPr>
        <w:t>李雄文</w:t>
      </w:r>
      <w:r>
        <w:rPr>
          <w:rFonts w:hint="default" w:ascii="Times New Roman" w:hAnsi="Times New Roman" w:cs="Times New Roman"/>
          <w:b/>
          <w:color w:val="auto"/>
          <w:sz w:val="24"/>
          <w:lang w:eastAsia="zh-CN"/>
        </w:rPr>
        <w:t>、王  飚</w:t>
      </w:r>
    </w:p>
    <w:p>
      <w:pPr>
        <w:snapToGrid w:val="0"/>
        <w:spacing w:before="240" w:beforeLines="100" w:after="120" w:afterLines="50" w:line="400" w:lineRule="exact"/>
        <w:ind w:firstLine="1321" w:firstLineChars="550"/>
        <w:jc w:val="both"/>
        <w:rPr>
          <w:rFonts w:hint="default" w:ascii="Times New Roman" w:hAnsi="Times New Roman" w:cs="Times New Roman"/>
          <w:b/>
          <w:color w:val="auto"/>
          <w:sz w:val="24"/>
          <w:lang w:eastAsia="zh-CN"/>
        </w:rPr>
      </w:pPr>
      <w:r>
        <w:rPr>
          <w:rFonts w:hint="default" w:ascii="Times New Roman" w:hAnsi="Times New Roman" w:cs="Times New Roman"/>
          <w:b/>
          <w:color w:val="auto"/>
          <w:sz w:val="24"/>
          <w:lang w:eastAsia="zh-CN"/>
        </w:rPr>
        <w:t>专业负责人：胡勇擎、李  健</w:t>
      </w:r>
    </w:p>
    <w:p>
      <w:pPr>
        <w:snapToGrid w:val="0"/>
        <w:spacing w:before="240" w:beforeLines="100" w:after="120" w:afterLines="50" w:line="400" w:lineRule="exact"/>
        <w:ind w:firstLine="1321" w:firstLineChars="550"/>
        <w:jc w:val="both"/>
        <w:rPr>
          <w:rFonts w:hint="default" w:ascii="Times New Roman" w:hAnsi="Times New Roman" w:cs="Times New Roman"/>
          <w:b/>
          <w:color w:val="auto"/>
          <w:sz w:val="24"/>
          <w:lang w:eastAsia="zh-CN"/>
        </w:rPr>
      </w:pPr>
      <w:r>
        <w:rPr>
          <w:rFonts w:hint="default" w:ascii="Times New Roman" w:hAnsi="Times New Roman" w:cs="Times New Roman"/>
          <w:b/>
          <w:color w:val="auto"/>
          <w:sz w:val="24"/>
          <w:lang w:eastAsia="zh-CN"/>
        </w:rPr>
        <w:t>校      核：胡勇擎、李  健</w:t>
      </w:r>
    </w:p>
    <w:p>
      <w:pPr>
        <w:snapToGrid w:val="0"/>
        <w:spacing w:before="240" w:beforeLines="100" w:after="120" w:afterLines="50" w:line="400" w:lineRule="exact"/>
        <w:ind w:firstLine="1321" w:firstLineChars="550"/>
        <w:jc w:val="both"/>
        <w:rPr>
          <w:rFonts w:hint="default" w:ascii="Times New Roman" w:hAnsi="Times New Roman" w:cs="Times New Roman"/>
          <w:b/>
          <w:color w:val="auto"/>
          <w:sz w:val="24"/>
          <w:lang w:eastAsia="zh-CN"/>
        </w:rPr>
      </w:pPr>
      <w:r>
        <w:rPr>
          <w:rFonts w:hint="default" w:ascii="Times New Roman" w:hAnsi="Times New Roman" w:cs="Times New Roman"/>
          <w:b/>
          <w:color w:val="auto"/>
          <w:sz w:val="24"/>
          <w:lang w:eastAsia="zh-CN"/>
        </w:rPr>
        <w:t>参与人员：</w:t>
      </w:r>
    </w:p>
    <w:p>
      <w:pPr>
        <w:snapToGrid w:val="0"/>
        <w:spacing w:before="120" w:beforeLines="50" w:line="400" w:lineRule="exact"/>
        <w:ind w:firstLine="2401" w:firstLineChars="1000"/>
        <w:rPr>
          <w:rFonts w:hint="default" w:ascii="Times New Roman" w:hAnsi="Times New Roman" w:cs="Times New Roman"/>
          <w:b/>
          <w:color w:val="auto"/>
          <w:sz w:val="24"/>
          <w:lang w:eastAsia="zh-CN"/>
        </w:rPr>
      </w:pPr>
      <w:r>
        <w:rPr>
          <w:rFonts w:hint="default" w:ascii="Times New Roman" w:hAnsi="Times New Roman" w:cs="Times New Roman"/>
          <w:b/>
          <w:color w:val="auto"/>
          <w:sz w:val="24"/>
          <w:lang w:eastAsia="zh-CN"/>
        </w:rPr>
        <w:t>水文专业：伏岩</w:t>
      </w:r>
    </w:p>
    <w:p>
      <w:pPr>
        <w:snapToGrid w:val="0"/>
        <w:spacing w:before="120" w:beforeLines="50" w:line="400" w:lineRule="exact"/>
        <w:ind w:firstLine="2401" w:firstLineChars="1000"/>
        <w:rPr>
          <w:rFonts w:hint="default" w:ascii="Times New Roman" w:hAnsi="Times New Roman" w:cs="Times New Roman"/>
          <w:b/>
          <w:color w:val="auto"/>
          <w:sz w:val="24"/>
          <w:lang w:eastAsia="zh-CN"/>
        </w:rPr>
      </w:pPr>
      <w:r>
        <w:rPr>
          <w:rFonts w:hint="default" w:ascii="Times New Roman" w:hAnsi="Times New Roman" w:cs="Times New Roman"/>
          <w:b/>
          <w:color w:val="auto"/>
          <w:sz w:val="24"/>
          <w:lang w:eastAsia="zh-CN"/>
        </w:rPr>
        <w:t>水工专业：魏传健、李良军</w:t>
      </w:r>
    </w:p>
    <w:p>
      <w:pPr>
        <w:snapToGrid w:val="0"/>
        <w:spacing w:before="120" w:beforeLines="50" w:line="400" w:lineRule="exact"/>
        <w:ind w:firstLine="2401" w:firstLineChars="1000"/>
        <w:rPr>
          <w:rFonts w:hint="default" w:ascii="Times New Roman" w:hAnsi="Times New Roman" w:cs="Times New Roman"/>
          <w:b/>
          <w:color w:val="auto"/>
          <w:sz w:val="24"/>
          <w:lang w:val="en-US" w:eastAsia="zh-CN"/>
        </w:rPr>
      </w:pPr>
      <w:r>
        <w:rPr>
          <w:rFonts w:hint="default" w:ascii="Times New Roman" w:hAnsi="Times New Roman" w:cs="Times New Roman"/>
          <w:b/>
          <w:color w:val="auto"/>
          <w:sz w:val="24"/>
          <w:lang w:eastAsia="zh-CN"/>
        </w:rPr>
        <w:t>测绘专业：</w:t>
      </w:r>
      <w:r>
        <w:rPr>
          <w:rFonts w:hint="default" w:ascii="Times New Roman" w:hAnsi="Times New Roman" w:cs="Times New Roman"/>
          <w:b/>
          <w:color w:val="auto"/>
          <w:sz w:val="24"/>
          <w:lang w:val="en-US" w:eastAsia="zh-CN"/>
        </w:rPr>
        <w:t>刘风、李海</w:t>
      </w:r>
    </w:p>
    <w:p>
      <w:pPr>
        <w:snapToGrid w:val="0"/>
        <w:spacing w:before="240" w:beforeLines="100" w:after="120" w:afterLines="50" w:line="360" w:lineRule="auto"/>
        <w:ind w:firstLine="2401" w:firstLineChars="1000"/>
        <w:rPr>
          <w:rFonts w:hint="default" w:ascii="Times New Roman" w:hAnsi="Times New Roman" w:eastAsia="宋体" w:cs="Times New Roman"/>
          <w:color w:val="auto"/>
          <w:sz w:val="24"/>
          <w:szCs w:val="24"/>
          <w:lang w:val="en-US" w:eastAsia="zh-CN"/>
        </w:rPr>
        <w:sectPr>
          <w:headerReference r:id="rId5" w:type="first"/>
          <w:footerReference r:id="rId6" w:type="default"/>
          <w:footerReference r:id="rId7" w:type="even"/>
          <w:pgSz w:w="11850" w:h="16783"/>
          <w:pgMar w:top="1440" w:right="1800" w:bottom="1440" w:left="1800" w:header="720" w:footer="720" w:gutter="0"/>
          <w:cols w:space="720" w:num="1"/>
          <w:docGrid w:linePitch="360" w:charSpace="0"/>
        </w:sectPr>
      </w:pPr>
      <w:r>
        <w:rPr>
          <w:rFonts w:hint="default" w:ascii="Times New Roman" w:hAnsi="Times New Roman" w:cs="Times New Roman"/>
          <w:b/>
          <w:color w:val="auto"/>
          <w:sz w:val="24"/>
          <w:lang w:eastAsia="zh-CN"/>
        </w:rPr>
        <w:t>制图专业：</w:t>
      </w:r>
      <w:r>
        <w:rPr>
          <w:rFonts w:hint="default" w:ascii="Times New Roman" w:hAnsi="Times New Roman" w:cs="Times New Roman"/>
          <w:b/>
          <w:color w:val="auto"/>
          <w:sz w:val="24"/>
          <w:lang w:val="en-US" w:eastAsia="zh-CN"/>
        </w:rPr>
        <w:t>任正凝、应宇、聂陈程、罗冠华</w:t>
      </w:r>
    </w:p>
    <w:sdt>
      <w:sdtPr>
        <w:rPr>
          <w:rFonts w:ascii="宋体" w:hAnsi="宋体" w:eastAsia="宋体" w:cstheme="minorBidi"/>
          <w:sz w:val="21"/>
          <w:szCs w:val="22"/>
          <w:lang w:val="en-US" w:eastAsia="en-US" w:bidi="ar-SA"/>
        </w:rPr>
        <w:id w:val="147482082"/>
        <w15:color w:val="DBDBDB"/>
        <w:docPartObj>
          <w:docPartGallery w:val="Table of Contents"/>
          <w:docPartUnique/>
        </w:docPartObj>
      </w:sdtPr>
      <w:sdtEndPr>
        <w:rPr>
          <w:rFonts w:hint="eastAsia" w:ascii="仿宋_GB2312" w:hAnsi="仿宋_GB2312" w:eastAsia="仿宋_GB2312" w:cs="仿宋_GB2312"/>
          <w:b/>
          <w:color w:val="auto"/>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227"/>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TOC \o "1-2" \h \u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_Toc25896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rPr>
            <w:t>前言</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_Toc25896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7"/>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_Toc13530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rPr>
            <w:t>1、绪论</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_Toc13530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_Toc31040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rPr>
            <w:t>1.1基本情况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_Toc31040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_Toc25805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rPr>
            <w:t>1.2划界依据</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_Toc25805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_Toc15962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rPr>
            <w:t>1.3划界方案编制经过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_Toc15962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_Toc18888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eastAsia="zh-CN"/>
            </w:rPr>
            <w:t>1.4划界成果</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_Toc18888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7"/>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_Toc22828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rPr>
            <w:t>2、双清区小（2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水库基本情况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_Toc22828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_Toc26659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rPr>
            <w:t>2.1毕家冲水库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_Toc26659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7"/>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_Toc19781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、管理范围与保护范围线确定</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_Toc19781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_Toc19328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.1划界标准确定的依据</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_Toc19328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_Toc23772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.2小（2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水库管理范围划定标准</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_Toc23772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_Toc1486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.3小（2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水库保护范围划定标准</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_Toc1486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_Toc12378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.4库区设计洪水位确定</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_Toc12378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_Toc19261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管理</w:t>
          </w:r>
          <w:r>
            <w:rPr>
              <w:rFonts w:hint="eastAsia" w:ascii="仿宋_GB2312" w:hAnsi="仿宋_GB2312" w:eastAsia="仿宋_GB2312" w:cs="仿宋_GB2312"/>
              <w:b w:val="0"/>
              <w:bCs/>
              <w:sz w:val="32"/>
              <w:szCs w:val="32"/>
              <w:lang w:val="en-US" w:eastAsia="zh-CN"/>
            </w:rPr>
            <w:t>与保护</w:t>
          </w:r>
          <w:r>
            <w:rPr>
              <w:rFonts w:hint="eastAsia" w:ascii="仿宋_GB2312" w:hAnsi="仿宋_GB2312" w:eastAsia="仿宋_GB2312" w:cs="仿宋_GB2312"/>
              <w:b w:val="0"/>
              <w:bCs/>
              <w:sz w:val="32"/>
              <w:szCs w:val="32"/>
            </w:rPr>
            <w:t>范围线标绘</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_Toc19261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_Toc19183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电子桩和电子告示牌布设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_Toc19183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7"/>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_Toc15099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、管理范围与保护范围线核实勘定</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_Toc15099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_Toc15588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.1电子桩和电子告示牌核实勘定</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_Toc15588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_Toc8883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.2管理与保护范围线修正</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_Toc8883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_Toc18840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.3 管理与保护范围线标绘统计</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_Toc18840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pStyle w:val="228"/>
            <w:keepNext w:val="0"/>
            <w:keepLines w:val="0"/>
            <w:pageBreakBefore w:val="0"/>
            <w:widowControl/>
            <w:tabs>
              <w:tab w:val="right" w:leader="dot" w:pos="825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auto"/>
              <w:sz w:val="32"/>
              <w:szCs w:val="32"/>
              <w:lang w:eastAsia="zh-CN"/>
            </w:rPr>
            <w:fldChar w:fldCharType="begin"/>
          </w:r>
          <w:r>
            <w:rPr>
              <w:rFonts w:hint="eastAsia" w:ascii="仿宋_GB2312" w:hAnsi="仿宋_GB2312" w:eastAsia="仿宋_GB2312" w:cs="仿宋_GB2312"/>
              <w:b w:val="0"/>
              <w:bCs/>
              <w:sz w:val="32"/>
              <w:szCs w:val="32"/>
              <w:lang w:eastAsia="zh-CN"/>
            </w:rPr>
            <w:instrText xml:space="preserve"> HYPERLINK \l _Toc15138 </w:instrText>
          </w:r>
          <w:r>
            <w:rPr>
              <w:rFonts w:hint="eastAsia" w:ascii="仿宋_GB2312" w:hAnsi="仿宋_GB2312" w:eastAsia="仿宋_GB2312" w:cs="仿宋_GB2312"/>
              <w:b w:val="0"/>
              <w:bCs/>
              <w:sz w:val="32"/>
              <w:szCs w:val="32"/>
              <w:lang w:eastAsia="zh-CN"/>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.4 管理范围线与其他红线重叠情况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_Toc15138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eastAsia="zh-CN"/>
            </w:rPr>
            <w:fldChar w:fldCharType="end"/>
          </w:r>
        </w:p>
        <w:p>
          <w:pPr>
            <w:jc w:val="both"/>
            <w:rPr>
              <w:rFonts w:hint="default" w:ascii="Times New Roman" w:hAnsi="Times New Roman" w:eastAsia="宋体" w:cs="Times New Roman"/>
              <w:color w:val="auto"/>
              <w:sz w:val="24"/>
              <w:szCs w:val="24"/>
              <w:lang w:eastAsia="zh-CN"/>
            </w:rPr>
          </w:pPr>
          <w:r>
            <w:rPr>
              <w:rFonts w:hint="eastAsia" w:ascii="仿宋_GB2312" w:hAnsi="仿宋_GB2312" w:eastAsia="仿宋_GB2312" w:cs="仿宋_GB2312"/>
              <w:b/>
              <w:color w:val="auto"/>
              <w:sz w:val="32"/>
              <w:szCs w:val="32"/>
              <w:lang w:eastAsia="zh-CN"/>
            </w:rPr>
            <w:fldChar w:fldCharType="end"/>
          </w:r>
        </w:p>
      </w:sdtContent>
    </w:sdt>
    <w:p>
      <w:pPr>
        <w:pStyle w:val="3"/>
        <w:spacing w:after="156"/>
        <w:ind w:left="0" w:leftChars="0" w:firstLine="0" w:firstLineChars="0"/>
        <w:jc w:val="center"/>
        <w:rPr>
          <w:rFonts w:hint="default" w:ascii="Times New Roman" w:hAnsi="Times New Roman" w:cs="Times New Roman"/>
          <w:color w:val="auto"/>
        </w:rPr>
        <w:sectPr>
          <w:headerReference r:id="rId8" w:type="default"/>
          <w:footerReference r:id="rId9" w:type="default"/>
          <w:pgSz w:w="11906" w:h="16838"/>
          <w:pgMar w:top="1440" w:right="1800" w:bottom="1440" w:left="1800" w:header="851" w:footer="992" w:gutter="0"/>
          <w:pgNumType w:fmt="decimal" w:start="1"/>
          <w:cols w:space="425" w:num="1"/>
          <w:docGrid w:type="lines" w:linePitch="312" w:charSpace="0"/>
        </w:sectPr>
      </w:pPr>
      <w:bookmarkStart w:id="0" w:name="_Toc4016"/>
      <w:bookmarkStart w:id="1" w:name="_Toc87513340"/>
      <w:bookmarkStart w:id="2" w:name="_Toc86763858"/>
      <w:bookmarkStart w:id="3" w:name="_Toc18104"/>
      <w:bookmarkStart w:id="4" w:name="_Toc25896"/>
      <w:bookmarkStart w:id="5" w:name="_Toc382492957"/>
      <w:bookmarkStart w:id="6" w:name="_Toc307690916"/>
    </w:p>
    <w:p>
      <w:pPr>
        <w:pStyle w:val="3"/>
        <w:spacing w:after="156"/>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前言</w:t>
      </w:r>
      <w:bookmarkEnd w:id="0"/>
      <w:bookmarkEnd w:id="1"/>
      <w:bookmarkEnd w:id="2"/>
      <w:bookmarkEnd w:id="3"/>
      <w:bookmarkEnd w:id="4"/>
    </w:p>
    <w:p>
      <w:pPr>
        <w:spacing w:after="0" w:line="360" w:lineRule="auto"/>
        <w:ind w:firstLine="482"/>
        <w:jc w:val="both"/>
        <w:rPr>
          <w:rStyle w:val="200"/>
          <w:rFonts w:hint="default" w:ascii="Times New Roman" w:hAnsi="Times New Roman" w:cs="Times New Roman"/>
          <w:color w:val="auto"/>
          <w:lang w:val="en-US"/>
        </w:rPr>
      </w:pPr>
      <w:bookmarkStart w:id="7" w:name="_Toc86763859"/>
      <w:bookmarkStart w:id="8" w:name="_Toc87513341"/>
      <w:r>
        <w:rPr>
          <w:rStyle w:val="200"/>
          <w:rFonts w:hint="default" w:ascii="Times New Roman" w:hAnsi="Times New Roman" w:cs="Times New Roman"/>
          <w:color w:val="auto"/>
        </w:rPr>
        <w:t>水利工程管理与保护范围划定工作是根据《中华人民共和国水法》、《湖南省实施＜中华人民共和国水法＞办法》的有关规定和《水利部关于开展河湖管理和水利工程管理与保护范围划定工作的通知》（水建管〔2014〕285号</w:t>
      </w:r>
      <w:r>
        <w:rPr>
          <w:rStyle w:val="200"/>
          <w:rFonts w:hint="eastAsia" w:ascii="Times New Roman" w:hAnsi="Times New Roman" w:cs="Times New Roman"/>
          <w:color w:val="auto"/>
        </w:rPr>
        <w:t>）</w:t>
      </w:r>
      <w:r>
        <w:rPr>
          <w:rStyle w:val="200"/>
          <w:rFonts w:hint="default" w:ascii="Times New Roman" w:hAnsi="Times New Roman" w:cs="Times New Roman"/>
          <w:color w:val="auto"/>
        </w:rPr>
        <w:t>、《水利部关于加快推进水利工程管理与保护范围划定工作的通知》（水运管〔2018〕339号</w:t>
      </w:r>
      <w:r>
        <w:rPr>
          <w:rStyle w:val="200"/>
          <w:rFonts w:hint="eastAsia" w:ascii="Times New Roman" w:hAnsi="Times New Roman" w:cs="Times New Roman"/>
          <w:color w:val="auto"/>
        </w:rPr>
        <w:t>）</w:t>
      </w:r>
      <w:r>
        <w:rPr>
          <w:rStyle w:val="200"/>
          <w:rFonts w:hint="default" w:ascii="Times New Roman" w:hAnsi="Times New Roman" w:cs="Times New Roman"/>
          <w:color w:val="auto"/>
        </w:rPr>
        <w:t>文件的精神，开展的一项河湖生态空间管控基础工作，同时也是我省水利基础设施空间布局规划这一重大项目前期工作的主要内容。目的是建立范围明确、权属清晰、责任落实的水利工程管理保护责任体系，实现水利工程有效管理，支撑和促进经济社会可持续发展。依法划定水利工程管理与保护范围是</w:t>
      </w:r>
      <w:r>
        <w:rPr>
          <w:rStyle w:val="200"/>
          <w:rFonts w:hint="eastAsia" w:ascii="Times New Roman" w:hAnsi="Times New Roman" w:cs="Times New Roman"/>
          <w:color w:val="auto"/>
        </w:rPr>
        <w:t>“</w:t>
      </w:r>
      <w:r>
        <w:rPr>
          <w:rStyle w:val="200"/>
          <w:rFonts w:hint="default" w:ascii="Times New Roman" w:hAnsi="Times New Roman" w:cs="Times New Roman"/>
          <w:color w:val="auto"/>
        </w:rPr>
        <w:t>水利工程补短板，水利行业强监管</w:t>
      </w:r>
      <w:r>
        <w:rPr>
          <w:rStyle w:val="200"/>
          <w:rFonts w:hint="eastAsia" w:ascii="Times New Roman" w:hAnsi="Times New Roman" w:cs="Times New Roman"/>
          <w:color w:val="auto"/>
        </w:rPr>
        <w:t>”</w:t>
      </w:r>
      <w:r>
        <w:rPr>
          <w:rStyle w:val="200"/>
          <w:rFonts w:hint="default" w:ascii="Times New Roman" w:hAnsi="Times New Roman" w:cs="Times New Roman"/>
          <w:color w:val="auto"/>
        </w:rPr>
        <w:t>的基础工作，是确保水利工程安全和效益充分发挥的重要抓手，是水利行业扭转</w:t>
      </w:r>
      <w:r>
        <w:rPr>
          <w:rStyle w:val="200"/>
          <w:rFonts w:hint="eastAsia" w:ascii="Times New Roman" w:hAnsi="Times New Roman" w:cs="Times New Roman"/>
          <w:color w:val="auto"/>
        </w:rPr>
        <w:t>“</w:t>
      </w:r>
      <w:r>
        <w:rPr>
          <w:rStyle w:val="200"/>
          <w:rFonts w:hint="default" w:ascii="Times New Roman" w:hAnsi="Times New Roman" w:cs="Times New Roman"/>
          <w:color w:val="auto"/>
        </w:rPr>
        <w:t>重建轻管</w:t>
      </w:r>
      <w:r>
        <w:rPr>
          <w:rStyle w:val="200"/>
          <w:rFonts w:hint="eastAsia" w:ascii="Times New Roman" w:hAnsi="Times New Roman" w:cs="Times New Roman"/>
          <w:color w:val="auto"/>
        </w:rPr>
        <w:t>”</w:t>
      </w:r>
      <w:r>
        <w:rPr>
          <w:rStyle w:val="200"/>
          <w:rFonts w:hint="default" w:ascii="Times New Roman" w:hAnsi="Times New Roman" w:cs="Times New Roman"/>
          <w:color w:val="auto"/>
        </w:rPr>
        <w:t>局面的关键一环，是水利基础设施实现有效空间管控的必然途径，是全力保障我省水安全的战略举措，对水利行业的长远发展具有重大意义。</w:t>
      </w:r>
    </w:p>
    <w:p>
      <w:pPr>
        <w:spacing w:after="0" w:line="360" w:lineRule="auto"/>
        <w:ind w:firstLine="480" w:firstLineChars="200"/>
        <w:jc w:val="both"/>
        <w:rPr>
          <w:rStyle w:val="200"/>
          <w:rFonts w:hint="default" w:ascii="Times New Roman" w:hAnsi="Times New Roman" w:cs="Times New Roman"/>
          <w:color w:val="auto"/>
        </w:rPr>
      </w:pPr>
      <w:r>
        <w:rPr>
          <w:rStyle w:val="200"/>
          <w:rFonts w:hint="default" w:ascii="Times New Roman" w:hAnsi="Times New Roman" w:cs="Times New Roman"/>
          <w:color w:val="auto"/>
        </w:rPr>
        <w:t>2021年4月26日，湖南省水利厅下发了《湖南省水利厅关于做好全省小</w:t>
      </w:r>
      <w:r>
        <w:rPr>
          <w:rStyle w:val="200"/>
          <w:rFonts w:hint="eastAsia" w:ascii="Times New Roman" w:hAnsi="Times New Roman" w:cs="Times New Roman"/>
          <w:color w:val="auto"/>
        </w:rPr>
        <w:t>（</w:t>
      </w:r>
      <w:r>
        <w:rPr>
          <w:rStyle w:val="200"/>
          <w:rFonts w:hint="default" w:ascii="Times New Roman" w:hAnsi="Times New Roman" w:cs="Times New Roman"/>
          <w:color w:val="auto"/>
        </w:rPr>
        <w:t>2</w:t>
      </w:r>
      <w:r>
        <w:rPr>
          <w:rStyle w:val="200"/>
          <w:rFonts w:hint="eastAsia" w:ascii="Times New Roman" w:hAnsi="Times New Roman" w:cs="Times New Roman"/>
          <w:color w:val="auto"/>
        </w:rPr>
        <w:t>）</w:t>
      </w:r>
      <w:r>
        <w:rPr>
          <w:rStyle w:val="200"/>
          <w:rFonts w:hint="default" w:ascii="Times New Roman" w:hAnsi="Times New Roman" w:cs="Times New Roman"/>
          <w:color w:val="auto"/>
        </w:rPr>
        <w:t>型水库工程管理与保护范围划定工作的通知》（湘水函〔2021</w:t>
      </w:r>
      <w:r>
        <w:rPr>
          <w:rStyle w:val="200"/>
          <w:rFonts w:hint="eastAsia" w:ascii="Times New Roman" w:hAnsi="Times New Roman" w:cs="Times New Roman"/>
          <w:color w:val="auto"/>
        </w:rPr>
        <w:t>〕</w:t>
      </w:r>
      <w:r>
        <w:rPr>
          <w:rStyle w:val="200"/>
          <w:rFonts w:hint="default" w:ascii="Times New Roman" w:hAnsi="Times New Roman" w:cs="Times New Roman"/>
          <w:color w:val="auto"/>
        </w:rPr>
        <w:t>147号</w:t>
      </w:r>
      <w:r>
        <w:rPr>
          <w:rStyle w:val="200"/>
          <w:rFonts w:hint="eastAsia" w:ascii="Times New Roman" w:hAnsi="Times New Roman" w:cs="Times New Roman"/>
          <w:color w:val="auto"/>
        </w:rPr>
        <w:t>）</w:t>
      </w:r>
      <w:r>
        <w:rPr>
          <w:rStyle w:val="200"/>
          <w:rFonts w:hint="default" w:ascii="Times New Roman" w:hAnsi="Times New Roman" w:cs="Times New Roman"/>
          <w:color w:val="auto"/>
        </w:rPr>
        <w:t>，要求湖南省各市州县通过强化部门协同</w:t>
      </w:r>
      <w:r>
        <w:rPr>
          <w:rStyle w:val="200"/>
          <w:rFonts w:hint="eastAsia" w:ascii="Times New Roman" w:hAnsi="Times New Roman" w:cs="Times New Roman"/>
          <w:color w:val="auto"/>
        </w:rPr>
        <w:t>，</w:t>
      </w:r>
      <w:r>
        <w:rPr>
          <w:rStyle w:val="200"/>
          <w:rFonts w:hint="default" w:ascii="Times New Roman" w:hAnsi="Times New Roman" w:cs="Times New Roman"/>
          <w:color w:val="auto"/>
        </w:rPr>
        <w:t>加强上下联动</w:t>
      </w:r>
      <w:r>
        <w:rPr>
          <w:rStyle w:val="200"/>
          <w:rFonts w:hint="eastAsia" w:ascii="Times New Roman" w:hAnsi="Times New Roman" w:cs="Times New Roman"/>
          <w:color w:val="auto"/>
        </w:rPr>
        <w:t>，</w:t>
      </w:r>
      <w:r>
        <w:rPr>
          <w:rStyle w:val="200"/>
          <w:rFonts w:hint="default" w:ascii="Times New Roman" w:hAnsi="Times New Roman" w:cs="Times New Roman"/>
          <w:color w:val="auto"/>
        </w:rPr>
        <w:t>确保2021年底前基本完成全省小</w:t>
      </w:r>
      <w:r>
        <w:rPr>
          <w:rStyle w:val="200"/>
          <w:rFonts w:hint="eastAsia" w:ascii="Times New Roman" w:hAnsi="Times New Roman" w:cs="Times New Roman"/>
          <w:color w:val="auto"/>
        </w:rPr>
        <w:t>（</w:t>
      </w:r>
      <w:r>
        <w:rPr>
          <w:rStyle w:val="200"/>
          <w:rFonts w:hint="default" w:ascii="Times New Roman" w:hAnsi="Times New Roman" w:cs="Times New Roman"/>
          <w:color w:val="auto"/>
        </w:rPr>
        <w:t>2</w:t>
      </w:r>
      <w:r>
        <w:rPr>
          <w:rStyle w:val="200"/>
          <w:rFonts w:hint="eastAsia" w:ascii="Times New Roman" w:hAnsi="Times New Roman" w:cs="Times New Roman"/>
          <w:color w:val="auto"/>
        </w:rPr>
        <w:t>）</w:t>
      </w:r>
      <w:r>
        <w:rPr>
          <w:rStyle w:val="200"/>
          <w:rFonts w:hint="default" w:ascii="Times New Roman" w:hAnsi="Times New Roman" w:cs="Times New Roman"/>
          <w:color w:val="auto"/>
        </w:rPr>
        <w:t>型水库工程管理与保护范围划定工作。划界标准应当按照《湖南省水利工程管理与保护范围划界技术指南</w:t>
      </w:r>
      <w:r>
        <w:rPr>
          <w:rStyle w:val="200"/>
          <w:rFonts w:hint="eastAsia" w:ascii="Times New Roman" w:hAnsi="Times New Roman" w:cs="Times New Roman"/>
          <w:color w:val="auto"/>
        </w:rPr>
        <w:t>（</w:t>
      </w:r>
      <w:r>
        <w:rPr>
          <w:rStyle w:val="200"/>
          <w:rFonts w:hint="default" w:ascii="Times New Roman" w:hAnsi="Times New Roman" w:cs="Times New Roman"/>
          <w:color w:val="auto"/>
        </w:rPr>
        <w:t>试行</w:t>
      </w:r>
      <w:r>
        <w:rPr>
          <w:rStyle w:val="200"/>
          <w:rFonts w:hint="eastAsia" w:ascii="Times New Roman" w:hAnsi="Times New Roman" w:cs="Times New Roman"/>
          <w:color w:val="auto"/>
        </w:rPr>
        <w:t>）</w:t>
      </w:r>
      <w:r>
        <w:rPr>
          <w:rStyle w:val="200"/>
          <w:rFonts w:hint="default" w:ascii="Times New Roman" w:hAnsi="Times New Roman" w:cs="Times New Roman"/>
          <w:color w:val="auto"/>
        </w:rPr>
        <w:t>》</w:t>
      </w:r>
      <w:r>
        <w:rPr>
          <w:rStyle w:val="200"/>
          <w:rFonts w:hint="eastAsia" w:ascii="Times New Roman" w:hAnsi="Times New Roman" w:cs="Times New Roman"/>
          <w:color w:val="auto"/>
        </w:rPr>
        <w:t>（</w:t>
      </w:r>
      <w:r>
        <w:rPr>
          <w:rStyle w:val="200"/>
          <w:rFonts w:hint="default" w:ascii="Times New Roman" w:hAnsi="Times New Roman" w:cs="Times New Roman"/>
          <w:color w:val="auto"/>
        </w:rPr>
        <w:t>湘水办函〔2020</w:t>
      </w:r>
      <w:r>
        <w:rPr>
          <w:rStyle w:val="200"/>
          <w:rFonts w:hint="eastAsia" w:ascii="Times New Roman" w:hAnsi="Times New Roman" w:cs="Times New Roman"/>
          <w:color w:val="auto"/>
        </w:rPr>
        <w:t>〕</w:t>
      </w:r>
      <w:r>
        <w:rPr>
          <w:rStyle w:val="200"/>
          <w:rFonts w:hint="default" w:ascii="Times New Roman" w:hAnsi="Times New Roman" w:cs="Times New Roman"/>
          <w:color w:val="auto"/>
        </w:rPr>
        <w:t>227号</w:t>
      </w:r>
      <w:r>
        <w:rPr>
          <w:rStyle w:val="200"/>
          <w:rFonts w:hint="eastAsia" w:ascii="Times New Roman" w:hAnsi="Times New Roman" w:cs="Times New Roman"/>
          <w:color w:val="auto"/>
        </w:rPr>
        <w:t>）</w:t>
      </w:r>
      <w:r>
        <w:rPr>
          <w:rStyle w:val="200"/>
          <w:rFonts w:hint="default" w:ascii="Times New Roman" w:hAnsi="Times New Roman" w:cs="Times New Roman"/>
          <w:color w:val="auto"/>
        </w:rPr>
        <w:t>、《关于印发湖南省水利工程管理与保护范围划界成果制图规定和数据格式规定的通知》</w:t>
      </w:r>
      <w:r>
        <w:rPr>
          <w:rStyle w:val="200"/>
          <w:rFonts w:hint="eastAsia" w:ascii="Times New Roman" w:hAnsi="Times New Roman" w:cs="Times New Roman"/>
          <w:color w:val="auto"/>
        </w:rPr>
        <w:t>（</w:t>
      </w:r>
      <w:r>
        <w:rPr>
          <w:rStyle w:val="200"/>
          <w:rFonts w:hint="default" w:ascii="Times New Roman" w:hAnsi="Times New Roman" w:cs="Times New Roman"/>
          <w:color w:val="auto"/>
        </w:rPr>
        <w:t>湘水办</w:t>
      </w:r>
      <w:r>
        <w:rPr>
          <w:rStyle w:val="200"/>
          <w:rFonts w:hint="eastAsia" w:ascii="Times New Roman" w:hAnsi="Times New Roman" w:cs="Times New Roman"/>
          <w:color w:val="auto"/>
        </w:rPr>
        <w:t>〔</w:t>
      </w:r>
      <w:r>
        <w:rPr>
          <w:rStyle w:val="200"/>
          <w:rFonts w:hint="default" w:ascii="Times New Roman" w:hAnsi="Times New Roman" w:cs="Times New Roman"/>
          <w:color w:val="auto"/>
        </w:rPr>
        <w:t>2021</w:t>
      </w:r>
      <w:r>
        <w:rPr>
          <w:rStyle w:val="200"/>
          <w:rFonts w:hint="eastAsia" w:ascii="Times New Roman" w:hAnsi="Times New Roman" w:cs="Times New Roman"/>
          <w:color w:val="auto"/>
        </w:rPr>
        <w:t>〕</w:t>
      </w:r>
      <w:r>
        <w:rPr>
          <w:rStyle w:val="200"/>
          <w:rFonts w:hint="default" w:ascii="Times New Roman" w:hAnsi="Times New Roman" w:cs="Times New Roman"/>
          <w:color w:val="auto"/>
        </w:rPr>
        <w:t>13号</w:t>
      </w:r>
      <w:r>
        <w:rPr>
          <w:rStyle w:val="200"/>
          <w:rFonts w:hint="eastAsia" w:ascii="Times New Roman" w:hAnsi="Times New Roman" w:cs="Times New Roman"/>
          <w:color w:val="auto"/>
        </w:rPr>
        <w:t>）</w:t>
      </w:r>
      <w:r>
        <w:rPr>
          <w:rStyle w:val="200"/>
          <w:rFonts w:hint="default" w:ascii="Times New Roman" w:hAnsi="Times New Roman" w:cs="Times New Roman"/>
          <w:color w:val="auto"/>
        </w:rPr>
        <w:t>的有关规定执行</w:t>
      </w:r>
      <w:r>
        <w:rPr>
          <w:rStyle w:val="200"/>
          <w:rFonts w:hint="eastAsia" w:ascii="Times New Roman" w:hAnsi="Times New Roman" w:cs="Times New Roman"/>
          <w:color w:val="auto"/>
        </w:rPr>
        <w:t>，</w:t>
      </w:r>
      <w:r>
        <w:rPr>
          <w:rStyle w:val="200"/>
          <w:rFonts w:hint="default" w:ascii="Times New Roman" w:hAnsi="Times New Roman" w:cs="Times New Roman"/>
          <w:color w:val="auto"/>
        </w:rPr>
        <w:t>其中库区设计洪水位可采用水库大坝设计洪水位。工作底图应当采用自然资源部门提供的1</w:t>
      </w:r>
      <w:r>
        <w:rPr>
          <w:rStyle w:val="200"/>
          <w:rFonts w:hint="eastAsia" w:ascii="Times New Roman" w:hAnsi="Times New Roman" w:cs="Times New Roman"/>
          <w:color w:val="auto"/>
        </w:rPr>
        <w:t>：</w:t>
      </w:r>
      <w:r>
        <w:rPr>
          <w:rStyle w:val="200"/>
          <w:rFonts w:hint="default" w:ascii="Times New Roman" w:hAnsi="Times New Roman" w:cs="Times New Roman"/>
          <w:color w:val="auto"/>
        </w:rPr>
        <w:t>2000不动产统一登记基础数据</w:t>
      </w:r>
      <w:r>
        <w:rPr>
          <w:rStyle w:val="200"/>
          <w:rFonts w:hint="eastAsia" w:ascii="Times New Roman" w:hAnsi="Times New Roman" w:cs="Times New Roman"/>
          <w:color w:val="auto"/>
        </w:rPr>
        <w:t>（</w:t>
      </w:r>
      <w:r>
        <w:rPr>
          <w:rStyle w:val="200"/>
          <w:rFonts w:hint="default" w:ascii="Times New Roman" w:hAnsi="Times New Roman" w:cs="Times New Roman"/>
          <w:color w:val="auto"/>
        </w:rPr>
        <w:t>1</w:t>
      </w:r>
      <w:r>
        <w:rPr>
          <w:rStyle w:val="200"/>
          <w:rFonts w:hint="eastAsia" w:ascii="Times New Roman" w:hAnsi="Times New Roman" w:cs="Times New Roman"/>
          <w:color w:val="auto"/>
        </w:rPr>
        <w:t>：</w:t>
      </w:r>
      <w:r>
        <w:rPr>
          <w:rStyle w:val="200"/>
          <w:rFonts w:hint="default" w:ascii="Times New Roman" w:hAnsi="Times New Roman" w:cs="Times New Roman"/>
          <w:color w:val="auto"/>
        </w:rPr>
        <w:t>2000数字正射影像和1</w:t>
      </w:r>
      <w:r>
        <w:rPr>
          <w:rStyle w:val="200"/>
          <w:rFonts w:hint="eastAsia" w:ascii="Times New Roman" w:hAnsi="Times New Roman" w:cs="Times New Roman"/>
          <w:color w:val="auto"/>
        </w:rPr>
        <w:t>：</w:t>
      </w:r>
      <w:r>
        <w:rPr>
          <w:rStyle w:val="200"/>
          <w:rFonts w:hint="default" w:ascii="Times New Roman" w:hAnsi="Times New Roman" w:cs="Times New Roman"/>
          <w:color w:val="auto"/>
        </w:rPr>
        <w:t>2000数字线划</w:t>
      </w:r>
      <w:r>
        <w:rPr>
          <w:rStyle w:val="200"/>
          <w:rFonts w:hint="eastAsia" w:ascii="Times New Roman" w:hAnsi="Times New Roman" w:cs="Times New Roman"/>
          <w:color w:val="auto"/>
          <w:lang w:val="en-US"/>
        </w:rPr>
        <w:t>图</w:t>
      </w:r>
      <w:r>
        <w:rPr>
          <w:rStyle w:val="200"/>
          <w:rFonts w:hint="eastAsia" w:ascii="Times New Roman" w:hAnsi="Times New Roman" w:cs="Times New Roman"/>
          <w:color w:val="auto"/>
        </w:rPr>
        <w:t>）</w:t>
      </w:r>
      <w:r>
        <w:rPr>
          <w:rStyle w:val="200"/>
          <w:rFonts w:hint="default" w:ascii="Times New Roman" w:hAnsi="Times New Roman" w:cs="Times New Roman"/>
          <w:color w:val="auto"/>
        </w:rPr>
        <w:t>。</w:t>
      </w:r>
    </w:p>
    <w:p>
      <w:pPr>
        <w:spacing w:after="0" w:line="360" w:lineRule="auto"/>
        <w:ind w:firstLine="480" w:firstLineChars="200"/>
        <w:jc w:val="both"/>
        <w:rPr>
          <w:rStyle w:val="200"/>
          <w:rFonts w:hint="default" w:ascii="Times New Roman" w:hAnsi="Times New Roman" w:cs="Times New Roman"/>
          <w:color w:val="auto"/>
        </w:rPr>
        <w:sectPr>
          <w:footerReference r:id="rId10" w:type="default"/>
          <w:pgSz w:w="11906" w:h="16838"/>
          <w:pgMar w:top="1440" w:right="1800" w:bottom="1440" w:left="1800" w:header="851" w:footer="992" w:gutter="0"/>
          <w:pgNumType w:fmt="decimal" w:start="1"/>
          <w:cols w:space="425" w:num="1"/>
          <w:docGrid w:type="lines" w:linePitch="312" w:charSpace="0"/>
        </w:sectPr>
      </w:pPr>
      <w:r>
        <w:rPr>
          <w:rStyle w:val="200"/>
          <w:rFonts w:hint="default" w:ascii="Times New Roman" w:hAnsi="Times New Roman" w:cs="Times New Roman"/>
          <w:color w:val="auto"/>
        </w:rPr>
        <w:t>2021年9月8日，邵阳市水利局下发了《关于进一步做好全市小（2</w:t>
      </w:r>
      <w:r>
        <w:rPr>
          <w:rStyle w:val="200"/>
          <w:rFonts w:hint="eastAsia" w:ascii="Times New Roman" w:hAnsi="Times New Roman" w:cs="Times New Roman"/>
          <w:color w:val="auto"/>
        </w:rPr>
        <w:t>）</w:t>
      </w:r>
      <w:r>
        <w:rPr>
          <w:rStyle w:val="200"/>
          <w:rFonts w:hint="default" w:ascii="Times New Roman" w:hAnsi="Times New Roman" w:cs="Times New Roman"/>
          <w:color w:val="auto"/>
        </w:rPr>
        <w:t>型水库工程管理与保护范围划定工作的通知》（邵水办〔2021</w:t>
      </w:r>
      <w:r>
        <w:rPr>
          <w:rStyle w:val="200"/>
          <w:rFonts w:hint="eastAsia" w:ascii="Times New Roman" w:hAnsi="Times New Roman" w:cs="Times New Roman"/>
          <w:color w:val="auto"/>
        </w:rPr>
        <w:t>〕</w:t>
      </w:r>
      <w:r>
        <w:rPr>
          <w:rStyle w:val="200"/>
          <w:rFonts w:hint="default" w:ascii="Times New Roman" w:hAnsi="Times New Roman" w:cs="Times New Roman"/>
          <w:color w:val="auto"/>
        </w:rPr>
        <w:t xml:space="preserve"> 71号</w:t>
      </w:r>
      <w:r>
        <w:rPr>
          <w:rStyle w:val="200"/>
          <w:rFonts w:hint="eastAsia" w:ascii="Times New Roman" w:hAnsi="Times New Roman" w:cs="Times New Roman"/>
          <w:color w:val="auto"/>
        </w:rPr>
        <w:t>）</w:t>
      </w:r>
      <w:r>
        <w:rPr>
          <w:rStyle w:val="200"/>
          <w:rFonts w:hint="default" w:ascii="Times New Roman" w:hAnsi="Times New Roman" w:cs="Times New Roman"/>
          <w:color w:val="auto"/>
        </w:rPr>
        <w:t>，通知要求各县（市、区</w:t>
      </w:r>
      <w:r>
        <w:rPr>
          <w:rStyle w:val="200"/>
          <w:rFonts w:hint="eastAsia" w:ascii="Times New Roman" w:hAnsi="Times New Roman" w:cs="Times New Roman"/>
          <w:color w:val="auto"/>
        </w:rPr>
        <w:t>）</w:t>
      </w:r>
      <w:r>
        <w:rPr>
          <w:rStyle w:val="200"/>
          <w:rFonts w:hint="default" w:ascii="Times New Roman" w:hAnsi="Times New Roman" w:cs="Times New Roman"/>
          <w:color w:val="auto"/>
        </w:rPr>
        <w:t>水利（农业农村水利</w:t>
      </w:r>
      <w:r>
        <w:rPr>
          <w:rStyle w:val="200"/>
          <w:rFonts w:hint="eastAsia" w:ascii="Times New Roman" w:hAnsi="Times New Roman" w:cs="Times New Roman"/>
          <w:color w:val="auto"/>
        </w:rPr>
        <w:t>）</w:t>
      </w:r>
      <w:r>
        <w:rPr>
          <w:rStyle w:val="200"/>
          <w:rFonts w:hint="default" w:ascii="Times New Roman" w:hAnsi="Times New Roman" w:cs="Times New Roman"/>
          <w:color w:val="auto"/>
        </w:rPr>
        <w:t>局，邵阳经开区社会事务局要抓紧制订专项工作方案，倒排工期，明确工作路线图和时间表，落实好各项保障措施。</w:t>
      </w:r>
    </w:p>
    <w:p>
      <w:pPr>
        <w:pStyle w:val="3"/>
        <w:spacing w:after="156"/>
        <w:ind w:left="0" w:leftChars="0" w:firstLine="0" w:firstLineChars="0"/>
        <w:jc w:val="center"/>
        <w:rPr>
          <w:rFonts w:hint="default" w:ascii="Times New Roman" w:hAnsi="Times New Roman" w:cs="Times New Roman"/>
          <w:color w:val="auto"/>
        </w:rPr>
      </w:pPr>
      <w:bookmarkStart w:id="9" w:name="_Toc4790"/>
      <w:bookmarkStart w:id="10" w:name="_Toc19694"/>
      <w:bookmarkStart w:id="11" w:name="_Toc13530"/>
      <w:r>
        <w:rPr>
          <w:rFonts w:hint="default" w:ascii="Times New Roman" w:hAnsi="Times New Roman" w:cs="Times New Roman"/>
          <w:color w:val="auto"/>
        </w:rPr>
        <w:t>1、绪论</w:t>
      </w:r>
      <w:bookmarkEnd w:id="7"/>
      <w:bookmarkEnd w:id="8"/>
      <w:bookmarkEnd w:id="9"/>
      <w:bookmarkEnd w:id="10"/>
      <w:bookmarkEnd w:id="11"/>
    </w:p>
    <w:p>
      <w:pPr>
        <w:pStyle w:val="4"/>
        <w:jc w:val="both"/>
        <w:rPr>
          <w:rFonts w:hint="default" w:ascii="Times New Roman" w:hAnsi="Times New Roman" w:cs="Times New Roman"/>
          <w:color w:val="auto"/>
        </w:rPr>
      </w:pPr>
      <w:bookmarkStart w:id="12" w:name="_Toc7987"/>
      <w:bookmarkStart w:id="13" w:name="_Toc86763860"/>
      <w:bookmarkStart w:id="14" w:name="_Toc31040"/>
      <w:bookmarkStart w:id="15" w:name="_Toc87513342"/>
      <w:r>
        <w:rPr>
          <w:rFonts w:hint="default" w:ascii="Times New Roman" w:hAnsi="Times New Roman" w:cs="Times New Roman"/>
          <w:color w:val="auto"/>
        </w:rPr>
        <w:t>1.1基本情况</w:t>
      </w:r>
      <w:bookmarkEnd w:id="12"/>
      <w:bookmarkEnd w:id="13"/>
      <w:bookmarkEnd w:id="14"/>
      <w:bookmarkEnd w:id="15"/>
    </w:p>
    <w:p>
      <w:pPr>
        <w:pStyle w:val="5"/>
        <w:jc w:val="both"/>
        <w:rPr>
          <w:rStyle w:val="200"/>
          <w:rFonts w:hint="default" w:ascii="Times New Roman" w:hAnsi="Times New Roman" w:cs="Times New Roman"/>
          <w:color w:val="auto"/>
        </w:rPr>
      </w:pPr>
      <w:bookmarkStart w:id="16" w:name="_Toc18653"/>
      <w:r>
        <w:rPr>
          <w:rStyle w:val="200"/>
          <w:rFonts w:hint="default" w:ascii="Times New Roman" w:hAnsi="Times New Roman" w:cs="Times New Roman"/>
          <w:color w:val="auto"/>
        </w:rPr>
        <w:t>1.1.1自然地理</w:t>
      </w:r>
      <w:bookmarkEnd w:id="16"/>
    </w:p>
    <w:p>
      <w:pPr>
        <w:shd w:val="clear" w:color="auto" w:fill="FFFFFF"/>
        <w:spacing w:after="0" w:line="360" w:lineRule="auto"/>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双清区地处湖南省中部偏南，位于邵水以东，资江以南，北望新邵，东邻邵东，西南、西北和大祥、北塔两区一衣带水，总面积139.6平方公里。属中亚热季风湿润气候，光照充分，雨水丰沛，四季分明，气候温和。</w:t>
      </w:r>
    </w:p>
    <w:p>
      <w:pPr>
        <w:pStyle w:val="45"/>
        <w:shd w:val="clear" w:color="auto" w:fill="FFFFFF"/>
        <w:spacing w:before="0" w:beforeAutospacing="0" w:after="0" w:afterAutospacing="0" w:line="360" w:lineRule="auto"/>
        <w:ind w:firstLine="480" w:firstLineChars="200"/>
        <w:jc w:val="both"/>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双清区辖1个乡、2个镇、9个街道</w:t>
      </w:r>
      <w:r>
        <w:rPr>
          <w:rFonts w:hint="eastAsia" w:cs="Times New Roman" w:eastAsiaTheme="minorEastAsia"/>
          <w:color w:val="auto"/>
          <w:lang w:eastAsia="zh-CN"/>
        </w:rPr>
        <w:t>（</w:t>
      </w:r>
      <w:r>
        <w:rPr>
          <w:rFonts w:hint="default" w:ascii="Times New Roman" w:hAnsi="Times New Roman" w:cs="Times New Roman" w:eastAsiaTheme="minorEastAsia"/>
          <w:color w:val="auto"/>
        </w:rPr>
        <w:t>含邵阳经开区托管的</w:t>
      </w:r>
      <w:r>
        <w:rPr>
          <w:rFonts w:hint="eastAsia" w:cs="Times New Roman" w:eastAsiaTheme="minorEastAsia"/>
          <w:color w:val="auto"/>
          <w:lang w:eastAsia="zh-CN"/>
        </w:rPr>
        <w:t>“</w:t>
      </w:r>
      <w:r>
        <w:rPr>
          <w:rFonts w:hint="default" w:ascii="Times New Roman" w:hAnsi="Times New Roman" w:cs="Times New Roman" w:eastAsiaTheme="minorEastAsia"/>
          <w:color w:val="auto"/>
        </w:rPr>
        <w:t>一镇十村</w:t>
      </w:r>
      <w:r>
        <w:rPr>
          <w:rFonts w:hint="eastAsia" w:cs="Times New Roman" w:eastAsiaTheme="minorEastAsia"/>
          <w:color w:val="auto"/>
          <w:lang w:eastAsia="zh-CN"/>
        </w:rPr>
        <w:t>”</w:t>
      </w:r>
      <w:r>
        <w:rPr>
          <w:rFonts w:hint="default" w:ascii="Times New Roman" w:hAnsi="Times New Roman" w:cs="Times New Roman" w:eastAsiaTheme="minorEastAsia"/>
          <w:color w:val="auto"/>
        </w:rPr>
        <w:t>，即高崇山镇和火车站乡世纪新村、栗山村、集仙村、红旗社区，渡头桥镇东城村、新群村、鸡笼村，爱莲街道砂塘村、云十村，兴隆街道财桥村</w:t>
      </w:r>
      <w:r>
        <w:rPr>
          <w:rFonts w:hint="eastAsia" w:cs="Times New Roman" w:eastAsiaTheme="minorEastAsia"/>
          <w:color w:val="auto"/>
          <w:lang w:eastAsia="zh-CN"/>
        </w:rPr>
        <w:t>）</w:t>
      </w:r>
      <w:r>
        <w:rPr>
          <w:rFonts w:hint="default" w:ascii="Times New Roman" w:hAnsi="Times New Roman" w:cs="Times New Roman" w:eastAsiaTheme="minorEastAsia"/>
          <w:color w:val="auto"/>
        </w:rPr>
        <w:t>。土地总面积137.07平方公里，耕地面积13000亩，森林覆盖率为29.8%。常住人口32.28万人，其中城镇人口26.88万人，人口出生率9.76‰，自然增长率5.01‰。双清区是1997年10月邵阳市行政区划调整建立的，由原东区主体及郊区的6个乡组成，因双清区宝庆名胜</w:t>
      </w:r>
      <w:r>
        <w:rPr>
          <w:rFonts w:hint="eastAsia" w:cs="Times New Roman" w:eastAsiaTheme="minorEastAsia"/>
          <w:color w:val="auto"/>
          <w:lang w:eastAsia="zh-CN"/>
        </w:rPr>
        <w:t>“</w:t>
      </w:r>
      <w:r>
        <w:rPr>
          <w:rFonts w:hint="default" w:ascii="Times New Roman" w:hAnsi="Times New Roman" w:cs="Times New Roman" w:eastAsiaTheme="minorEastAsia"/>
          <w:color w:val="auto"/>
        </w:rPr>
        <w:t>双清秋月</w:t>
      </w:r>
      <w:r>
        <w:rPr>
          <w:rFonts w:hint="eastAsia" w:cs="Times New Roman" w:eastAsiaTheme="minorEastAsia"/>
          <w:color w:val="auto"/>
          <w:lang w:eastAsia="zh-CN"/>
        </w:rPr>
        <w:t>”</w:t>
      </w:r>
      <w:r>
        <w:rPr>
          <w:rFonts w:hint="default" w:ascii="Times New Roman" w:hAnsi="Times New Roman" w:cs="Times New Roman" w:eastAsiaTheme="minorEastAsia"/>
          <w:color w:val="auto"/>
        </w:rPr>
        <w:t>点缀其间而得名。</w:t>
      </w:r>
    </w:p>
    <w:p>
      <w:pPr>
        <w:shd w:val="clear" w:color="auto" w:fill="FFFFFF"/>
        <w:spacing w:after="0" w:line="360" w:lineRule="auto"/>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双清农副土特产丰富，主要有大棚蔬菜、柑桔、葡萄、草莓、药材、荸荠、莲藕等。水利资源较为丰富。境内矿藏有砂金、煤、铁、锰、钒、大理石、优质石灰石等。烟煤品质优良，市属新东、肖家冲、短陂桥煤矿座落境内。</w:t>
      </w:r>
    </w:p>
    <w:p>
      <w:pPr>
        <w:spacing w:after="0" w:line="360" w:lineRule="auto"/>
        <w:ind w:firstLine="480" w:firstLineChars="200"/>
        <w:contextualSpacing/>
        <w:jc w:val="both"/>
        <w:rPr>
          <w:rStyle w:val="200"/>
          <w:rFonts w:hint="default" w:ascii="Times New Roman" w:hAnsi="Times New Roman" w:cs="Times New Roman"/>
          <w:color w:val="auto"/>
        </w:rPr>
      </w:pPr>
      <w:r>
        <w:rPr>
          <w:rFonts w:hint="default" w:ascii="Times New Roman" w:hAnsi="Times New Roman" w:cs="Times New Roman" w:eastAsiaTheme="minorEastAsia"/>
          <w:color w:val="auto"/>
          <w:sz w:val="24"/>
          <w:szCs w:val="24"/>
          <w:lang w:eastAsia="zh-CN"/>
        </w:rPr>
        <w:t>双清区属中亚热带季风湿润气候，其特点是春暖多阴雨，夏热降水多，秋凉易干旱，冬冷雨水少；夏天多东南风，冬季多西北风，四季分明，光照充足。 1970～2011 年平均气温 17.1℃，1 月平均气温 4.5℃，极端最低气温双清区罗市镇14-10.5℃（1977 年 1 月 30 日</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；7 月平均气温 28.6℃，极端最高 气温 39.5℃（1971 年 7 月 21 日</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。1951～2011 年最低月均气温 1.2℃（1977 年 1 月</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，最高月均气温 30.2℃（1971 年 7 月</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。平均气温年较差 23.4℃，最大日较差 21.1℃（1951 年 2 月 18 日</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。生长期年平均 246 天，无霜期年平均 277天，最长达 337 天，最短为 247 天。1981～2010 年年平均日照时数 1546.9小时，年总辐射 108.6 千卡/平方厘米。气温低于 0℃的天数平均每年 5 天。多年平均降水量 1379.7mm，年平均降雨日数为 162 天，最多达 192 天（1982年</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，最少仅 134 天（1956 年</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。极端年最大雨量 2013.7mm （1994 年</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，极端年最少雨量 902.6mm（1960 年</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。降雨集中在每年 5～6 月，5 月最多。多年平均蒸发量 1221.2mm，多年平均径流深 430mm</w:t>
      </w:r>
      <w:r>
        <w:rPr>
          <w:rStyle w:val="200"/>
          <w:rFonts w:hint="default" w:ascii="Times New Roman" w:hAnsi="Times New Roman" w:cs="Times New Roman" w:eastAsiaTheme="minorEastAsia"/>
          <w:color w:val="auto"/>
          <w:szCs w:val="24"/>
        </w:rPr>
        <w:t>。</w:t>
      </w:r>
    </w:p>
    <w:p>
      <w:pPr>
        <w:pStyle w:val="5"/>
        <w:jc w:val="both"/>
        <w:rPr>
          <w:rStyle w:val="200"/>
          <w:rFonts w:hint="default" w:ascii="Times New Roman" w:hAnsi="Times New Roman" w:cs="Times New Roman"/>
          <w:color w:val="auto"/>
        </w:rPr>
      </w:pPr>
      <w:bookmarkStart w:id="17" w:name="_Toc28450"/>
      <w:r>
        <w:rPr>
          <w:rStyle w:val="200"/>
          <w:rFonts w:hint="default" w:ascii="Times New Roman" w:hAnsi="Times New Roman" w:cs="Times New Roman"/>
          <w:color w:val="auto"/>
        </w:rPr>
        <w:t>1.1.2社会经济</w:t>
      </w:r>
      <w:bookmarkEnd w:id="17"/>
    </w:p>
    <w:p>
      <w:pPr>
        <w:shd w:val="clear" w:color="auto" w:fill="FFFFFF"/>
        <w:spacing w:after="0" w:line="360" w:lineRule="auto"/>
        <w:ind w:firstLine="480" w:firstLineChars="200"/>
        <w:jc w:val="both"/>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eastAsiaTheme="minorEastAsia"/>
          <w:color w:val="auto"/>
          <w:sz w:val="24"/>
          <w:szCs w:val="24"/>
          <w:lang w:eastAsia="zh-CN"/>
        </w:rPr>
        <w:t>地区生产总值168.12亿元，同比增长6.8%</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其中第一、二、三产业分别完成4.59、77.41、86.12亿元，分别增长2.1%、5.9 %、7.9%。财政总收入6.08亿元</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不含邵阳经开区</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，增长2.9%。双清区全面小康提升幅度在全省一类县区中居第二位，获评全省全面小康推进工作先进县区。</w:t>
      </w:r>
    </w:p>
    <w:p>
      <w:pPr>
        <w:shd w:val="clear" w:color="auto" w:fill="FFFFFF"/>
        <w:spacing w:after="0" w:line="360" w:lineRule="auto"/>
        <w:ind w:firstLine="480" w:firstLineChars="200"/>
        <w:jc w:val="both"/>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eastAsiaTheme="minorEastAsia"/>
          <w:color w:val="auto"/>
          <w:sz w:val="24"/>
          <w:szCs w:val="24"/>
          <w:lang w:eastAsia="zh-CN"/>
        </w:rPr>
        <w:t>规模工业总产值达290.6亿元，增长7.02%，实现增加值48.26亿元，增长7.8%。新增规模工业企业39家，总数达到171家。全年研发科技经费投入达5.6亿元，占GDP比重上升到3.6%。智慧机械制造、再生资源利用、生物医药化工三大产业集群完成总产值144亿元，同比增长19%，占全区规模工业总产值的52.1%。其中三一专汽产值达到103亿元，实现了邵阳历史上百亿企业</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零</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的突破。扎实开展</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产业项目建设年</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活动，亚洲富士电梯、通达汽零等一批装备制造项目建成投产，邵阳电子信息产业园、韦全集团智能终端产业园等一批战略新兴产业项目落地开建。中电彩虹（邵阳</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特种玻璃第二条全自动化G7.5盖板玻璃生产线建设启动，高端制造业取得突破性发展。玉新药业、鑫鹏科技废钢综合利用技术改造项目竣工投产。维克液压技改项目采用纳米非晶自润滑涂层工艺为国内首创。</w:t>
      </w:r>
    </w:p>
    <w:p>
      <w:pPr>
        <w:shd w:val="clear" w:color="auto" w:fill="FFFFFF"/>
        <w:spacing w:after="0" w:line="360" w:lineRule="auto"/>
        <w:ind w:firstLine="480" w:firstLineChars="200"/>
        <w:jc w:val="both"/>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eastAsiaTheme="minorEastAsia"/>
          <w:color w:val="auto"/>
          <w:sz w:val="24"/>
          <w:szCs w:val="24"/>
          <w:lang w:eastAsia="zh-CN"/>
        </w:rPr>
        <w:t>农林牧渔业及服务业总产值10.65亿元，增长2.9%。大力推进农村一二三产业融合，积极发展</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互联网+订单农业</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，渡头桥蔬菜、莲荷苗木、渔长葡萄、朱家林果等特色产业不断壮大。全区家庭农场、专业合作社分别达到11家、31家，休闲农业总收入同比增长20%.深入推进农村人居环境综合整治。扎实开展</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清干净、摆整齐、圈家禽、真评比</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专项行动。全面落实垃圾分类处理，回收再生垃圾4000吨，回收站点实现全区农村范围内90%覆盖。整治</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空心房</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392栋，拆旧7.02万平方米。规划集中连片建房示范点2个。完成改厕1262户，今年6月，全市改厕现场推进会在百合村召开。乡村振兴成果丰硕。寒梅村评为全国乡村治理示范村，莲荷村入选第一批国家森林乡村，两塘村评为全省美丽乡村建设示范村。</w:t>
      </w:r>
    </w:p>
    <w:p>
      <w:pPr>
        <w:shd w:val="clear" w:color="auto" w:fill="FFFFFF"/>
        <w:spacing w:after="0" w:line="360" w:lineRule="auto"/>
        <w:ind w:firstLine="480" w:firstLineChars="200"/>
        <w:jc w:val="both"/>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eastAsiaTheme="minorEastAsia"/>
          <w:color w:val="auto"/>
          <w:sz w:val="24"/>
          <w:szCs w:val="24"/>
          <w:lang w:eastAsia="zh-CN"/>
        </w:rPr>
        <w:t>社会消费品零售总额全区社会消费品零售总额达到122亿元，增长0.2%。市场主体总量突破2万户，达到22146户，增速全市领先。友阿国际、金罗湾、湘西南大市场等商业综合体日益繁荣，湘桂黔建材城、三眼井等老旧市场管理进一步规范。零散商户入驻专业市场步伐加快，</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个转企、小升规</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来势较好，新增限额以上批零住宿企业21家、规模以上服务业5家、资质以上建筑业6家，服务业对GDP的贡献率达45.6%。大力推进现代商贸服务集聚区建设。志成新世界商业综合体海洋馆、大润发，大汉悦中心，卓嵩红星美凯龙等建成开业，步步高新天地、香港铜锣湾广场、邵阳进出口商品展示中心等项目加快推进，全区已建成大型商业综合体5家、大型专业市场10家，物流吞吐量突破50万吨，集中了市区70%以上市场交易，</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商贸圈、市场群、物流园、专业街</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的商贸物流格局进一步巩固。</w:t>
      </w:r>
    </w:p>
    <w:p>
      <w:pPr>
        <w:shd w:val="clear" w:color="auto" w:fill="FFFFFF"/>
        <w:spacing w:after="0" w:line="360" w:lineRule="auto"/>
        <w:ind w:firstLine="480" w:firstLineChars="200"/>
        <w:jc w:val="both"/>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eastAsiaTheme="minorEastAsia"/>
          <w:color w:val="auto"/>
          <w:sz w:val="24"/>
          <w:szCs w:val="24"/>
          <w:lang w:eastAsia="zh-CN"/>
        </w:rPr>
        <w:t>全年外贸进出口额完成5.5亿美元，增长52.7%，利用外资3200万美元，增长12.1%。全年共引进招商项目279个，总投资176亿元。大力支持皮革、发制品等优势企业、优势产品</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走出去</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，阳光发制品成功打入欧美高端市场。</w:t>
      </w:r>
    </w:p>
    <w:p>
      <w:pPr>
        <w:shd w:val="clear" w:color="auto" w:fill="FFFFFF"/>
        <w:spacing w:after="0" w:line="360" w:lineRule="auto"/>
        <w:ind w:firstLine="480" w:firstLineChars="200"/>
        <w:jc w:val="both"/>
        <w:rPr>
          <w:rFonts w:hint="default" w:ascii="Times New Roman" w:hAnsi="Times New Roman" w:cs="Times New Roman" w:eastAsiaTheme="minorEastAsia"/>
          <w:color w:val="auto"/>
          <w:sz w:val="18"/>
          <w:szCs w:val="18"/>
          <w:lang w:eastAsia="zh-CN"/>
        </w:rPr>
      </w:pPr>
      <w:r>
        <w:rPr>
          <w:rFonts w:hint="default" w:ascii="Times New Roman" w:hAnsi="Times New Roman" w:cs="Times New Roman" w:eastAsiaTheme="minorEastAsia"/>
          <w:color w:val="auto"/>
          <w:sz w:val="24"/>
          <w:szCs w:val="24"/>
          <w:lang w:eastAsia="zh-CN"/>
        </w:rPr>
        <w:t>固定资产投资（500万元以上项目</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121.8亿元，增长15.9%。全年66个重点项目，完成投资83.75亿元，完成年度计划投资102.6%，其中21个市重点项目完成投资37.88亿元，完成年度计划投资118.94%，42个产业项目完成投资53.7亿元，完成年度计划投资104.5%。投资过10亿元的千禧置业、投资过5亿元的小江湖粮库旧城改造等一批重大项目新开工。双清家苑顺利交付。双清公安分局业务用房主体竣工。市一中新校区投入使用。碧桂园凤凰城、邵阳碧桂园、路桥首府国际、和盛中央城等商业地产项目加力推进。全力开展重点项目拆迁攻坚，全面推行征地全程公证丈量，华湘商贸物流配送中心、市中医院医疗养老等项目征拆全部完成，攻克了龙须塘综合整治</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两路两沟</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工程、金罗湾国际商贸城、园北路拆迁扫尾等一批难题，维护了原湖南汽制棚改、京都伟业等重点项目的和谐稳定。</w:t>
      </w:r>
    </w:p>
    <w:p>
      <w:pPr>
        <w:pStyle w:val="4"/>
        <w:jc w:val="both"/>
        <w:rPr>
          <w:rFonts w:hint="default" w:ascii="Times New Roman" w:hAnsi="Times New Roman" w:cs="Times New Roman"/>
          <w:color w:val="auto"/>
        </w:rPr>
      </w:pPr>
      <w:bookmarkStart w:id="18" w:name="_Toc86763861"/>
      <w:bookmarkStart w:id="19" w:name="_Toc87513343"/>
      <w:bookmarkStart w:id="20" w:name="_Toc17527"/>
      <w:bookmarkStart w:id="21" w:name="_Toc25805"/>
      <w:r>
        <w:rPr>
          <w:rFonts w:hint="default" w:ascii="Times New Roman" w:hAnsi="Times New Roman" w:cs="Times New Roman"/>
          <w:color w:val="auto"/>
        </w:rPr>
        <w:t>1.2划界依据</w:t>
      </w:r>
      <w:bookmarkEnd w:id="18"/>
      <w:bookmarkEnd w:id="19"/>
      <w:bookmarkEnd w:id="20"/>
      <w:bookmarkEnd w:id="21"/>
    </w:p>
    <w:p>
      <w:pPr>
        <w:pStyle w:val="5"/>
        <w:jc w:val="both"/>
        <w:rPr>
          <w:rFonts w:hint="default" w:ascii="Times New Roman" w:hAnsi="Times New Roman" w:cs="Times New Roman"/>
          <w:color w:val="auto"/>
        </w:rPr>
      </w:pPr>
      <w:bookmarkStart w:id="22" w:name="_Toc86763862"/>
      <w:bookmarkStart w:id="23" w:name="_Toc5690"/>
      <w:r>
        <w:rPr>
          <w:rFonts w:hint="default" w:ascii="Times New Roman" w:hAnsi="Times New Roman" w:cs="Times New Roman"/>
          <w:color w:val="auto"/>
        </w:rPr>
        <w:t>1.2.1法律法规</w:t>
      </w:r>
      <w:bookmarkEnd w:id="22"/>
      <w:bookmarkEnd w:id="23"/>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（1</w:t>
      </w:r>
      <w:r>
        <w:rPr>
          <w:rStyle w:val="200"/>
          <w:rFonts w:hint="eastAsia" w:ascii="Times New Roman" w:hAnsi="Times New Roman" w:cs="Times New Roman"/>
          <w:color w:val="auto"/>
        </w:rPr>
        <w:t>）</w:t>
      </w:r>
      <w:r>
        <w:rPr>
          <w:rStyle w:val="200"/>
          <w:rFonts w:hint="default" w:ascii="Times New Roman" w:hAnsi="Times New Roman" w:cs="Times New Roman"/>
          <w:color w:val="auto"/>
        </w:rPr>
        <w:t>《中华人民共和国水法》（2016年修正</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（2</w:t>
      </w:r>
      <w:r>
        <w:rPr>
          <w:rStyle w:val="200"/>
          <w:rFonts w:hint="eastAsia" w:ascii="Times New Roman" w:hAnsi="Times New Roman" w:cs="Times New Roman"/>
          <w:color w:val="auto"/>
        </w:rPr>
        <w:t>）</w:t>
      </w:r>
      <w:r>
        <w:rPr>
          <w:rStyle w:val="200"/>
          <w:rFonts w:hint="default" w:ascii="Times New Roman" w:hAnsi="Times New Roman" w:cs="Times New Roman"/>
          <w:color w:val="auto"/>
        </w:rPr>
        <w:t>《中华人民共和国防洪法》（2016年修正</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（3</w:t>
      </w:r>
      <w:r>
        <w:rPr>
          <w:rStyle w:val="200"/>
          <w:rFonts w:hint="eastAsia" w:ascii="Times New Roman" w:hAnsi="Times New Roman" w:cs="Times New Roman"/>
          <w:color w:val="auto"/>
        </w:rPr>
        <w:t>）</w:t>
      </w:r>
      <w:r>
        <w:rPr>
          <w:rStyle w:val="200"/>
          <w:rFonts w:hint="default" w:ascii="Times New Roman" w:hAnsi="Times New Roman" w:cs="Times New Roman"/>
          <w:color w:val="auto"/>
        </w:rPr>
        <w:t>《中华人民共和国土地管理法》（2019年修正</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（4</w:t>
      </w:r>
      <w:r>
        <w:rPr>
          <w:rStyle w:val="200"/>
          <w:rFonts w:hint="eastAsia" w:ascii="Times New Roman" w:hAnsi="Times New Roman" w:cs="Times New Roman"/>
          <w:color w:val="auto"/>
        </w:rPr>
        <w:t>）</w:t>
      </w:r>
      <w:r>
        <w:rPr>
          <w:rStyle w:val="200"/>
          <w:rFonts w:hint="default" w:ascii="Times New Roman" w:hAnsi="Times New Roman" w:cs="Times New Roman"/>
          <w:color w:val="auto"/>
        </w:rPr>
        <w:t>《中华人民共和国河道管理条例》（2018年修正</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（5</w:t>
      </w:r>
      <w:r>
        <w:rPr>
          <w:rStyle w:val="200"/>
          <w:rFonts w:hint="eastAsia" w:ascii="Times New Roman" w:hAnsi="Times New Roman" w:cs="Times New Roman"/>
          <w:color w:val="auto"/>
        </w:rPr>
        <w:t>）</w:t>
      </w:r>
      <w:r>
        <w:rPr>
          <w:rStyle w:val="200"/>
          <w:rFonts w:hint="default" w:ascii="Times New Roman" w:hAnsi="Times New Roman" w:cs="Times New Roman"/>
          <w:color w:val="auto"/>
        </w:rPr>
        <w:t>《地图管理条例》（2015年</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（6</w:t>
      </w:r>
      <w:bookmarkStart w:id="24" w:name="_Hlk82377464"/>
      <w:r>
        <w:rPr>
          <w:rStyle w:val="200"/>
          <w:rFonts w:hint="eastAsia" w:ascii="Times New Roman" w:hAnsi="Times New Roman" w:cs="Times New Roman"/>
          <w:color w:val="auto"/>
        </w:rPr>
        <w:t>）</w:t>
      </w:r>
      <w:r>
        <w:rPr>
          <w:rStyle w:val="200"/>
          <w:rFonts w:hint="default" w:ascii="Times New Roman" w:hAnsi="Times New Roman" w:cs="Times New Roman"/>
          <w:color w:val="auto"/>
        </w:rPr>
        <w:t>《湖南省实施＜中华人民共和国水法＞办法》（2012年修订</w:t>
      </w:r>
      <w:bookmarkEnd w:id="24"/>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（7</w:t>
      </w:r>
      <w:r>
        <w:rPr>
          <w:rStyle w:val="200"/>
          <w:rFonts w:hint="eastAsia" w:ascii="Times New Roman" w:hAnsi="Times New Roman" w:cs="Times New Roman"/>
          <w:color w:val="auto"/>
        </w:rPr>
        <w:t>）</w:t>
      </w:r>
      <w:r>
        <w:rPr>
          <w:rStyle w:val="200"/>
          <w:rFonts w:hint="default" w:ascii="Times New Roman" w:hAnsi="Times New Roman" w:cs="Times New Roman"/>
          <w:color w:val="auto"/>
        </w:rPr>
        <w:t>《湖南省实施＜中华人民共和国防洪法＞办法》（2018年修订</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（8</w:t>
      </w:r>
      <w:r>
        <w:rPr>
          <w:rStyle w:val="200"/>
          <w:rFonts w:hint="eastAsia" w:ascii="Times New Roman" w:hAnsi="Times New Roman" w:cs="Times New Roman"/>
          <w:color w:val="auto"/>
        </w:rPr>
        <w:t>）</w:t>
      </w:r>
      <w:r>
        <w:rPr>
          <w:rStyle w:val="200"/>
          <w:rFonts w:hint="default" w:ascii="Times New Roman" w:hAnsi="Times New Roman" w:cs="Times New Roman"/>
          <w:color w:val="auto"/>
        </w:rPr>
        <w:t>《湖南省实施＜中华人民共和国土地管理法＞办法》（2016年修正本</w:t>
      </w:r>
      <w:r>
        <w:rPr>
          <w:rStyle w:val="200"/>
          <w:rFonts w:hint="eastAsia" w:ascii="Times New Roman" w:hAnsi="Times New Roman" w:cs="Times New Roman"/>
          <w:color w:val="auto"/>
        </w:rPr>
        <w:t>）</w:t>
      </w:r>
    </w:p>
    <w:p>
      <w:pPr>
        <w:pStyle w:val="5"/>
        <w:jc w:val="both"/>
        <w:rPr>
          <w:rFonts w:hint="default" w:ascii="Times New Roman" w:hAnsi="Times New Roman" w:cs="Times New Roman"/>
          <w:color w:val="auto"/>
        </w:rPr>
      </w:pPr>
      <w:bookmarkStart w:id="25" w:name="_Toc27933"/>
      <w:bookmarkStart w:id="26" w:name="_Toc86763863"/>
      <w:r>
        <w:rPr>
          <w:rFonts w:hint="default" w:ascii="Times New Roman" w:hAnsi="Times New Roman" w:cs="Times New Roman"/>
          <w:color w:val="auto"/>
        </w:rPr>
        <w:t>1.2.2规程规范</w:t>
      </w:r>
      <w:bookmarkEnd w:id="25"/>
      <w:bookmarkEnd w:id="26"/>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（1</w:t>
      </w:r>
      <w:r>
        <w:rPr>
          <w:rStyle w:val="200"/>
          <w:rFonts w:hint="eastAsia" w:ascii="Times New Roman" w:hAnsi="Times New Roman" w:cs="Times New Roman"/>
          <w:color w:val="auto"/>
        </w:rPr>
        <w:t>）</w:t>
      </w:r>
      <w:r>
        <w:rPr>
          <w:rStyle w:val="200"/>
          <w:rFonts w:hint="default" w:ascii="Times New Roman" w:hAnsi="Times New Roman" w:cs="Times New Roman"/>
          <w:color w:val="auto"/>
        </w:rPr>
        <w:t>《防洪标准》（GB 50201-2014</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（2</w:t>
      </w:r>
      <w:r>
        <w:rPr>
          <w:rStyle w:val="200"/>
          <w:rFonts w:hint="eastAsia" w:ascii="Times New Roman" w:hAnsi="Times New Roman" w:cs="Times New Roman"/>
          <w:color w:val="auto"/>
        </w:rPr>
        <w:t>）</w:t>
      </w:r>
      <w:r>
        <w:rPr>
          <w:rStyle w:val="200"/>
          <w:rFonts w:hint="default" w:ascii="Times New Roman" w:hAnsi="Times New Roman" w:cs="Times New Roman"/>
          <w:color w:val="auto"/>
        </w:rPr>
        <w:t>《水库工程管理设计规范》（SL106-2017</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（3</w:t>
      </w:r>
      <w:r>
        <w:rPr>
          <w:rStyle w:val="200"/>
          <w:rFonts w:hint="eastAsia" w:ascii="Times New Roman" w:hAnsi="Times New Roman" w:cs="Times New Roman"/>
          <w:color w:val="auto"/>
        </w:rPr>
        <w:t>）</w:t>
      </w:r>
      <w:r>
        <w:rPr>
          <w:rStyle w:val="200"/>
          <w:rFonts w:hint="default" w:ascii="Times New Roman" w:hAnsi="Times New Roman" w:cs="Times New Roman"/>
          <w:color w:val="auto"/>
        </w:rPr>
        <w:t>《蓄滞洪区设计规范》（GB50773-2012</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（4</w:t>
      </w:r>
      <w:r>
        <w:rPr>
          <w:rStyle w:val="200"/>
          <w:rFonts w:hint="eastAsia" w:ascii="Times New Roman" w:hAnsi="Times New Roman" w:cs="Times New Roman"/>
          <w:color w:val="auto"/>
        </w:rPr>
        <w:t>）</w:t>
      </w:r>
      <w:r>
        <w:rPr>
          <w:rStyle w:val="200"/>
          <w:rFonts w:hint="default" w:ascii="Times New Roman" w:hAnsi="Times New Roman" w:cs="Times New Roman"/>
          <w:color w:val="auto"/>
        </w:rPr>
        <w:t>《水利水电工程等级划分及洪水标准》（SL252-2017</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（5</w:t>
      </w:r>
      <w:r>
        <w:rPr>
          <w:rStyle w:val="200"/>
          <w:rFonts w:hint="eastAsia" w:ascii="Times New Roman" w:hAnsi="Times New Roman" w:cs="Times New Roman"/>
          <w:color w:val="auto"/>
        </w:rPr>
        <w:t>）</w:t>
      </w:r>
      <w:r>
        <w:rPr>
          <w:rStyle w:val="200"/>
          <w:rFonts w:hint="default" w:ascii="Times New Roman" w:hAnsi="Times New Roman" w:cs="Times New Roman"/>
          <w:color w:val="auto"/>
        </w:rPr>
        <w:t>《水利水电工程设计洪水计算规范》（SL44-2006</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（6</w:t>
      </w:r>
      <w:r>
        <w:rPr>
          <w:rStyle w:val="200"/>
          <w:rFonts w:hint="eastAsia" w:ascii="Times New Roman" w:hAnsi="Times New Roman" w:cs="Times New Roman"/>
          <w:color w:val="auto"/>
        </w:rPr>
        <w:t>）</w:t>
      </w:r>
      <w:r>
        <w:rPr>
          <w:rStyle w:val="200"/>
          <w:rFonts w:hint="default" w:ascii="Times New Roman" w:hAnsi="Times New Roman" w:cs="Times New Roman"/>
          <w:color w:val="auto"/>
        </w:rPr>
        <w:t>《水利水电工程建设征地移民安置规划设计规范》（SL 290-2009</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（7</w:t>
      </w:r>
      <w:r>
        <w:rPr>
          <w:rStyle w:val="200"/>
          <w:rFonts w:hint="eastAsia" w:ascii="Times New Roman" w:hAnsi="Times New Roman" w:cs="Times New Roman"/>
          <w:color w:val="auto"/>
        </w:rPr>
        <w:t>）</w:t>
      </w:r>
      <w:r>
        <w:rPr>
          <w:rStyle w:val="200"/>
          <w:rFonts w:hint="default" w:ascii="Times New Roman" w:hAnsi="Times New Roman" w:cs="Times New Roman"/>
          <w:color w:val="auto"/>
        </w:rPr>
        <w:t>《水利水电工程测量规范》（SL 197-2013</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（8</w:t>
      </w:r>
      <w:r>
        <w:rPr>
          <w:rStyle w:val="200"/>
          <w:rFonts w:hint="eastAsia" w:ascii="Times New Roman" w:hAnsi="Times New Roman" w:cs="Times New Roman"/>
          <w:color w:val="auto"/>
        </w:rPr>
        <w:t>）</w:t>
      </w:r>
      <w:r>
        <w:rPr>
          <w:rStyle w:val="200"/>
          <w:rFonts w:hint="default" w:ascii="Times New Roman" w:hAnsi="Times New Roman" w:cs="Times New Roman"/>
          <w:color w:val="auto"/>
        </w:rPr>
        <w:t>《1</w:t>
      </w:r>
      <w:r>
        <w:rPr>
          <w:rStyle w:val="200"/>
          <w:rFonts w:hint="eastAsia" w:ascii="Times New Roman" w:hAnsi="Times New Roman" w:cs="Times New Roman"/>
          <w:color w:val="auto"/>
        </w:rPr>
        <w:t>：</w:t>
      </w:r>
      <w:r>
        <w:rPr>
          <w:rStyle w:val="200"/>
          <w:rFonts w:hint="default" w:ascii="Times New Roman" w:hAnsi="Times New Roman" w:cs="Times New Roman"/>
          <w:color w:val="auto"/>
        </w:rPr>
        <w:t>500 1</w:t>
      </w:r>
      <w:r>
        <w:rPr>
          <w:rStyle w:val="200"/>
          <w:rFonts w:hint="eastAsia" w:ascii="Times New Roman" w:hAnsi="Times New Roman" w:cs="Times New Roman"/>
          <w:color w:val="auto"/>
        </w:rPr>
        <w:t>：</w:t>
      </w:r>
      <w:r>
        <w:rPr>
          <w:rStyle w:val="200"/>
          <w:rFonts w:hint="default" w:ascii="Times New Roman" w:hAnsi="Times New Roman" w:cs="Times New Roman"/>
          <w:color w:val="auto"/>
        </w:rPr>
        <w:t>1000 1</w:t>
      </w:r>
      <w:r>
        <w:rPr>
          <w:rStyle w:val="200"/>
          <w:rFonts w:hint="eastAsia" w:ascii="Times New Roman" w:hAnsi="Times New Roman" w:cs="Times New Roman"/>
          <w:color w:val="auto"/>
        </w:rPr>
        <w:t>：</w:t>
      </w:r>
      <w:r>
        <w:rPr>
          <w:rStyle w:val="200"/>
          <w:rFonts w:hint="default" w:ascii="Times New Roman" w:hAnsi="Times New Roman" w:cs="Times New Roman"/>
          <w:color w:val="auto"/>
        </w:rPr>
        <w:t>2000地形图航空摄影测量内业规范》（GB/T 7930-2008</w:t>
      </w:r>
      <w:r>
        <w:rPr>
          <w:rStyle w:val="200"/>
          <w:rFonts w:hint="eastAsia" w:ascii="Times New Roman" w:hAnsi="Times New Roman" w:cs="Times New Roman"/>
          <w:color w:val="auto"/>
        </w:rPr>
        <w:t>）</w:t>
      </w:r>
      <w:r>
        <w:rPr>
          <w:rStyle w:val="200"/>
          <w:rFonts w:hint="default"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（9</w:t>
      </w:r>
      <w:r>
        <w:rPr>
          <w:rStyle w:val="200"/>
          <w:rFonts w:hint="eastAsia" w:ascii="Times New Roman" w:hAnsi="Times New Roman" w:cs="Times New Roman"/>
          <w:color w:val="auto"/>
        </w:rPr>
        <w:t>）</w:t>
      </w:r>
      <w:r>
        <w:rPr>
          <w:rStyle w:val="200"/>
          <w:rFonts w:hint="default" w:ascii="Times New Roman" w:hAnsi="Times New Roman" w:cs="Times New Roman"/>
          <w:color w:val="auto"/>
        </w:rPr>
        <w:t>《1</w:t>
      </w:r>
      <w:r>
        <w:rPr>
          <w:rStyle w:val="200"/>
          <w:rFonts w:hint="eastAsia" w:ascii="Times New Roman" w:hAnsi="Times New Roman" w:cs="Times New Roman"/>
          <w:color w:val="auto"/>
        </w:rPr>
        <w:t>：</w:t>
      </w:r>
      <w:r>
        <w:rPr>
          <w:rStyle w:val="200"/>
          <w:rFonts w:hint="default" w:ascii="Times New Roman" w:hAnsi="Times New Roman" w:cs="Times New Roman"/>
          <w:color w:val="auto"/>
        </w:rPr>
        <w:t>500 1</w:t>
      </w:r>
      <w:r>
        <w:rPr>
          <w:rStyle w:val="200"/>
          <w:rFonts w:hint="eastAsia" w:ascii="Times New Roman" w:hAnsi="Times New Roman" w:cs="Times New Roman"/>
          <w:color w:val="auto"/>
        </w:rPr>
        <w:t>：</w:t>
      </w:r>
      <w:r>
        <w:rPr>
          <w:rStyle w:val="200"/>
          <w:rFonts w:hint="default" w:ascii="Times New Roman" w:hAnsi="Times New Roman" w:cs="Times New Roman"/>
          <w:color w:val="auto"/>
        </w:rPr>
        <w:t>1000 1</w:t>
      </w:r>
      <w:r>
        <w:rPr>
          <w:rStyle w:val="200"/>
          <w:rFonts w:hint="eastAsia" w:ascii="Times New Roman" w:hAnsi="Times New Roman" w:cs="Times New Roman"/>
          <w:color w:val="auto"/>
        </w:rPr>
        <w:t>：</w:t>
      </w:r>
      <w:r>
        <w:rPr>
          <w:rStyle w:val="200"/>
          <w:rFonts w:hint="default" w:ascii="Times New Roman" w:hAnsi="Times New Roman" w:cs="Times New Roman"/>
          <w:color w:val="auto"/>
        </w:rPr>
        <w:t>2000 地形图航空摄影测量外业规范》（GB／T 7931-2008</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（10</w:t>
      </w:r>
      <w:r>
        <w:rPr>
          <w:rStyle w:val="200"/>
          <w:rFonts w:hint="eastAsia" w:ascii="Times New Roman" w:hAnsi="Times New Roman" w:cs="Times New Roman"/>
          <w:color w:val="auto"/>
        </w:rPr>
        <w:t>）</w:t>
      </w:r>
      <w:r>
        <w:rPr>
          <w:rStyle w:val="200"/>
          <w:rFonts w:hint="default" w:ascii="Times New Roman" w:hAnsi="Times New Roman" w:cs="Times New Roman"/>
          <w:color w:val="auto"/>
        </w:rPr>
        <w:t>《国家基本比例尺地形图图式第1部分：1</w:t>
      </w:r>
      <w:r>
        <w:rPr>
          <w:rStyle w:val="200"/>
          <w:rFonts w:hint="eastAsia" w:ascii="Times New Roman" w:hAnsi="Times New Roman" w:cs="Times New Roman"/>
          <w:color w:val="auto"/>
        </w:rPr>
        <w:t>：</w:t>
      </w:r>
      <w:r>
        <w:rPr>
          <w:rStyle w:val="200"/>
          <w:rFonts w:hint="default" w:ascii="Times New Roman" w:hAnsi="Times New Roman" w:cs="Times New Roman"/>
          <w:color w:val="auto"/>
        </w:rPr>
        <w:t>500 1</w:t>
      </w:r>
      <w:r>
        <w:rPr>
          <w:rStyle w:val="200"/>
          <w:rFonts w:hint="eastAsia" w:ascii="Times New Roman" w:hAnsi="Times New Roman" w:cs="Times New Roman"/>
          <w:color w:val="auto"/>
        </w:rPr>
        <w:t>：</w:t>
      </w:r>
      <w:r>
        <w:rPr>
          <w:rStyle w:val="200"/>
          <w:rFonts w:hint="default" w:ascii="Times New Roman" w:hAnsi="Times New Roman" w:cs="Times New Roman"/>
          <w:color w:val="auto"/>
        </w:rPr>
        <w:t>1000 1</w:t>
      </w:r>
      <w:r>
        <w:rPr>
          <w:rStyle w:val="200"/>
          <w:rFonts w:hint="eastAsia" w:ascii="Times New Roman" w:hAnsi="Times New Roman" w:cs="Times New Roman"/>
          <w:color w:val="auto"/>
        </w:rPr>
        <w:t>：</w:t>
      </w:r>
      <w:r>
        <w:rPr>
          <w:rStyle w:val="200"/>
          <w:rFonts w:hint="default" w:ascii="Times New Roman" w:hAnsi="Times New Roman" w:cs="Times New Roman"/>
          <w:color w:val="auto"/>
        </w:rPr>
        <w:t>2000地形图图式》（GB/T 20257.1-2017</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（11</w:t>
      </w:r>
      <w:r>
        <w:rPr>
          <w:rStyle w:val="200"/>
          <w:rFonts w:hint="eastAsia" w:ascii="Times New Roman" w:hAnsi="Times New Roman" w:cs="Times New Roman"/>
          <w:color w:val="auto"/>
        </w:rPr>
        <w:t>）</w:t>
      </w:r>
      <w:r>
        <w:rPr>
          <w:rStyle w:val="200"/>
          <w:rFonts w:hint="default" w:ascii="Times New Roman" w:hAnsi="Times New Roman" w:cs="Times New Roman"/>
          <w:color w:val="auto"/>
        </w:rPr>
        <w:t>《基础地理信息要素分类与代码》（GB/T 13923-2006</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（12</w:t>
      </w:r>
      <w:r>
        <w:rPr>
          <w:rStyle w:val="200"/>
          <w:rFonts w:hint="eastAsia" w:ascii="Times New Roman" w:hAnsi="Times New Roman" w:cs="Times New Roman"/>
          <w:color w:val="auto"/>
        </w:rPr>
        <w:t>）</w:t>
      </w:r>
      <w:r>
        <w:rPr>
          <w:rStyle w:val="200"/>
          <w:rFonts w:hint="default" w:ascii="Times New Roman" w:hAnsi="Times New Roman" w:cs="Times New Roman"/>
          <w:color w:val="auto"/>
        </w:rPr>
        <w:t>《全球定位系统实时动态测量（RTK</w:t>
      </w:r>
      <w:r>
        <w:rPr>
          <w:rStyle w:val="200"/>
          <w:rFonts w:hint="eastAsia" w:ascii="Times New Roman" w:hAnsi="Times New Roman" w:cs="Times New Roman"/>
          <w:color w:val="auto"/>
        </w:rPr>
        <w:t>）</w:t>
      </w:r>
      <w:r>
        <w:rPr>
          <w:rStyle w:val="200"/>
          <w:rFonts w:hint="default" w:ascii="Times New Roman" w:hAnsi="Times New Roman" w:cs="Times New Roman"/>
          <w:color w:val="auto"/>
        </w:rPr>
        <w:t>技术规范》（CH/T 2009-2010</w:t>
      </w:r>
      <w:r>
        <w:rPr>
          <w:rStyle w:val="200"/>
          <w:rFonts w:hint="eastAsia" w:ascii="Times New Roman" w:hAnsi="Times New Roman" w:cs="Times New Roman"/>
          <w:color w:val="auto"/>
        </w:rPr>
        <w:t>）</w:t>
      </w:r>
    </w:p>
    <w:p>
      <w:pPr>
        <w:spacing w:after="0" w:line="360" w:lineRule="auto"/>
        <w:ind w:firstLine="482"/>
        <w:jc w:val="both"/>
        <w:rPr>
          <w:rStyle w:val="200"/>
          <w:rFonts w:hint="default" w:ascii="Times New Roman" w:hAnsi="Times New Roman" w:cs="Times New Roman"/>
          <w:color w:val="auto"/>
        </w:rPr>
      </w:pPr>
      <w:r>
        <w:rPr>
          <w:rStyle w:val="200"/>
          <w:rFonts w:hint="default" w:ascii="Times New Roman" w:hAnsi="Times New Roman" w:cs="Times New Roman"/>
          <w:color w:val="auto"/>
        </w:rPr>
        <w:t>（13</w:t>
      </w:r>
      <w:r>
        <w:rPr>
          <w:rStyle w:val="200"/>
          <w:rFonts w:hint="eastAsia" w:ascii="Times New Roman" w:hAnsi="Times New Roman" w:cs="Times New Roman"/>
          <w:color w:val="auto"/>
        </w:rPr>
        <w:t>）</w:t>
      </w:r>
      <w:r>
        <w:rPr>
          <w:rStyle w:val="200"/>
          <w:rFonts w:hint="default" w:ascii="Times New Roman" w:hAnsi="Times New Roman" w:cs="Times New Roman"/>
          <w:color w:val="auto"/>
        </w:rPr>
        <w:t>《数字测绘成果质量检查与验收》（GB/T 18316-2008</w:t>
      </w:r>
      <w:r>
        <w:rPr>
          <w:rStyle w:val="200"/>
          <w:rFonts w:hint="eastAsia" w:ascii="Times New Roman" w:hAnsi="Times New Roman" w:cs="Times New Roman"/>
          <w:color w:val="auto"/>
        </w:rPr>
        <w:t>）</w:t>
      </w:r>
    </w:p>
    <w:p>
      <w:pPr>
        <w:pStyle w:val="5"/>
        <w:jc w:val="both"/>
        <w:rPr>
          <w:rFonts w:hint="default" w:ascii="Times New Roman" w:hAnsi="Times New Roman" w:cs="Times New Roman"/>
          <w:color w:val="auto"/>
        </w:rPr>
      </w:pPr>
      <w:bookmarkStart w:id="27" w:name="_Toc86763864"/>
      <w:bookmarkStart w:id="28" w:name="_Toc32675"/>
      <w:r>
        <w:rPr>
          <w:rFonts w:hint="default" w:ascii="Times New Roman" w:hAnsi="Times New Roman" w:cs="Times New Roman"/>
          <w:color w:val="auto"/>
        </w:rPr>
        <w:t>1.2.3政策文件</w:t>
      </w:r>
      <w:bookmarkEnd w:id="27"/>
      <w:bookmarkEnd w:id="28"/>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《关于水利水电工程建设用地有关问题的通知》（国土资发〔2001〕355号</w:t>
      </w:r>
      <w:r>
        <w:rPr>
          <w:rFonts w:hint="eastAsia"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《水利部关于深化水利改革的指导意见》（水规计〔2014〕48号</w:t>
      </w:r>
      <w:r>
        <w:rPr>
          <w:rFonts w:hint="eastAsia"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（3</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《关于加强河湖管理工作的指导意见》（水建管〔2014〕76号</w:t>
      </w:r>
      <w:r>
        <w:rPr>
          <w:rFonts w:hint="eastAsia"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（4</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《水利部关于开展河湖管理范围和水利工程管理与保护范围划定工作的通知》（水建管〔2014〕285号</w:t>
      </w:r>
      <w:r>
        <w:rPr>
          <w:rFonts w:hint="eastAsia"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（5</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《关于加快推进水利工程管理与保护范围划定工作的通知》（水运管〔2018〕339号</w:t>
      </w:r>
      <w:r>
        <w:rPr>
          <w:rFonts w:hint="eastAsia"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（6</w:t>
      </w:r>
      <w:bookmarkStart w:id="29" w:name="_Hlk82379699"/>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湖南省水利工程管理与保护范围划界工作指南、湖南省水利工程管理与保护范围划界技术指南（试行</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（湘水办函</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2020</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227号</w:t>
      </w:r>
      <w:bookmarkEnd w:id="29"/>
      <w:r>
        <w:rPr>
          <w:rFonts w:hint="eastAsia"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（7</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关于印发湖南省水利工程管理与保护范围划界成果制图规定和数据格式规定的通知（湘水办</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2021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13号</w:t>
      </w:r>
      <w:r>
        <w:rPr>
          <w:rFonts w:hint="eastAsia" w:ascii="Times New Roman" w:hAnsi="Times New Roman" w:cs="Times New Roman" w:eastAsiaTheme="minorEastAsia"/>
          <w:color w:val="auto"/>
          <w:sz w:val="24"/>
          <w:szCs w:val="24"/>
          <w:lang w:eastAsia="zh-CN"/>
        </w:rPr>
        <w:t>）</w:t>
      </w:r>
    </w:p>
    <w:p>
      <w:pPr>
        <w:spacing w:after="0" w:line="360" w:lineRule="auto"/>
        <w:ind w:firstLine="482"/>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（8</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关于做好全省小（2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型水库工程管理与保护范围划定工作的通知（湘水函</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2021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147号</w:t>
      </w:r>
      <w:r>
        <w:rPr>
          <w:rFonts w:hint="eastAsia"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9</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邵阳市水利局关于进一步做好全市小（2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型水库工程管理与保护范围划定工作的通知（邵水办</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2021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71号</w:t>
      </w:r>
      <w:r>
        <w:rPr>
          <w:rFonts w:hint="eastAsia" w:ascii="Times New Roman" w:hAnsi="Times New Roman" w:cs="Times New Roman" w:eastAsiaTheme="minorEastAsia"/>
          <w:color w:val="auto"/>
          <w:sz w:val="24"/>
          <w:szCs w:val="24"/>
          <w:lang w:eastAsia="zh-CN"/>
        </w:rPr>
        <w:t>）</w:t>
      </w:r>
    </w:p>
    <w:p>
      <w:pPr>
        <w:pStyle w:val="5"/>
        <w:jc w:val="both"/>
        <w:rPr>
          <w:rFonts w:hint="default" w:ascii="Times New Roman" w:hAnsi="Times New Roman" w:cs="Times New Roman"/>
          <w:color w:val="auto"/>
        </w:rPr>
      </w:pPr>
      <w:bookmarkStart w:id="30" w:name="_Toc86763865"/>
      <w:bookmarkStart w:id="31" w:name="_Toc20340"/>
      <w:r>
        <w:rPr>
          <w:rFonts w:hint="default" w:ascii="Times New Roman" w:hAnsi="Times New Roman" w:cs="Times New Roman"/>
          <w:color w:val="auto"/>
        </w:rPr>
        <w:t>1.2.4</w:t>
      </w:r>
      <w:bookmarkEnd w:id="30"/>
      <w:r>
        <w:rPr>
          <w:rFonts w:hint="default" w:ascii="Times New Roman" w:hAnsi="Times New Roman" w:cs="Times New Roman"/>
          <w:color w:val="auto"/>
        </w:rPr>
        <w:t>基础资料</w:t>
      </w:r>
      <w:bookmarkEnd w:id="31"/>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《湖南省</w:t>
      </w:r>
      <w:r>
        <w:rPr>
          <w:rFonts w:hint="default" w:ascii="Times New Roman" w:hAnsi="Times New Roman" w:cs="Times New Roman" w:eastAsiaTheme="minorEastAsia"/>
          <w:color w:val="auto"/>
          <w:sz w:val="24"/>
          <w:szCs w:val="24"/>
          <w:lang w:val="en-US" w:eastAsia="zh-CN"/>
        </w:rPr>
        <w:t>双清区</w:t>
      </w:r>
      <w:r>
        <w:rPr>
          <w:rFonts w:hint="default" w:ascii="Times New Roman" w:hAnsi="Times New Roman" w:cs="Times New Roman" w:eastAsiaTheme="minorEastAsia"/>
          <w:color w:val="auto"/>
          <w:sz w:val="24"/>
          <w:szCs w:val="24"/>
          <w:lang w:eastAsia="zh-CN"/>
        </w:rPr>
        <w:t>小型水库除险加固初步设计报告》中的洪水成果</w:t>
      </w:r>
    </w:p>
    <w:p>
      <w:pPr>
        <w:spacing w:after="0" w:line="360" w:lineRule="auto"/>
        <w:ind w:firstLine="480" w:firstLineChars="200"/>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2004年12月航摄，</w:t>
      </w:r>
      <w:r>
        <w:rPr>
          <w:rFonts w:hint="default" w:ascii="Times New Roman" w:hAnsi="Times New Roman" w:cs="Times New Roman" w:eastAsiaTheme="minorEastAsia"/>
          <w:sz w:val="24"/>
          <w:szCs w:val="24"/>
          <w:lang w:val="en-US" w:eastAsia="zh-CN"/>
        </w:rPr>
        <w:t>湖南省自然资源厅组织生产</w:t>
      </w:r>
      <w:r>
        <w:rPr>
          <w:rFonts w:hint="default" w:ascii="Times New Roman" w:hAnsi="Times New Roman" w:cs="Times New Roman" w:eastAsiaTheme="minorEastAsia"/>
          <w:sz w:val="24"/>
          <w:szCs w:val="24"/>
          <w:lang w:eastAsia="zh-CN"/>
        </w:rPr>
        <w:t>的1</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2000</w:t>
      </w:r>
      <w:r>
        <w:rPr>
          <w:rFonts w:hint="default" w:ascii="Times New Roman" w:hAnsi="Times New Roman" w:cs="Times New Roman" w:eastAsiaTheme="minorEastAsia"/>
          <w:sz w:val="24"/>
          <w:szCs w:val="24"/>
          <w:lang w:eastAsia="zh-CN"/>
        </w:rPr>
        <w:t>地形图</w:t>
      </w:r>
    </w:p>
    <w:p>
      <w:pPr>
        <w:spacing w:after="0" w:line="360" w:lineRule="auto"/>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（3</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第一次全国水利普查资料</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（4</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水利工程注册登记资料</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（5</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不动产统一登记基础数据建设项目成果</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（6</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农村集体土地所有权确权成果</w:t>
      </w:r>
    </w:p>
    <w:p>
      <w:pPr>
        <w:spacing w:after="0" w:line="360" w:lineRule="auto"/>
        <w:ind w:firstLine="482"/>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（8</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双清</w:t>
      </w:r>
      <w:r>
        <w:rPr>
          <w:rFonts w:hint="default" w:ascii="Times New Roman" w:hAnsi="Times New Roman" w:cs="Times New Roman" w:eastAsiaTheme="minorEastAsia"/>
          <w:color w:val="auto"/>
          <w:sz w:val="24"/>
          <w:szCs w:val="24"/>
          <w:lang w:eastAsia="zh-CN"/>
        </w:rPr>
        <w:t>区第三次国土调查统筹影像</w:t>
      </w:r>
    </w:p>
    <w:p>
      <w:pPr>
        <w:spacing w:after="0" w:line="360" w:lineRule="auto"/>
        <w:ind w:firstLine="482"/>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（9</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湖南省地理国情普查成果（2018年度</w:t>
      </w:r>
      <w:r>
        <w:rPr>
          <w:rFonts w:hint="eastAsia" w:ascii="Times New Roman" w:hAnsi="Times New Roman" w:cs="Times New Roman" w:eastAsiaTheme="minorEastAsia"/>
          <w:color w:val="auto"/>
          <w:sz w:val="24"/>
          <w:szCs w:val="24"/>
          <w:lang w:eastAsia="zh-CN"/>
        </w:rPr>
        <w:t>）</w:t>
      </w:r>
    </w:p>
    <w:p>
      <w:pPr>
        <w:spacing w:after="0" w:line="360" w:lineRule="auto"/>
        <w:ind w:firstLine="482"/>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（10</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双清</w:t>
      </w:r>
      <w:r>
        <w:rPr>
          <w:rFonts w:hint="default" w:ascii="Times New Roman" w:hAnsi="Times New Roman" w:cs="Times New Roman" w:eastAsiaTheme="minorEastAsia"/>
          <w:color w:val="auto"/>
          <w:sz w:val="24"/>
          <w:szCs w:val="24"/>
          <w:lang w:eastAsia="zh-CN"/>
        </w:rPr>
        <w:t>区基本农田数据</w:t>
      </w:r>
    </w:p>
    <w:p>
      <w:pPr>
        <w:spacing w:after="0" w:line="360" w:lineRule="auto"/>
        <w:ind w:firstLine="482"/>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双清</w:t>
      </w:r>
      <w:r>
        <w:rPr>
          <w:rFonts w:hint="default" w:ascii="Times New Roman" w:hAnsi="Times New Roman" w:cs="Times New Roman" w:eastAsiaTheme="minorEastAsia"/>
          <w:color w:val="auto"/>
          <w:sz w:val="24"/>
          <w:szCs w:val="24"/>
          <w:lang w:eastAsia="zh-CN"/>
        </w:rPr>
        <w:t>区生态红线数据</w:t>
      </w:r>
    </w:p>
    <w:p>
      <w:pPr>
        <w:spacing w:after="0" w:line="360" w:lineRule="auto"/>
        <w:ind w:firstLine="482"/>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双清</w:t>
      </w:r>
      <w:r>
        <w:rPr>
          <w:rFonts w:hint="default" w:ascii="Times New Roman" w:hAnsi="Times New Roman" w:cs="Times New Roman" w:eastAsiaTheme="minorEastAsia"/>
          <w:color w:val="auto"/>
          <w:sz w:val="24"/>
          <w:szCs w:val="24"/>
          <w:lang w:eastAsia="zh-CN"/>
        </w:rPr>
        <w:t>区已审批建设用地红线数据</w:t>
      </w:r>
    </w:p>
    <w:p>
      <w:pPr>
        <w:spacing w:after="0" w:line="360" w:lineRule="auto"/>
        <w:ind w:firstLine="480" w:firstLineChars="200"/>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w:t>
      </w:r>
      <w:r>
        <w:rPr>
          <w:rFonts w:hint="default" w:ascii="Times New Roman" w:hAnsi="Times New Roman" w:cs="Times New Roman" w:eastAsiaTheme="minorEastAsia"/>
          <w:color w:val="auto"/>
          <w:sz w:val="24"/>
          <w:szCs w:val="24"/>
          <w:lang w:val="en-US" w:eastAsia="zh-CN"/>
        </w:rPr>
        <w:t>3</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已有管理与保护范围划界资料</w:t>
      </w:r>
    </w:p>
    <w:p>
      <w:pPr>
        <w:pStyle w:val="4"/>
        <w:jc w:val="both"/>
        <w:rPr>
          <w:rFonts w:hint="default" w:ascii="Times New Roman" w:hAnsi="Times New Roman" w:cs="Times New Roman"/>
          <w:color w:val="auto"/>
        </w:rPr>
      </w:pPr>
      <w:bookmarkStart w:id="32" w:name="_Toc86763866"/>
      <w:bookmarkStart w:id="33" w:name="_Toc15962"/>
      <w:bookmarkStart w:id="34" w:name="_Toc87513344"/>
      <w:bookmarkStart w:id="35" w:name="_Toc8964"/>
      <w:r>
        <w:rPr>
          <w:rFonts w:hint="default" w:ascii="Times New Roman" w:hAnsi="Times New Roman" w:cs="Times New Roman"/>
          <w:color w:val="auto"/>
        </w:rPr>
        <w:t>1.3</w:t>
      </w:r>
      <w:bookmarkEnd w:id="32"/>
      <w:r>
        <w:rPr>
          <w:rFonts w:hint="default" w:ascii="Times New Roman" w:hAnsi="Times New Roman" w:cs="Times New Roman"/>
          <w:color w:val="auto"/>
        </w:rPr>
        <w:t>划界方案编制经过</w:t>
      </w:r>
      <w:bookmarkEnd w:id="33"/>
      <w:bookmarkEnd w:id="34"/>
      <w:bookmarkEnd w:id="35"/>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2021年8月27日，通过公开招投标，确定湖南省第二测绘院（牵头人</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和邵阳市水利水电勘测设计院（成员</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为本次邵阳市小（2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型水库工程管理范围与保护范围划定项目的承担人；</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2021年9月9日，湖南省第二测绘院（牵头人</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和邵阳市水利水电勘测设计院（成员</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与双清区农林水局签订《邵阳市小（2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型水库工程管理范围与保护范围划定项目（双清区</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协议书》；</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2021年9月15日，湖南省第二测绘院（牵头人</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和邵阳市水利水电勘测设计院（成员</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联合成立双清区小（2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型水库工程管理范围与保护范围划定项目组；</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2021年9月18日，项目组确定本次小（2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水库管理范围与保护范围划定的标准；</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2021年9月19日，项目组开始外业测量；</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2021年10月8日，项目组完成外业；</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2021年11月12日，项目组完成内业，并编制了《双清区小（2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型水库管理与保护范围划界方案报告》；</w:t>
      </w:r>
    </w:p>
    <w:p>
      <w:pPr>
        <w:spacing w:after="0" w:line="360" w:lineRule="auto"/>
        <w:ind w:firstLine="482"/>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2021年11月12日，</w:t>
      </w:r>
      <w:r>
        <w:rPr>
          <w:rFonts w:hint="eastAsia" w:ascii="Times New Roman" w:hAnsi="Times New Roman" w:cs="Times New Roman" w:eastAsiaTheme="minorEastAsia"/>
          <w:sz w:val="24"/>
          <w:szCs w:val="24"/>
          <w:lang w:val="en-US" w:eastAsia="zh-CN"/>
        </w:rPr>
        <w:t>项目组完成内审，上报审查；</w:t>
      </w:r>
    </w:p>
    <w:p>
      <w:pPr>
        <w:widowControl w:val="0"/>
        <w:spacing w:after="0" w:line="360" w:lineRule="auto"/>
        <w:ind w:firstLine="480" w:firstLineChars="200"/>
        <w:jc w:val="both"/>
        <w:rPr>
          <w:rFonts w:hint="default" w:ascii="Times New Roman" w:hAnsi="Times New Roman" w:eastAsia="宋体" w:cs="Times New Roman"/>
          <w:color w:val="auto"/>
          <w:kern w:val="2"/>
          <w:sz w:val="24"/>
          <w:szCs w:val="21"/>
          <w:highlight w:val="none"/>
          <w:lang w:eastAsia="zh-CN"/>
        </w:rPr>
      </w:pPr>
      <w:r>
        <w:rPr>
          <w:rFonts w:hint="default" w:ascii="Times New Roman" w:hAnsi="Times New Roman" w:eastAsia="宋体" w:cs="Times New Roman"/>
          <w:color w:val="auto"/>
          <w:kern w:val="2"/>
          <w:sz w:val="24"/>
          <w:szCs w:val="21"/>
          <w:highlight w:val="none"/>
          <w:lang w:eastAsia="zh-CN"/>
        </w:rPr>
        <w:t>2021年1</w:t>
      </w:r>
      <w:r>
        <w:rPr>
          <w:rFonts w:hint="eastAsia" w:ascii="Times New Roman" w:hAnsi="Times New Roman" w:eastAsia="宋体" w:cs="Times New Roman"/>
          <w:color w:val="auto"/>
          <w:kern w:val="2"/>
          <w:sz w:val="24"/>
          <w:szCs w:val="21"/>
          <w:highlight w:val="none"/>
          <w:lang w:val="en-US" w:eastAsia="zh-CN"/>
        </w:rPr>
        <w:t>2</w:t>
      </w:r>
      <w:r>
        <w:rPr>
          <w:rFonts w:hint="default" w:ascii="Times New Roman" w:hAnsi="Times New Roman" w:eastAsia="宋体" w:cs="Times New Roman"/>
          <w:color w:val="auto"/>
          <w:kern w:val="2"/>
          <w:sz w:val="24"/>
          <w:szCs w:val="21"/>
          <w:highlight w:val="none"/>
          <w:lang w:eastAsia="zh-CN"/>
        </w:rPr>
        <w:t>月</w:t>
      </w:r>
      <w:r>
        <w:rPr>
          <w:rFonts w:hint="eastAsia" w:ascii="Times New Roman" w:hAnsi="Times New Roman" w:eastAsia="宋体" w:cs="Times New Roman"/>
          <w:color w:val="auto"/>
          <w:kern w:val="2"/>
          <w:sz w:val="24"/>
          <w:szCs w:val="21"/>
          <w:highlight w:val="none"/>
          <w:lang w:val="en-US" w:eastAsia="zh-CN"/>
        </w:rPr>
        <w:t>12-19</w:t>
      </w:r>
      <w:r>
        <w:rPr>
          <w:rFonts w:hint="default" w:ascii="Times New Roman" w:hAnsi="Times New Roman" w:eastAsia="宋体" w:cs="Times New Roman"/>
          <w:color w:val="auto"/>
          <w:kern w:val="2"/>
          <w:sz w:val="24"/>
          <w:szCs w:val="21"/>
          <w:highlight w:val="none"/>
          <w:lang w:eastAsia="zh-CN"/>
        </w:rPr>
        <w:t>日，项目</w:t>
      </w:r>
      <w:r>
        <w:rPr>
          <w:rFonts w:hint="eastAsia" w:ascii="Times New Roman" w:hAnsi="Times New Roman" w:eastAsia="宋体" w:cs="Times New Roman"/>
          <w:color w:val="auto"/>
          <w:kern w:val="2"/>
          <w:sz w:val="24"/>
          <w:szCs w:val="21"/>
          <w:highlight w:val="none"/>
          <w:lang w:val="en-US" w:eastAsia="zh-CN"/>
        </w:rPr>
        <w:t>通过市级审查；</w:t>
      </w:r>
    </w:p>
    <w:p>
      <w:pPr>
        <w:pStyle w:val="4"/>
        <w:rPr>
          <w:rFonts w:hint="default" w:ascii="Times New Roman" w:hAnsi="Times New Roman" w:cs="Times New Roman"/>
          <w:color w:val="auto"/>
          <w:lang w:eastAsia="zh-CN"/>
        </w:rPr>
      </w:pPr>
      <w:bookmarkStart w:id="36" w:name="_Toc5053"/>
      <w:bookmarkStart w:id="37" w:name="_Toc18888"/>
      <w:r>
        <w:rPr>
          <w:rFonts w:hint="default" w:ascii="Times New Roman" w:hAnsi="Times New Roman" w:cs="Times New Roman"/>
          <w:color w:val="auto"/>
          <w:lang w:eastAsia="zh-CN"/>
        </w:rPr>
        <w:t>1.4划界成果</w:t>
      </w:r>
      <w:bookmarkEnd w:id="36"/>
      <w:bookmarkEnd w:id="37"/>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双清区小（2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型水库管理与保护范围划定成果主要包括文字报告、数据库、图件和表格成果等，相关成果的坐标系统均采用2000国家大地坐标系、高斯-克吕格投影，标准3度分带，中央经线111度。主要成果内容如下：</w:t>
      </w:r>
    </w:p>
    <w:p>
      <w:pPr>
        <w:pStyle w:val="5"/>
        <w:rPr>
          <w:rFonts w:hint="default" w:ascii="Times New Roman" w:hAnsi="Times New Roman" w:cs="Times New Roman"/>
          <w:color w:val="auto"/>
          <w:lang w:eastAsia="zh-CN"/>
        </w:rPr>
      </w:pPr>
      <w:bookmarkStart w:id="38" w:name="_Toc8712"/>
      <w:r>
        <w:rPr>
          <w:rFonts w:hint="default" w:ascii="Times New Roman" w:hAnsi="Times New Roman" w:cs="Times New Roman"/>
          <w:color w:val="auto"/>
          <w:lang w:eastAsia="zh-CN"/>
        </w:rPr>
        <w:t>1.4.1文字报告</w:t>
      </w:r>
      <w:bookmarkEnd w:id="38"/>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《湖南省</w:t>
      </w:r>
      <w:r>
        <w:rPr>
          <w:rFonts w:hint="eastAsia" w:ascii="Times New Roman" w:hAnsi="Times New Roman" w:cs="Times New Roman" w:eastAsiaTheme="minorEastAsia"/>
          <w:color w:val="auto"/>
          <w:sz w:val="24"/>
          <w:szCs w:val="24"/>
          <w:lang w:val="en-US" w:eastAsia="zh-CN"/>
        </w:rPr>
        <w:t>邵阳市</w:t>
      </w:r>
      <w:r>
        <w:rPr>
          <w:rFonts w:hint="default" w:ascii="Times New Roman" w:hAnsi="Times New Roman" w:cs="Times New Roman" w:eastAsiaTheme="minorEastAsia"/>
          <w:color w:val="auto"/>
          <w:sz w:val="24"/>
          <w:szCs w:val="24"/>
          <w:lang w:eastAsia="zh-CN"/>
        </w:rPr>
        <w:t>双清区小（2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型水库管理与保护范围划界方案》。</w:t>
      </w:r>
    </w:p>
    <w:p>
      <w:pPr>
        <w:pStyle w:val="5"/>
        <w:rPr>
          <w:rFonts w:hint="default" w:ascii="Times New Roman" w:hAnsi="Times New Roman" w:cs="Times New Roman"/>
          <w:color w:val="auto"/>
          <w:lang w:eastAsia="zh-CN"/>
        </w:rPr>
      </w:pPr>
      <w:bookmarkStart w:id="39" w:name="_Toc11703"/>
      <w:r>
        <w:rPr>
          <w:rFonts w:hint="default" w:ascii="Times New Roman" w:hAnsi="Times New Roman" w:cs="Times New Roman"/>
          <w:color w:val="auto"/>
          <w:lang w:eastAsia="zh-CN"/>
        </w:rPr>
        <w:t>1.4.2数据库</w:t>
      </w:r>
      <w:bookmarkEnd w:id="39"/>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双清区小（2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型水利工程管理与保护范围划界成果数据库，格式为GDB。</w:t>
      </w:r>
      <w:bookmarkStart w:id="40" w:name="_Toc7976"/>
    </w:p>
    <w:p>
      <w:pPr>
        <w:pStyle w:val="5"/>
        <w:rPr>
          <w:rFonts w:hint="default" w:ascii="Times New Roman" w:hAnsi="Times New Roman" w:cs="Times New Roman"/>
          <w:color w:val="auto"/>
          <w:lang w:eastAsia="zh-CN"/>
        </w:rPr>
      </w:pPr>
      <w:r>
        <w:rPr>
          <w:rFonts w:hint="default" w:ascii="Times New Roman" w:hAnsi="Times New Roman" w:cs="Times New Roman"/>
          <w:color w:val="auto"/>
          <w:lang w:eastAsia="zh-CN"/>
        </w:rPr>
        <w:t>1.4.3图件成果</w:t>
      </w:r>
      <w:bookmarkEnd w:id="40"/>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双清区</w:t>
      </w:r>
      <w:r>
        <w:rPr>
          <w:rFonts w:hint="default"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lang w:eastAsia="zh-CN"/>
        </w:rPr>
        <w:t>个小（2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型水库工程管理与保护范围划界成果图</w:t>
      </w:r>
      <w:r>
        <w:rPr>
          <w:rFonts w:hint="default"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lang w:eastAsia="zh-CN"/>
        </w:rPr>
        <w:t>幅。成果图件采用A3分幅，比例尺采用1：2000，成果图件电子格式为PDF。</w:t>
      </w:r>
      <w:bookmarkStart w:id="41" w:name="_Toc86763867"/>
      <w:bookmarkStart w:id="42" w:name="_Toc87513345"/>
      <w:bookmarkStart w:id="43" w:name="_Toc9417"/>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pStyle w:val="3"/>
        <w:spacing w:after="156"/>
        <w:ind w:left="0" w:leftChars="0" w:firstLine="0" w:firstLineChars="0"/>
        <w:jc w:val="center"/>
        <w:rPr>
          <w:rFonts w:hint="default" w:ascii="Times New Roman" w:hAnsi="Times New Roman" w:cs="Times New Roman"/>
          <w:color w:val="auto"/>
        </w:rPr>
      </w:pPr>
      <w:bookmarkStart w:id="44" w:name="_Toc28767"/>
      <w:bookmarkStart w:id="45" w:name="_Toc22828"/>
      <w:r>
        <w:rPr>
          <w:rFonts w:hint="default" w:ascii="Times New Roman" w:hAnsi="Times New Roman" w:cs="Times New Roman"/>
          <w:color w:val="auto"/>
        </w:rPr>
        <w:t>2、双清区小（2</w:t>
      </w:r>
      <w:r>
        <w:rPr>
          <w:rFonts w:hint="eastAsia" w:ascii="Times New Roman" w:hAnsi="Times New Roman" w:cs="Times New Roman"/>
          <w:color w:val="auto"/>
          <w:lang w:eastAsia="zh-CN"/>
        </w:rPr>
        <w:t>）</w:t>
      </w:r>
      <w:r>
        <w:rPr>
          <w:rFonts w:hint="default" w:ascii="Times New Roman" w:hAnsi="Times New Roman" w:cs="Times New Roman"/>
          <w:color w:val="auto"/>
        </w:rPr>
        <w:t>水库基本情况</w:t>
      </w:r>
      <w:bookmarkEnd w:id="41"/>
      <w:bookmarkEnd w:id="42"/>
      <w:bookmarkEnd w:id="43"/>
      <w:bookmarkEnd w:id="44"/>
      <w:bookmarkEnd w:id="45"/>
    </w:p>
    <w:p>
      <w:pPr>
        <w:pStyle w:val="4"/>
        <w:jc w:val="both"/>
        <w:rPr>
          <w:rFonts w:hint="default" w:ascii="Times New Roman" w:hAnsi="Times New Roman" w:cs="Times New Roman"/>
          <w:color w:val="auto"/>
        </w:rPr>
      </w:pPr>
      <w:bookmarkStart w:id="46" w:name="_Toc26659"/>
      <w:bookmarkStart w:id="47" w:name="_Toc87513346"/>
      <w:bookmarkStart w:id="48" w:name="_Toc32702"/>
      <w:r>
        <w:rPr>
          <w:rFonts w:hint="default" w:ascii="Times New Roman" w:hAnsi="Times New Roman" w:cs="Times New Roman"/>
          <w:color w:val="auto"/>
        </w:rPr>
        <w:t>2.1毕家冲水库</w:t>
      </w:r>
      <w:bookmarkEnd w:id="46"/>
      <w:bookmarkEnd w:id="47"/>
      <w:bookmarkEnd w:id="48"/>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bookmarkStart w:id="49" w:name="_Toc86763870"/>
      <w:bookmarkStart w:id="50" w:name="_Toc87513365"/>
      <w:r>
        <w:rPr>
          <w:rFonts w:hint="default" w:ascii="Times New Roman" w:hAnsi="Times New Roman" w:cs="Times New Roman" w:eastAsiaTheme="minorEastAsia"/>
          <w:sz w:val="24"/>
          <w:szCs w:val="24"/>
          <w:lang w:eastAsia="zh-CN"/>
        </w:rPr>
        <w:t>毕家冲水库枢纽座落在双清区石桥街道白马村，距双清区城区3.1km，有公路直达大坝。该水库是一座以灌溉为主兼有防洪、养殖等综合效益的小</w:t>
      </w:r>
      <w:r>
        <w:rPr>
          <w:rFonts w:hint="eastAsia" w:ascii="Times New Roman" w:hAnsi="Times New Roman" w:cs="Times New Roman" w:eastAsiaTheme="minorEastAsia"/>
          <w:sz w:val="24"/>
          <w:szCs w:val="24"/>
          <w:lang w:eastAsia="zh-CN"/>
        </w:rPr>
        <w:t>（2）</w:t>
      </w:r>
      <w:r>
        <w:rPr>
          <w:rFonts w:hint="default" w:ascii="Times New Roman" w:hAnsi="Times New Roman" w:cs="Times New Roman" w:eastAsiaTheme="minorEastAsia"/>
          <w:sz w:val="24"/>
          <w:szCs w:val="24"/>
          <w:lang w:eastAsia="zh-CN"/>
        </w:rPr>
        <w:t>型水利工程。水库本身控制流域面积0.25km</w:t>
      </w:r>
      <w:r>
        <w:rPr>
          <w:rFonts w:hint="default" w:ascii="Times New Roman" w:hAnsi="Times New Roman" w:cs="Times New Roman" w:eastAsiaTheme="minorEastAsia"/>
          <w:sz w:val="24"/>
          <w:szCs w:val="24"/>
          <w:vertAlign w:val="superscript"/>
          <w:lang w:eastAsia="zh-CN"/>
        </w:rPr>
        <w:t>2</w:t>
      </w:r>
      <w:r>
        <w:rPr>
          <w:rFonts w:hint="default" w:ascii="Times New Roman" w:hAnsi="Times New Roman" w:cs="Times New Roman" w:eastAsiaTheme="minorEastAsia"/>
          <w:sz w:val="24"/>
          <w:szCs w:val="24"/>
          <w:lang w:eastAsia="zh-CN"/>
        </w:rPr>
        <w:t>，枢纽工程为Ⅴ等工程，其主要建筑物为5级，次要建筑物为5级。枢纽工程主要由大坝溢洪道及输水设施组成，大坝最大坝高8.3m，坝顶长90m，顶宽5.0m。 溢洪道位于大坝左端紧邻山边，与大坝同时修建，溢洪道为正槽式溢洪道。 大坝输水设施由涵洞及其放水卧管、启闭设施组成，大坝放水涵洞位于大坝左端。</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sectPr>
          <w:headerReference r:id="rId11" w:type="default"/>
          <w:pgSz w:w="11906" w:h="16838"/>
          <w:pgMar w:top="1440" w:right="1800" w:bottom="1440" w:left="1800" w:header="851" w:footer="992" w:gutter="0"/>
          <w:pgNumType w:fmt="decimal"/>
          <w:cols w:space="425" w:num="1"/>
          <w:docGrid w:type="lines" w:linePitch="312" w:charSpace="0"/>
        </w:sectPr>
      </w:pPr>
    </w:p>
    <w:bookmarkEnd w:id="49"/>
    <w:bookmarkEnd w:id="50"/>
    <w:p>
      <w:pPr>
        <w:pStyle w:val="3"/>
        <w:spacing w:after="156"/>
        <w:ind w:left="0" w:leftChars="0" w:firstLine="0" w:firstLineChars="0"/>
        <w:jc w:val="center"/>
        <w:rPr>
          <w:rFonts w:hint="default" w:ascii="Times New Roman" w:hAnsi="Times New Roman" w:cs="Times New Roman"/>
          <w:color w:val="auto"/>
        </w:rPr>
      </w:pPr>
      <w:bookmarkStart w:id="51" w:name="_Toc86763875"/>
      <w:bookmarkStart w:id="52" w:name="_Toc87513370"/>
      <w:bookmarkStart w:id="53" w:name="_Toc19781"/>
      <w:bookmarkStart w:id="54" w:name="_Toc18122"/>
      <w:bookmarkStart w:id="55" w:name="_Toc17513"/>
      <w:r>
        <w:rPr>
          <w:rFonts w:hint="eastAsia" w:ascii="Times New Roman" w:hAnsi="Times New Roman" w:cs="Times New Roman"/>
          <w:color w:val="auto"/>
          <w:lang w:val="en-US" w:eastAsia="zh-CN"/>
        </w:rPr>
        <w:t>3</w:t>
      </w:r>
      <w:r>
        <w:rPr>
          <w:rFonts w:hint="default" w:ascii="Times New Roman" w:hAnsi="Times New Roman" w:cs="Times New Roman"/>
          <w:color w:val="auto"/>
        </w:rPr>
        <w:t>、管理范围与保护范围线</w:t>
      </w:r>
      <w:bookmarkEnd w:id="51"/>
      <w:r>
        <w:rPr>
          <w:rFonts w:hint="default" w:ascii="Times New Roman" w:hAnsi="Times New Roman" w:cs="Times New Roman"/>
          <w:color w:val="auto"/>
        </w:rPr>
        <w:t>确定</w:t>
      </w:r>
      <w:bookmarkEnd w:id="52"/>
      <w:bookmarkEnd w:id="53"/>
      <w:bookmarkEnd w:id="54"/>
      <w:bookmarkEnd w:id="55"/>
    </w:p>
    <w:p>
      <w:pPr>
        <w:pStyle w:val="4"/>
        <w:jc w:val="both"/>
        <w:rPr>
          <w:rFonts w:hint="default" w:ascii="Times New Roman" w:hAnsi="Times New Roman" w:cs="Times New Roman"/>
          <w:color w:val="auto"/>
        </w:rPr>
      </w:pPr>
      <w:bookmarkStart w:id="56" w:name="_Toc86763876"/>
      <w:bookmarkStart w:id="57" w:name="_Toc2684"/>
      <w:bookmarkStart w:id="58" w:name="_Toc19328"/>
      <w:bookmarkStart w:id="59" w:name="_Toc87513371"/>
      <w:r>
        <w:rPr>
          <w:rFonts w:hint="eastAsia" w:ascii="Times New Roman" w:hAnsi="Times New Roman" w:cs="Times New Roman"/>
          <w:color w:val="auto"/>
          <w:lang w:val="en-US" w:eastAsia="zh-CN"/>
        </w:rPr>
        <w:t>3</w:t>
      </w:r>
      <w:r>
        <w:rPr>
          <w:rFonts w:hint="default" w:ascii="Times New Roman" w:hAnsi="Times New Roman" w:cs="Times New Roman"/>
          <w:color w:val="auto"/>
        </w:rPr>
        <w:t>.1划界标准</w:t>
      </w:r>
      <w:bookmarkEnd w:id="56"/>
      <w:r>
        <w:rPr>
          <w:rFonts w:hint="default" w:ascii="Times New Roman" w:hAnsi="Times New Roman" w:cs="Times New Roman"/>
          <w:color w:val="auto"/>
        </w:rPr>
        <w:t>确定的依据</w:t>
      </w:r>
      <w:bookmarkEnd w:id="57"/>
      <w:bookmarkEnd w:id="58"/>
      <w:bookmarkEnd w:id="59"/>
    </w:p>
    <w:p>
      <w:pPr>
        <w:spacing w:after="0" w:line="360" w:lineRule="auto"/>
        <w:ind w:firstLine="48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本次小2型水库管理和保护范围划定标准主要参照《湖南省实施＜中华人民共和国水法＞办法》（2012年修订</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和《水库工程管理设计规范》</w:t>
      </w:r>
      <w:bookmarkStart w:id="60" w:name="_Hlk82377428"/>
      <w:r>
        <w:rPr>
          <w:rFonts w:hint="default" w:ascii="Times New Roman" w:hAnsi="Times New Roman" w:cs="Times New Roman" w:eastAsiaTheme="minorEastAsia"/>
          <w:color w:val="auto"/>
          <w:sz w:val="24"/>
          <w:szCs w:val="24"/>
          <w:lang w:eastAsia="zh-CN"/>
        </w:rPr>
        <w:t>（SL106-2017</w:t>
      </w:r>
      <w:bookmarkEnd w:id="60"/>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以及</w:t>
      </w:r>
      <w:bookmarkStart w:id="61" w:name="_Hlk82379757"/>
      <w:r>
        <w:rPr>
          <w:rFonts w:hint="default" w:ascii="Times New Roman" w:hAnsi="Times New Roman" w:cs="Times New Roman" w:eastAsiaTheme="minorEastAsia"/>
          <w:color w:val="auto"/>
          <w:sz w:val="24"/>
          <w:szCs w:val="24"/>
          <w:lang w:eastAsia="zh-CN"/>
        </w:rPr>
        <w:t>《湖南省水利工程管理与保护范围划界工作指南》、《湖南省水利工程管理与保护范围划界技术指南（试行</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》（湘水办函</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2020</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227号</w:t>
      </w:r>
      <w:bookmarkEnd w:id="61"/>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等文件确定。</w:t>
      </w:r>
    </w:p>
    <w:p>
      <w:pPr>
        <w:pStyle w:val="4"/>
        <w:jc w:val="both"/>
        <w:rPr>
          <w:rFonts w:hint="default" w:ascii="Times New Roman" w:hAnsi="Times New Roman" w:cs="Times New Roman"/>
          <w:color w:val="auto"/>
        </w:rPr>
      </w:pPr>
      <w:bookmarkStart w:id="62" w:name="_Toc26455"/>
      <w:bookmarkStart w:id="63" w:name="_Toc23772"/>
      <w:bookmarkStart w:id="64" w:name="_Toc87513372"/>
      <w:bookmarkStart w:id="65" w:name="_Hlk82379738"/>
      <w:r>
        <w:rPr>
          <w:rFonts w:hint="eastAsia" w:ascii="Times New Roman" w:hAnsi="Times New Roman" w:cs="Times New Roman"/>
          <w:color w:val="auto"/>
          <w:lang w:val="en-US" w:eastAsia="zh-CN"/>
        </w:rPr>
        <w:t>3</w:t>
      </w:r>
      <w:r>
        <w:rPr>
          <w:rFonts w:hint="default" w:ascii="Times New Roman" w:hAnsi="Times New Roman" w:cs="Times New Roman"/>
          <w:color w:val="auto"/>
        </w:rPr>
        <w:t>.2小（2</w:t>
      </w:r>
      <w:r>
        <w:rPr>
          <w:rFonts w:hint="eastAsia" w:ascii="Times New Roman" w:hAnsi="Times New Roman" w:cs="Times New Roman"/>
          <w:color w:val="auto"/>
          <w:lang w:eastAsia="zh-CN"/>
        </w:rPr>
        <w:t>）</w:t>
      </w:r>
      <w:r>
        <w:rPr>
          <w:rFonts w:hint="default" w:ascii="Times New Roman" w:hAnsi="Times New Roman" w:cs="Times New Roman"/>
          <w:color w:val="auto"/>
        </w:rPr>
        <w:t>水库管理范围划定标准</w:t>
      </w:r>
      <w:bookmarkEnd w:id="62"/>
      <w:bookmarkEnd w:id="63"/>
      <w:bookmarkEnd w:id="64"/>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水库管理范围为库区、坝区、泄洪和输水建筑物和运行区管理范围外包封闭范围。</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库区管理范围：</w:t>
      </w:r>
      <w:r>
        <w:rPr>
          <w:rFonts w:hint="default" w:ascii="Times New Roman" w:hAnsi="Times New Roman" w:cs="Times New Roman" w:eastAsiaTheme="minorEastAsia"/>
          <w:color w:val="auto"/>
          <w:sz w:val="24"/>
          <w:szCs w:val="24"/>
          <w:lang w:eastAsia="zh-CN"/>
        </w:rPr>
        <w:t>按照库区设计洪水位线以下（包括库内岛屿</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面积划定。</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坝区管理范围：</w:t>
      </w:r>
      <w:r>
        <w:rPr>
          <w:rFonts w:hint="default" w:ascii="Times New Roman" w:hAnsi="Times New Roman" w:cs="Times New Roman" w:eastAsiaTheme="minorEastAsia"/>
          <w:color w:val="auto"/>
          <w:sz w:val="24"/>
          <w:szCs w:val="24"/>
          <w:lang w:eastAsia="zh-CN"/>
        </w:rPr>
        <w:t>以大坝背水坡脚向下游延伸30m，大坝两端顺开挖线向外延伸50m确定（到达分水岭不足50m的至分水岭上</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，向外延伸距离取值均为最小值，亦可根据水库实际管理范围确定。</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泄洪建筑物（溢洪道</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管理范围：</w:t>
      </w:r>
      <w:r>
        <w:rPr>
          <w:rFonts w:hint="default" w:ascii="Times New Roman" w:hAnsi="Times New Roman" w:cs="Times New Roman" w:eastAsiaTheme="minorEastAsia"/>
          <w:color w:val="auto"/>
          <w:sz w:val="24"/>
          <w:szCs w:val="24"/>
          <w:lang w:eastAsia="zh-CN"/>
        </w:rPr>
        <w:t>以两侧墙自开挖线（也称工程两侧轮廓线</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起顺坡向外延伸10m，末端至消力池以下100m。</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输水建筑物（涵、隧洞</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管理范围：</w:t>
      </w:r>
      <w:r>
        <w:rPr>
          <w:rFonts w:hint="default" w:ascii="Times New Roman" w:hAnsi="Times New Roman" w:cs="Times New Roman" w:eastAsiaTheme="minorEastAsia"/>
          <w:color w:val="auto"/>
          <w:sz w:val="24"/>
          <w:szCs w:val="24"/>
          <w:lang w:eastAsia="zh-CN"/>
        </w:rPr>
        <w:t>以进、出口建筑物和竖井外缘线以外10m为工程区管理范围，输水建筑物要用虚线标示其轮廓。</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运行区（闸门启闭机房、防汛仓库、防汛值班房及其他附属设施等建（构</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筑物</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管理范围：</w:t>
      </w:r>
      <w:r>
        <w:rPr>
          <w:rFonts w:hint="default" w:ascii="Times New Roman" w:hAnsi="Times New Roman" w:cs="Times New Roman" w:eastAsiaTheme="minorEastAsia"/>
          <w:color w:val="auto"/>
          <w:sz w:val="24"/>
          <w:szCs w:val="24"/>
          <w:lang w:eastAsia="zh-CN"/>
        </w:rPr>
        <w:t>按其征地范围线或围墙外边线划定。</w:t>
      </w:r>
    </w:p>
    <w:p>
      <w:pPr>
        <w:pStyle w:val="4"/>
        <w:jc w:val="both"/>
        <w:rPr>
          <w:rFonts w:hint="default" w:ascii="Times New Roman" w:hAnsi="Times New Roman" w:cs="Times New Roman"/>
          <w:color w:val="auto"/>
        </w:rPr>
      </w:pPr>
      <w:bookmarkStart w:id="66" w:name="_Toc87513373"/>
      <w:bookmarkStart w:id="67" w:name="_Toc1486"/>
      <w:bookmarkStart w:id="68" w:name="_Toc29152"/>
      <w:r>
        <w:rPr>
          <w:rFonts w:hint="eastAsia" w:ascii="Times New Roman" w:hAnsi="Times New Roman" w:cs="Times New Roman"/>
          <w:color w:val="auto"/>
          <w:lang w:val="en-US" w:eastAsia="zh-CN"/>
        </w:rPr>
        <w:t>3</w:t>
      </w:r>
      <w:r>
        <w:rPr>
          <w:rFonts w:hint="default" w:ascii="Times New Roman" w:hAnsi="Times New Roman" w:cs="Times New Roman"/>
          <w:color w:val="auto"/>
        </w:rPr>
        <w:t>.3小（2</w:t>
      </w:r>
      <w:r>
        <w:rPr>
          <w:rFonts w:hint="eastAsia" w:ascii="Times New Roman" w:hAnsi="Times New Roman" w:cs="Times New Roman"/>
          <w:color w:val="auto"/>
          <w:lang w:eastAsia="zh-CN"/>
        </w:rPr>
        <w:t>）</w:t>
      </w:r>
      <w:r>
        <w:rPr>
          <w:rFonts w:hint="default" w:ascii="Times New Roman" w:hAnsi="Times New Roman" w:cs="Times New Roman"/>
          <w:color w:val="auto"/>
        </w:rPr>
        <w:t>水库保护范围划定标准</w:t>
      </w:r>
      <w:bookmarkEnd w:id="66"/>
      <w:bookmarkEnd w:id="67"/>
      <w:bookmarkEnd w:id="68"/>
    </w:p>
    <w:bookmarkEnd w:id="65"/>
    <w:p>
      <w:pPr>
        <w:spacing w:after="0" w:line="360" w:lineRule="auto"/>
        <w:ind w:firstLine="48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水库保护范围为库区、坝区、泄洪和输水建筑物保护范围外包封闭范围，运行区可不划定保护范围。</w:t>
      </w:r>
    </w:p>
    <w:p>
      <w:pPr>
        <w:spacing w:after="0" w:line="360" w:lineRule="auto"/>
        <w:ind w:firstLine="48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库区保护范围：</w:t>
      </w:r>
      <w:r>
        <w:rPr>
          <w:rFonts w:hint="default" w:ascii="Times New Roman" w:hAnsi="Times New Roman" w:cs="Times New Roman" w:eastAsiaTheme="minorEastAsia"/>
          <w:color w:val="auto"/>
          <w:sz w:val="24"/>
          <w:szCs w:val="24"/>
          <w:lang w:eastAsia="zh-CN"/>
        </w:rPr>
        <w:t>以库区管理范围边缘向外延伸20m；</w:t>
      </w:r>
    </w:p>
    <w:p>
      <w:pPr>
        <w:spacing w:after="0" w:line="360" w:lineRule="auto"/>
        <w:ind w:firstLine="48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坝区保护范围：</w:t>
      </w:r>
      <w:r>
        <w:rPr>
          <w:rFonts w:hint="default" w:ascii="Times New Roman" w:hAnsi="Times New Roman" w:cs="Times New Roman" w:eastAsiaTheme="minorEastAsia"/>
          <w:color w:val="auto"/>
          <w:sz w:val="24"/>
          <w:szCs w:val="24"/>
          <w:lang w:eastAsia="zh-CN"/>
        </w:rPr>
        <w:t>以大坝背水坡和两端的管理范围向外延伸50m，当保护范围越过分水岭时以分水岭为界；</w:t>
      </w:r>
    </w:p>
    <w:p>
      <w:pPr>
        <w:spacing w:after="0" w:line="360" w:lineRule="auto"/>
        <w:ind w:firstLine="48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溢洪道保护范围：</w:t>
      </w:r>
      <w:r>
        <w:rPr>
          <w:rFonts w:hint="default" w:ascii="Times New Roman" w:hAnsi="Times New Roman" w:cs="Times New Roman" w:eastAsiaTheme="minorEastAsia"/>
          <w:color w:val="auto"/>
          <w:sz w:val="24"/>
          <w:szCs w:val="24"/>
          <w:lang w:eastAsia="zh-CN"/>
        </w:rPr>
        <w:t>以溢洪道管理范围边缘向外延伸50m。</w:t>
      </w:r>
    </w:p>
    <w:p>
      <w:pPr>
        <w:spacing w:after="0" w:line="360" w:lineRule="auto"/>
        <w:ind w:firstLine="48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输水隧洞保护范围：</w:t>
      </w:r>
      <w:r>
        <w:rPr>
          <w:rFonts w:hint="default" w:ascii="Times New Roman" w:hAnsi="Times New Roman" w:cs="Times New Roman" w:eastAsiaTheme="minorEastAsia"/>
          <w:color w:val="auto"/>
          <w:sz w:val="24"/>
          <w:szCs w:val="24"/>
          <w:lang w:eastAsia="zh-CN"/>
        </w:rPr>
        <w:t>以进、出口建筑物及竖井的管理范围边界线向外延伸20m。</w:t>
      </w:r>
    </w:p>
    <w:p>
      <w:pPr>
        <w:pStyle w:val="4"/>
        <w:jc w:val="both"/>
        <w:rPr>
          <w:rFonts w:hint="default" w:ascii="Times New Roman" w:hAnsi="Times New Roman" w:cs="Times New Roman"/>
          <w:color w:val="auto"/>
        </w:rPr>
      </w:pPr>
      <w:bookmarkStart w:id="69" w:name="_Toc86763877"/>
      <w:bookmarkStart w:id="70" w:name="_Toc87513374"/>
      <w:bookmarkStart w:id="71" w:name="_Toc12378"/>
      <w:bookmarkStart w:id="72" w:name="_Toc25635"/>
      <w:r>
        <w:rPr>
          <w:rFonts w:hint="eastAsia" w:ascii="Times New Roman" w:hAnsi="Times New Roman" w:cs="Times New Roman"/>
          <w:color w:val="auto"/>
          <w:lang w:val="en-US" w:eastAsia="zh-CN"/>
        </w:rPr>
        <w:t>3</w:t>
      </w:r>
      <w:r>
        <w:rPr>
          <w:rFonts w:hint="default" w:ascii="Times New Roman" w:hAnsi="Times New Roman" w:cs="Times New Roman"/>
          <w:color w:val="auto"/>
        </w:rPr>
        <w:t>.4库区设计洪水位</w:t>
      </w:r>
      <w:bookmarkEnd w:id="69"/>
      <w:r>
        <w:rPr>
          <w:rFonts w:hint="default" w:ascii="Times New Roman" w:hAnsi="Times New Roman" w:cs="Times New Roman"/>
          <w:color w:val="auto"/>
        </w:rPr>
        <w:t>确定</w:t>
      </w:r>
      <w:bookmarkEnd w:id="70"/>
      <w:bookmarkEnd w:id="71"/>
      <w:bookmarkEnd w:id="72"/>
    </w:p>
    <w:p>
      <w:pPr>
        <w:spacing w:after="0" w:line="360" w:lineRule="auto"/>
        <w:ind w:firstLine="482"/>
        <w:rPr>
          <w:rFonts w:hint="default"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eastAsia="zh-CN"/>
        </w:rPr>
        <w:t>水库现状与除险加固设计情况一致的，此次库区设计洪水位直接采用水库除险加固的设计洪水位成果。水库现状与除险加固设计时情况发生变化的，此次划界重新对水库的设计洪水位进行计算，根据水库的水文实测资料，对水库设计暴雨 、面雨量 、设计暴雨24h时程分配、设计净雨过程计算的推求均采用《湖南省暴雨洪水查算手册》（湖南省水利厅2015年编制，以下简称《查算手册》）的查算办法计算，主要步骤为：设计暴雨的查算——设计净雨过程的计算——用推理公式法求各频率的洪水。</w:t>
      </w:r>
    </w:p>
    <w:p>
      <w:pPr>
        <w:pStyle w:val="4"/>
        <w:jc w:val="both"/>
        <w:rPr>
          <w:rFonts w:hint="default" w:ascii="Times New Roman" w:hAnsi="Times New Roman" w:cs="Times New Roman"/>
          <w:color w:val="auto"/>
        </w:rPr>
      </w:pPr>
      <w:bookmarkStart w:id="73" w:name="_Toc87513376"/>
      <w:bookmarkStart w:id="74" w:name="_Toc23086"/>
      <w:bookmarkStart w:id="75" w:name="_Toc86763882"/>
      <w:bookmarkStart w:id="76" w:name="_Toc19261"/>
      <w:r>
        <w:rPr>
          <w:rFonts w:hint="eastAsia" w:ascii="Times New Roman" w:hAnsi="Times New Roman" w:cs="Times New Roman"/>
          <w:color w:val="auto"/>
          <w:lang w:val="en-US" w:eastAsia="zh-CN"/>
        </w:rPr>
        <w:t>3</w:t>
      </w:r>
      <w:r>
        <w:rPr>
          <w:rFonts w:hint="default" w:ascii="Times New Roman" w:hAnsi="Times New Roman" w:cs="Times New Roman"/>
          <w:color w:val="auto"/>
        </w:rPr>
        <w:t>.</w:t>
      </w:r>
      <w:r>
        <w:rPr>
          <w:rFonts w:hint="eastAsia" w:ascii="Times New Roman" w:hAnsi="Times New Roman" w:cs="Times New Roman"/>
          <w:color w:val="auto"/>
          <w:lang w:val="en-US" w:eastAsia="zh-CN"/>
        </w:rPr>
        <w:t>5</w:t>
      </w:r>
      <w:r>
        <w:rPr>
          <w:rFonts w:hint="default" w:ascii="Times New Roman" w:hAnsi="Times New Roman" w:cs="Times New Roman"/>
          <w:color w:val="auto"/>
        </w:rPr>
        <w:t>管理</w:t>
      </w:r>
      <w:r>
        <w:rPr>
          <w:rFonts w:hint="default" w:ascii="Times New Roman" w:hAnsi="Times New Roman" w:cs="Times New Roman"/>
          <w:color w:val="auto"/>
          <w:lang w:val="en-US" w:eastAsia="zh-CN"/>
        </w:rPr>
        <w:t>与保护</w:t>
      </w:r>
      <w:r>
        <w:rPr>
          <w:rFonts w:hint="default" w:ascii="Times New Roman" w:hAnsi="Times New Roman" w:cs="Times New Roman"/>
          <w:color w:val="auto"/>
        </w:rPr>
        <w:t>范围线标绘</w:t>
      </w:r>
      <w:bookmarkEnd w:id="73"/>
      <w:bookmarkEnd w:id="74"/>
      <w:bookmarkEnd w:id="75"/>
      <w:bookmarkEnd w:id="76"/>
    </w:p>
    <w:p>
      <w:pPr>
        <w:spacing w:after="0" w:line="360" w:lineRule="auto"/>
        <w:ind w:firstLine="482"/>
        <w:rPr>
          <w:rFonts w:hint="default" w:ascii="Times New Roman" w:hAnsi="Times New Roman" w:cs="Times New Roman" w:eastAsiaTheme="minorEastAsia"/>
          <w:color w:val="auto"/>
          <w:sz w:val="24"/>
          <w:szCs w:val="24"/>
          <w:lang w:eastAsia="zh-CN"/>
        </w:rPr>
      </w:pPr>
      <w:bookmarkStart w:id="77" w:name="_Toc86763883"/>
      <w:bookmarkStart w:id="78" w:name="_Toc87513377"/>
      <w:r>
        <w:rPr>
          <w:rFonts w:hint="default" w:ascii="Times New Roman" w:hAnsi="Times New Roman" w:cs="Times New Roman" w:eastAsiaTheme="minorEastAsia"/>
          <w:color w:val="auto"/>
          <w:sz w:val="24"/>
          <w:szCs w:val="24"/>
          <w:lang w:eastAsia="zh-CN"/>
        </w:rPr>
        <w:t>水库管理范围分为工程区管理范围和运行区管理范围。其中工程区管理范围是指库区、大坝（含副坝</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、溢洪道（含非常溢洪道</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，以及输水建筑物等的管理范围，运行区管理范围是指办公室、会议室、资料档案室、仓库、防汛调度室、值班室、车库、食堂、值班宿舍及其他附属设施等建（构</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筑物的管理范围。</w:t>
      </w:r>
    </w:p>
    <w:bookmarkEnd w:id="77"/>
    <w:bookmarkEnd w:id="78"/>
    <w:p>
      <w:pPr>
        <w:pStyle w:val="5"/>
        <w:rPr>
          <w:rFonts w:hint="default" w:ascii="Times New Roman" w:hAnsi="Times New Roman" w:cs="Times New Roman"/>
          <w:color w:val="auto"/>
        </w:rPr>
      </w:pPr>
      <w:bookmarkStart w:id="79" w:name="_Toc32176"/>
      <w:bookmarkStart w:id="80" w:name="_Toc87513378"/>
      <w:bookmarkStart w:id="81" w:name="_Toc86763884"/>
      <w:r>
        <w:rPr>
          <w:rFonts w:hint="eastAsia" w:ascii="Times New Roman" w:hAnsi="Times New Roman" w:cs="Times New Roman"/>
          <w:color w:val="auto"/>
          <w:lang w:val="en-US" w:eastAsia="zh-CN"/>
        </w:rPr>
        <w:t>3</w:t>
      </w:r>
      <w:r>
        <w:rPr>
          <w:rFonts w:hint="default" w:ascii="Times New Roman" w:hAnsi="Times New Roman" w:cs="Times New Roman"/>
          <w:color w:val="auto"/>
        </w:rPr>
        <w:t>.</w:t>
      </w:r>
      <w:r>
        <w:rPr>
          <w:rFonts w:hint="eastAsia" w:ascii="Times New Roman" w:hAnsi="Times New Roman" w:cs="Times New Roman"/>
          <w:color w:val="auto"/>
          <w:lang w:val="en-US" w:eastAsia="zh-CN"/>
        </w:rPr>
        <w:t>5</w:t>
      </w:r>
      <w:r>
        <w:rPr>
          <w:rFonts w:hint="default" w:ascii="Times New Roman" w:hAnsi="Times New Roman" w:cs="Times New Roman"/>
          <w:color w:val="auto"/>
        </w:rPr>
        <w:t>.1.</w:t>
      </w:r>
      <w:r>
        <w:rPr>
          <w:rFonts w:hint="default" w:ascii="Times New Roman" w:hAnsi="Times New Roman" w:cs="Times New Roman"/>
          <w:color w:val="auto"/>
          <w:lang w:val="en-US" w:eastAsia="zh-CN"/>
        </w:rPr>
        <w:t>毕家冲</w:t>
      </w:r>
      <w:r>
        <w:rPr>
          <w:rFonts w:hint="default" w:ascii="Times New Roman" w:hAnsi="Times New Roman" w:cs="Times New Roman"/>
          <w:color w:val="auto"/>
        </w:rPr>
        <w:t>水库</w:t>
      </w:r>
      <w:bookmarkEnd w:id="79"/>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根据省水利厅《关于做好全省小（2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型水库工程管理与保护范围划定工作的通知（湘水函</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2021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147号</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文件要求，毕家冲</w:t>
      </w:r>
      <w:r>
        <w:rPr>
          <w:rFonts w:hint="default" w:ascii="Times New Roman" w:hAnsi="Times New Roman" w:cs="Times New Roman" w:eastAsiaTheme="minorEastAsia"/>
          <w:color w:val="auto"/>
          <w:sz w:val="24"/>
          <w:szCs w:val="24"/>
          <w:lang w:eastAsia="zh-CN"/>
        </w:rPr>
        <w:t>水库库区管理范围线按</w:t>
      </w:r>
      <w:r>
        <w:rPr>
          <w:rFonts w:hint="default" w:ascii="Times New Roman" w:hAnsi="Times New Roman" w:cs="Times New Roman" w:eastAsiaTheme="minorEastAsia"/>
          <w:color w:val="auto"/>
          <w:sz w:val="24"/>
          <w:szCs w:val="24"/>
          <w:lang w:val="en-US" w:eastAsia="zh-CN"/>
        </w:rPr>
        <w:t>大坝</w:t>
      </w:r>
      <w:r>
        <w:rPr>
          <w:rFonts w:hint="default" w:ascii="Times New Roman" w:hAnsi="Times New Roman" w:cs="Times New Roman" w:eastAsiaTheme="minorEastAsia"/>
          <w:color w:val="auto"/>
          <w:sz w:val="24"/>
          <w:szCs w:val="24"/>
          <w:lang w:eastAsia="zh-CN"/>
        </w:rPr>
        <w:t>设计洪水位</w:t>
      </w:r>
      <w:r>
        <w:rPr>
          <w:rFonts w:hint="default" w:ascii="Times New Roman" w:hAnsi="Times New Roman" w:cs="Times New Roman" w:eastAsiaTheme="minorEastAsia"/>
          <w:color w:val="auto"/>
          <w:sz w:val="24"/>
          <w:szCs w:val="24"/>
          <w:lang w:val="en-US" w:eastAsia="zh-CN"/>
        </w:rPr>
        <w:t>227.08</w:t>
      </w:r>
      <w:r>
        <w:rPr>
          <w:rFonts w:hint="default" w:ascii="Times New Roman" w:hAnsi="Times New Roman" w:cs="Times New Roman" w:eastAsiaTheme="minorEastAsia"/>
          <w:color w:val="auto"/>
          <w:sz w:val="24"/>
          <w:szCs w:val="24"/>
          <w:lang w:eastAsia="zh-CN"/>
        </w:rPr>
        <w:t>米（1985国家高程基准</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划定</w:t>
      </w:r>
      <w:r>
        <w:rPr>
          <w:rFonts w:hint="default"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坝区以大坝两端自开挖线起顺坡向外延伸50米划定</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lang w:eastAsia="zh-CN"/>
        </w:rPr>
        <w:t>大坝下游以坝脚线向外水平延伸</w:t>
      </w:r>
      <w:r>
        <w:rPr>
          <w:rFonts w:hint="default" w:ascii="Times New Roman" w:hAnsi="Times New Roman" w:cs="Times New Roman" w:eastAsiaTheme="minorEastAsia"/>
          <w:color w:val="auto"/>
          <w:sz w:val="24"/>
          <w:szCs w:val="24"/>
          <w:lang w:val="en-US" w:eastAsia="zh-CN"/>
        </w:rPr>
        <w:t>3</w:t>
      </w:r>
      <w:r>
        <w:rPr>
          <w:rFonts w:hint="default" w:ascii="Times New Roman" w:hAnsi="Times New Roman" w:cs="Times New Roman" w:eastAsiaTheme="minorEastAsia"/>
          <w:color w:val="auto"/>
          <w:sz w:val="24"/>
          <w:szCs w:val="24"/>
          <w:lang w:eastAsia="zh-CN"/>
        </w:rPr>
        <w:t>0米划定。溢洪道按工程轮廓线顺坡向外延伸10米划定，末端至消力池以下沿水流方向100米划定，</w:t>
      </w:r>
      <w:r>
        <w:rPr>
          <w:rFonts w:hint="default" w:ascii="Times New Roman" w:hAnsi="Times New Roman" w:cs="Times New Roman" w:eastAsiaTheme="minorEastAsia"/>
          <w:color w:val="auto"/>
          <w:sz w:val="24"/>
          <w:szCs w:val="24"/>
          <w:lang w:val="en-US" w:eastAsia="zh-CN"/>
        </w:rPr>
        <w:t>泄洪通道经过的水塘一并划入管理范围</w:t>
      </w:r>
      <w:r>
        <w:rPr>
          <w:rFonts w:hint="default" w:ascii="Times New Roman" w:hAnsi="Times New Roman" w:cs="Times New Roman" w:eastAsiaTheme="minorEastAsia"/>
          <w:color w:val="auto"/>
          <w:sz w:val="24"/>
          <w:szCs w:val="24"/>
          <w:lang w:eastAsia="zh-CN"/>
        </w:rPr>
        <w:t>。建筑物</w:t>
      </w:r>
      <w:r>
        <w:rPr>
          <w:rFonts w:hint="default" w:ascii="Times New Roman" w:hAnsi="Times New Roman" w:cs="Times New Roman" w:eastAsiaTheme="minorEastAsia"/>
          <w:color w:val="auto"/>
          <w:sz w:val="24"/>
          <w:szCs w:val="24"/>
          <w:lang w:val="en-US" w:eastAsia="zh-CN"/>
        </w:rPr>
        <w:t>的</w:t>
      </w:r>
      <w:r>
        <w:rPr>
          <w:rFonts w:hint="default" w:ascii="Times New Roman" w:hAnsi="Times New Roman" w:cs="Times New Roman" w:eastAsiaTheme="minorEastAsia"/>
          <w:color w:val="auto"/>
          <w:sz w:val="24"/>
          <w:szCs w:val="24"/>
          <w:lang w:eastAsia="zh-CN"/>
        </w:rPr>
        <w:t>管理范围</w:t>
      </w:r>
      <w:r>
        <w:rPr>
          <w:rFonts w:hint="default" w:ascii="Times New Roman" w:hAnsi="Times New Roman" w:cs="Times New Roman" w:eastAsiaTheme="minorEastAsia"/>
          <w:color w:val="auto"/>
          <w:sz w:val="24"/>
          <w:szCs w:val="24"/>
          <w:lang w:val="en-US" w:eastAsia="zh-CN"/>
        </w:rPr>
        <w:t>按</w:t>
      </w:r>
      <w:r>
        <w:rPr>
          <w:rFonts w:hint="default" w:ascii="Times New Roman" w:hAnsi="Times New Roman" w:cs="Times New Roman" w:eastAsiaTheme="minorEastAsia"/>
          <w:color w:val="auto"/>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（2</w:t>
      </w:r>
      <w:r>
        <w:rPr>
          <w:rFonts w:hint="eastAsia"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lang w:val="en-US" w:eastAsia="zh-CN"/>
        </w:rPr>
        <w:t>保护范围线标绘</w:t>
      </w:r>
    </w:p>
    <w:p>
      <w:pPr>
        <w:spacing w:after="0" w:line="360" w:lineRule="auto"/>
        <w:ind w:firstLine="482"/>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坝区以大坝两端以管理范围边界线外延50米进行划定。大坝下游以管理范围线外延50米划定，溢洪道的保护范围以管理范围边界线向外延伸50米划定。</w:t>
      </w:r>
    </w:p>
    <w:bookmarkEnd w:id="80"/>
    <w:bookmarkEnd w:id="81"/>
    <w:p>
      <w:pPr>
        <w:pStyle w:val="4"/>
        <w:rPr>
          <w:rFonts w:hint="default" w:ascii="Times New Roman" w:hAnsi="Times New Roman" w:cs="Times New Roman"/>
          <w:color w:val="auto"/>
        </w:rPr>
      </w:pPr>
      <w:bookmarkStart w:id="82" w:name="_Toc19183"/>
      <w:bookmarkStart w:id="83" w:name="_Toc2805"/>
      <w:bookmarkStart w:id="84" w:name="_Toc87513500"/>
      <w:r>
        <w:rPr>
          <w:rFonts w:hint="eastAsia" w:ascii="Times New Roman" w:hAnsi="Times New Roman" w:cs="Times New Roman"/>
          <w:color w:val="auto"/>
          <w:lang w:val="en-US" w:eastAsia="zh-CN"/>
        </w:rPr>
        <w:t>3</w:t>
      </w:r>
      <w:r>
        <w:rPr>
          <w:rFonts w:hint="default" w:ascii="Times New Roman" w:hAnsi="Times New Roman" w:cs="Times New Roman"/>
          <w:color w:val="auto"/>
        </w:rPr>
        <w:t>.</w:t>
      </w:r>
      <w:r>
        <w:rPr>
          <w:rFonts w:hint="eastAsia" w:ascii="Times New Roman" w:hAnsi="Times New Roman" w:cs="Times New Roman"/>
          <w:color w:val="auto"/>
          <w:lang w:val="en-US" w:eastAsia="zh-CN"/>
        </w:rPr>
        <w:t>6</w:t>
      </w:r>
      <w:r>
        <w:rPr>
          <w:rFonts w:hint="default" w:ascii="Times New Roman" w:hAnsi="Times New Roman" w:cs="Times New Roman"/>
          <w:color w:val="auto"/>
        </w:rPr>
        <w:t>电子桩和电子告示牌布设</w:t>
      </w:r>
      <w:bookmarkEnd w:id="82"/>
      <w:bookmarkEnd w:id="83"/>
      <w:bookmarkEnd w:id="84"/>
    </w:p>
    <w:p>
      <w:pPr>
        <w:pStyle w:val="5"/>
        <w:rPr>
          <w:rFonts w:hint="default" w:ascii="Times New Roman" w:hAnsi="Times New Roman" w:cs="Times New Roman"/>
          <w:color w:val="auto"/>
        </w:rPr>
      </w:pPr>
      <w:bookmarkStart w:id="85" w:name="_Toc60738513"/>
      <w:bookmarkStart w:id="86" w:name="_Toc32569"/>
      <w:bookmarkStart w:id="87" w:name="_Toc61166796"/>
      <w:r>
        <w:rPr>
          <w:rFonts w:hint="eastAsia" w:ascii="Times New Roman" w:hAnsi="Times New Roman" w:cs="Times New Roman"/>
          <w:color w:val="auto"/>
          <w:lang w:val="en-US" w:eastAsia="zh-CN"/>
        </w:rPr>
        <w:t>3</w:t>
      </w:r>
      <w:r>
        <w:rPr>
          <w:rFonts w:hint="default" w:ascii="Times New Roman" w:hAnsi="Times New Roman" w:cs="Times New Roman"/>
          <w:color w:val="auto"/>
        </w:rPr>
        <w:t>.</w:t>
      </w:r>
      <w:r>
        <w:rPr>
          <w:rFonts w:hint="eastAsia" w:ascii="Times New Roman" w:hAnsi="Times New Roman" w:cs="Times New Roman"/>
          <w:color w:val="auto"/>
          <w:lang w:val="en-US" w:eastAsia="zh-CN"/>
        </w:rPr>
        <w:t>6</w:t>
      </w:r>
      <w:r>
        <w:rPr>
          <w:rFonts w:hint="default" w:ascii="Times New Roman" w:hAnsi="Times New Roman" w:cs="Times New Roman"/>
          <w:color w:val="auto"/>
        </w:rPr>
        <w:t>.1电子桩和电子告示牌布设总体原则</w:t>
      </w:r>
      <w:bookmarkEnd w:id="85"/>
      <w:bookmarkEnd w:id="86"/>
      <w:bookmarkEnd w:id="87"/>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电子界桩布设总体原则</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布设界桩时以能控制水利工程管理与保护范围边界的基本走向为原则。</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电子告示牌布设总体原则</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水利工程管理范围线的起点、终点各设一个告示牌，起点、终点之间设置的告示牌间距小于3km。</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水利工程保护范围线的起点、终点各设一个告示牌，起点、终点之间设置的告示牌间距小于6km。</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3</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在下列情况设置电子告示牌：</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fldChar w:fldCharType="begin"/>
      </w:r>
      <w:r>
        <w:rPr>
          <w:rFonts w:hint="default" w:ascii="Times New Roman" w:hAnsi="Times New Roman" w:cs="Times New Roman" w:eastAsiaTheme="minorEastAsia"/>
          <w:color w:val="auto"/>
          <w:sz w:val="24"/>
          <w:szCs w:val="24"/>
          <w:lang w:eastAsia="zh-CN"/>
        </w:rPr>
        <w:instrText xml:space="preserve"> = 1 \* GB3 </w:instrText>
      </w:r>
      <w:r>
        <w:rPr>
          <w:rFonts w:hint="default" w:ascii="Times New Roman" w:hAnsi="Times New Roman" w:cs="Times New Roman" w:eastAsiaTheme="minorEastAsia"/>
          <w:color w:val="auto"/>
          <w:sz w:val="24"/>
          <w:szCs w:val="24"/>
          <w:lang w:eastAsia="zh-CN"/>
        </w:rPr>
        <w:fldChar w:fldCharType="separate"/>
      </w:r>
      <w:r>
        <w:rPr>
          <w:rFonts w:hint="default" w:ascii="Times New Roman" w:hAnsi="Times New Roman" w:cs="Times New Roman" w:eastAsiaTheme="minorEastAsia"/>
          <w:color w:val="auto"/>
          <w:sz w:val="24"/>
          <w:szCs w:val="24"/>
          <w:lang w:eastAsia="zh-CN"/>
        </w:rPr>
        <w:t>①</w:t>
      </w:r>
      <w:r>
        <w:rPr>
          <w:rFonts w:hint="default" w:ascii="Times New Roman" w:hAnsi="Times New Roman" w:cs="Times New Roman" w:eastAsiaTheme="minorEastAsia"/>
          <w:color w:val="auto"/>
          <w:sz w:val="24"/>
          <w:szCs w:val="24"/>
          <w:lang w:eastAsia="zh-CN"/>
        </w:rPr>
        <w:fldChar w:fldCharType="end"/>
      </w:r>
      <w:r>
        <w:rPr>
          <w:rFonts w:hint="default" w:ascii="Times New Roman" w:hAnsi="Times New Roman" w:cs="Times New Roman" w:eastAsiaTheme="minorEastAsia"/>
          <w:color w:val="auto"/>
          <w:sz w:val="24"/>
          <w:szCs w:val="24"/>
          <w:lang w:eastAsia="zh-CN"/>
        </w:rPr>
        <w:t>穿越城镇规划区上、下游；</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fldChar w:fldCharType="begin"/>
      </w:r>
      <w:r>
        <w:rPr>
          <w:rFonts w:hint="default" w:ascii="Times New Roman" w:hAnsi="Times New Roman" w:cs="Times New Roman" w:eastAsiaTheme="minorEastAsia"/>
          <w:color w:val="auto"/>
          <w:sz w:val="24"/>
          <w:szCs w:val="24"/>
          <w:lang w:eastAsia="zh-CN"/>
        </w:rPr>
        <w:instrText xml:space="preserve"> = 2 \* GB3 </w:instrText>
      </w:r>
      <w:r>
        <w:rPr>
          <w:rFonts w:hint="default" w:ascii="Times New Roman" w:hAnsi="Times New Roman" w:cs="Times New Roman" w:eastAsiaTheme="minorEastAsia"/>
          <w:color w:val="auto"/>
          <w:sz w:val="24"/>
          <w:szCs w:val="24"/>
          <w:lang w:eastAsia="zh-CN"/>
        </w:rPr>
        <w:fldChar w:fldCharType="separate"/>
      </w:r>
      <w:r>
        <w:rPr>
          <w:rFonts w:hint="default" w:ascii="Times New Roman" w:hAnsi="Times New Roman" w:cs="Times New Roman" w:eastAsiaTheme="minorEastAsia"/>
          <w:color w:val="auto"/>
          <w:sz w:val="24"/>
          <w:szCs w:val="24"/>
          <w:lang w:eastAsia="zh-CN"/>
        </w:rPr>
        <w:t>②</w:t>
      </w:r>
      <w:r>
        <w:rPr>
          <w:rFonts w:hint="default" w:ascii="Times New Roman" w:hAnsi="Times New Roman" w:cs="Times New Roman" w:eastAsiaTheme="minorEastAsia"/>
          <w:color w:val="auto"/>
          <w:sz w:val="24"/>
          <w:szCs w:val="24"/>
          <w:lang w:eastAsia="zh-CN"/>
        </w:rPr>
        <w:fldChar w:fldCharType="end"/>
      </w:r>
      <w:r>
        <w:rPr>
          <w:rFonts w:hint="default" w:ascii="Times New Roman" w:hAnsi="Times New Roman" w:cs="Times New Roman" w:eastAsiaTheme="minorEastAsia"/>
          <w:color w:val="auto"/>
          <w:sz w:val="24"/>
          <w:szCs w:val="24"/>
          <w:lang w:eastAsia="zh-CN"/>
        </w:rPr>
        <w:t>水利工程重要的下水通道、取水口、电站等；</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fldChar w:fldCharType="begin"/>
      </w:r>
      <w:r>
        <w:rPr>
          <w:rFonts w:hint="default" w:ascii="Times New Roman" w:hAnsi="Times New Roman" w:cs="Times New Roman" w:eastAsiaTheme="minorEastAsia"/>
          <w:color w:val="auto"/>
          <w:sz w:val="24"/>
          <w:szCs w:val="24"/>
          <w:lang w:eastAsia="zh-CN"/>
        </w:rPr>
        <w:instrText xml:space="preserve"> = 3 \* GB3 </w:instrText>
      </w:r>
      <w:r>
        <w:rPr>
          <w:rFonts w:hint="default" w:ascii="Times New Roman" w:hAnsi="Times New Roman" w:cs="Times New Roman" w:eastAsiaTheme="minorEastAsia"/>
          <w:color w:val="auto"/>
          <w:sz w:val="24"/>
          <w:szCs w:val="24"/>
          <w:lang w:eastAsia="zh-CN"/>
        </w:rPr>
        <w:fldChar w:fldCharType="separate"/>
      </w:r>
      <w:r>
        <w:rPr>
          <w:rFonts w:hint="default" w:ascii="Times New Roman" w:hAnsi="Times New Roman" w:cs="Times New Roman" w:eastAsiaTheme="minorEastAsia"/>
          <w:color w:val="auto"/>
          <w:sz w:val="24"/>
          <w:szCs w:val="24"/>
          <w:lang w:eastAsia="zh-CN"/>
        </w:rPr>
        <w:t>③</w:t>
      </w:r>
      <w:r>
        <w:rPr>
          <w:rFonts w:hint="default" w:ascii="Times New Roman" w:hAnsi="Times New Roman" w:cs="Times New Roman" w:eastAsiaTheme="minorEastAsia"/>
          <w:color w:val="auto"/>
          <w:sz w:val="24"/>
          <w:szCs w:val="24"/>
          <w:lang w:eastAsia="zh-CN"/>
        </w:rPr>
        <w:fldChar w:fldCharType="end"/>
      </w:r>
      <w:r>
        <w:rPr>
          <w:rFonts w:hint="default" w:ascii="Times New Roman" w:hAnsi="Times New Roman" w:cs="Times New Roman" w:eastAsiaTheme="minorEastAsia"/>
          <w:color w:val="auto"/>
          <w:sz w:val="24"/>
          <w:szCs w:val="24"/>
          <w:lang w:eastAsia="zh-CN"/>
        </w:rPr>
        <w:t>人口密集或人流聚集地点河湖岸；</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fldChar w:fldCharType="begin"/>
      </w:r>
      <w:r>
        <w:rPr>
          <w:rFonts w:hint="default" w:ascii="Times New Roman" w:hAnsi="Times New Roman" w:cs="Times New Roman" w:eastAsiaTheme="minorEastAsia"/>
          <w:color w:val="auto"/>
          <w:sz w:val="24"/>
          <w:szCs w:val="24"/>
          <w:lang w:eastAsia="zh-CN"/>
        </w:rPr>
        <w:instrText xml:space="preserve"> = 4 \* GB3 </w:instrText>
      </w:r>
      <w:r>
        <w:rPr>
          <w:rFonts w:hint="default" w:ascii="Times New Roman" w:hAnsi="Times New Roman" w:cs="Times New Roman" w:eastAsiaTheme="minorEastAsia"/>
          <w:color w:val="auto"/>
          <w:sz w:val="24"/>
          <w:szCs w:val="24"/>
          <w:lang w:eastAsia="zh-CN"/>
        </w:rPr>
        <w:fldChar w:fldCharType="separate"/>
      </w:r>
      <w:r>
        <w:rPr>
          <w:rFonts w:hint="default" w:ascii="Times New Roman" w:hAnsi="Times New Roman" w:cs="Times New Roman" w:eastAsiaTheme="minorEastAsia"/>
          <w:color w:val="auto"/>
          <w:sz w:val="24"/>
          <w:szCs w:val="24"/>
          <w:lang w:eastAsia="zh-CN"/>
        </w:rPr>
        <w:t>④</w:t>
      </w:r>
      <w:r>
        <w:rPr>
          <w:rFonts w:hint="default" w:ascii="Times New Roman" w:hAnsi="Times New Roman" w:cs="Times New Roman" w:eastAsiaTheme="minorEastAsia"/>
          <w:color w:val="auto"/>
          <w:sz w:val="24"/>
          <w:szCs w:val="24"/>
          <w:lang w:eastAsia="zh-CN"/>
        </w:rPr>
        <w:fldChar w:fldCharType="end"/>
      </w:r>
      <w:r>
        <w:rPr>
          <w:rFonts w:hint="default" w:ascii="Times New Roman" w:hAnsi="Times New Roman" w:cs="Times New Roman" w:eastAsiaTheme="minorEastAsia"/>
          <w:color w:val="auto"/>
          <w:sz w:val="24"/>
          <w:szCs w:val="24"/>
          <w:lang w:eastAsia="zh-CN"/>
        </w:rPr>
        <w:t>水事纠纷和水事案件易发地段或行政界。</w:t>
      </w:r>
    </w:p>
    <w:p>
      <w:pPr>
        <w:pStyle w:val="5"/>
        <w:rPr>
          <w:rFonts w:hint="default" w:ascii="Times New Roman" w:hAnsi="Times New Roman" w:cs="Times New Roman"/>
          <w:color w:val="auto"/>
        </w:rPr>
      </w:pPr>
      <w:bookmarkStart w:id="88" w:name="_Toc60738514"/>
      <w:bookmarkStart w:id="89" w:name="_Toc1000"/>
      <w:bookmarkStart w:id="90" w:name="_Toc61166797"/>
      <w:r>
        <w:rPr>
          <w:rFonts w:hint="eastAsia" w:ascii="Times New Roman" w:hAnsi="Times New Roman" w:cs="Times New Roman"/>
          <w:color w:val="auto"/>
          <w:lang w:eastAsia="zh-CN"/>
        </w:rPr>
        <w:t>3.6.</w:t>
      </w:r>
      <w:r>
        <w:rPr>
          <w:rFonts w:hint="default" w:ascii="Times New Roman" w:hAnsi="Times New Roman" w:cs="Times New Roman"/>
          <w:color w:val="auto"/>
        </w:rPr>
        <w:t>2电子桩和电子告示牌布设密度</w:t>
      </w:r>
      <w:bookmarkEnd w:id="88"/>
      <w:bookmarkEnd w:id="89"/>
      <w:bookmarkEnd w:id="90"/>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根据水利部印发的《河湖及水利工程界桩、告示牌制作安装标准》（建安</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2016</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87号</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，界桩密度为100~1000m，关键部位适当加密，相邻两界桩之间尽量相互通视。在水利工程无生产、生活等人类活动的陡崖、荒山、森林等地段，根据实际情况加大间距。</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对以下情况增设界桩：1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水利工程坝区、取水口、电站等重要设施处；2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水利工程拐弯（角度小于120°</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处；3</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水事纠纷和水事案件易发地段或区县级以上行政区域边界。</w:t>
      </w:r>
    </w:p>
    <w:p>
      <w:pPr>
        <w:pStyle w:val="5"/>
        <w:rPr>
          <w:rFonts w:hint="default" w:ascii="Times New Roman" w:hAnsi="Times New Roman" w:cs="Times New Roman"/>
          <w:color w:val="auto"/>
        </w:rPr>
      </w:pPr>
      <w:bookmarkStart w:id="91" w:name="_Toc28760"/>
      <w:bookmarkStart w:id="92" w:name="_Toc61166798"/>
      <w:bookmarkStart w:id="93" w:name="_Toc60738515"/>
      <w:r>
        <w:rPr>
          <w:rFonts w:hint="eastAsia" w:ascii="Times New Roman" w:hAnsi="Times New Roman" w:cs="Times New Roman"/>
          <w:color w:val="auto"/>
          <w:lang w:eastAsia="zh-CN"/>
        </w:rPr>
        <w:t>3.6.</w:t>
      </w:r>
      <w:r>
        <w:rPr>
          <w:rFonts w:hint="default" w:ascii="Times New Roman" w:hAnsi="Times New Roman" w:cs="Times New Roman"/>
          <w:color w:val="auto"/>
        </w:rPr>
        <w:t>3管理与保护范围界桩编号原则</w:t>
      </w:r>
      <w:bookmarkEnd w:id="91"/>
      <w:bookmarkEnd w:id="92"/>
      <w:bookmarkEnd w:id="93"/>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水库库区界桩序号按照先左岸后右岸编排；坝区界桩序号按照管理需要编排。</w:t>
      </w:r>
    </w:p>
    <w:p>
      <w:pPr>
        <w:pStyle w:val="5"/>
        <w:rPr>
          <w:rFonts w:hint="default" w:ascii="Times New Roman" w:hAnsi="Times New Roman" w:cs="Times New Roman"/>
          <w:color w:val="auto"/>
        </w:rPr>
      </w:pPr>
      <w:bookmarkStart w:id="94" w:name="_Toc61166799"/>
      <w:bookmarkStart w:id="95" w:name="_Toc7867"/>
      <w:bookmarkStart w:id="96" w:name="_Toc60738516"/>
      <w:r>
        <w:rPr>
          <w:rFonts w:hint="eastAsia" w:ascii="Times New Roman" w:hAnsi="Times New Roman" w:cs="Times New Roman"/>
          <w:color w:val="auto"/>
          <w:lang w:eastAsia="zh-CN"/>
        </w:rPr>
        <w:t>3.6.</w:t>
      </w:r>
      <w:r>
        <w:rPr>
          <w:rFonts w:hint="default" w:ascii="Times New Roman" w:hAnsi="Times New Roman" w:cs="Times New Roman"/>
          <w:color w:val="auto"/>
        </w:rPr>
        <w:t>4管理与保护范围界桩编码规则</w:t>
      </w:r>
      <w:bookmarkEnd w:id="94"/>
      <w:bookmarkEnd w:id="95"/>
      <w:bookmarkEnd w:id="96"/>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eastAsia="宋体" w:cs="Times New Roman"/>
          <w:color w:val="auto"/>
          <w:sz w:val="24"/>
          <w:szCs w:val="24"/>
          <w:lang w:eastAsia="zh-CN"/>
        </w:rPr>
        <w:t>水利工程界桩编码，按</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水利工程名称首字母</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水利工程类型首字母</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eastAsiaTheme="minorEastAsia"/>
          <w:color w:val="auto"/>
          <w:sz w:val="24"/>
          <w:szCs w:val="24"/>
          <w:lang w:eastAsia="zh-CN"/>
        </w:rPr>
        <w:t>G</w:t>
      </w:r>
      <w:r>
        <w:rPr>
          <w:rFonts w:hint="default" w:ascii="Times New Roman" w:hAnsi="Times New Roman" w:eastAsia="宋体" w:cs="Times New Roman"/>
          <w:color w:val="auto"/>
          <w:sz w:val="24"/>
          <w:szCs w:val="24"/>
          <w:lang w:eastAsia="zh-CN"/>
        </w:rPr>
        <w:t>（表示管理范围界桩</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或</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eastAsiaTheme="minorEastAsia"/>
          <w:color w:val="auto"/>
          <w:sz w:val="24"/>
          <w:szCs w:val="24"/>
          <w:lang w:eastAsia="zh-CN"/>
        </w:rPr>
        <w:t>B</w:t>
      </w:r>
      <w:r>
        <w:rPr>
          <w:rFonts w:hint="default" w:ascii="Times New Roman" w:hAnsi="Times New Roman" w:eastAsia="宋体" w:cs="Times New Roman"/>
          <w:color w:val="auto"/>
          <w:sz w:val="24"/>
          <w:szCs w:val="24"/>
          <w:lang w:eastAsia="zh-CN"/>
        </w:rPr>
        <w:t>（保护范围界桩</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eastAsiaTheme="minorEastAsia"/>
          <w:color w:val="auto"/>
          <w:sz w:val="24"/>
          <w:szCs w:val="24"/>
          <w:lang w:eastAsia="zh-CN"/>
        </w:rPr>
        <w:t>（L或R</w:t>
      </w:r>
      <w:r>
        <w:rPr>
          <w:rFonts w:hint="eastAsia" w:ascii="Times New Roman" w:hAnsi="Times New Roman" w:cs="Times New Roman" w:eastAsiaTheme="minorEastAsia"/>
          <w:color w:val="auto"/>
          <w:sz w:val="24"/>
          <w:szCs w:val="24"/>
          <w:lang w:eastAsia="zh-CN"/>
        </w:rPr>
        <w:t>）</w:t>
      </w:r>
      <w:r>
        <w:rPr>
          <w:rFonts w:hint="default" w:ascii="Times New Roman" w:hAnsi="Times New Roman" w:eastAsia="宋体" w:cs="Times New Roman"/>
          <w:color w:val="auto"/>
          <w:sz w:val="24"/>
          <w:szCs w:val="24"/>
          <w:lang w:eastAsia="zh-CN"/>
        </w:rPr>
        <w:t>顺序码</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表示（堤防需要区分左右岸的以</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eastAsiaTheme="minorEastAsia"/>
          <w:color w:val="auto"/>
          <w:sz w:val="24"/>
          <w:szCs w:val="24"/>
          <w:lang w:eastAsia="zh-CN"/>
        </w:rPr>
        <w:t>L</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eastAsiaTheme="minorEastAsia"/>
          <w:color w:val="auto"/>
          <w:sz w:val="24"/>
          <w:szCs w:val="24"/>
          <w:lang w:eastAsia="zh-CN"/>
        </w:rPr>
        <w:t>R</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加顺序码区分</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。其中</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水利工程类型首字母</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有如下表示：水库</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eastAsiaTheme="minorEastAsia"/>
          <w:color w:val="auto"/>
          <w:sz w:val="24"/>
          <w:szCs w:val="24"/>
          <w:lang w:eastAsia="zh-CN"/>
        </w:rPr>
        <w:t>SK</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。例如</w:t>
      </w:r>
      <w:r>
        <w:rPr>
          <w:rFonts w:hint="default" w:ascii="Times New Roman" w:hAnsi="Times New Roman" w:eastAsia="宋体" w:cs="Times New Roman"/>
          <w:color w:val="auto"/>
          <w:sz w:val="24"/>
          <w:szCs w:val="24"/>
          <w:lang w:val="en-US" w:eastAsia="zh-CN"/>
        </w:rPr>
        <w:t>毕家冲</w:t>
      </w:r>
      <w:r>
        <w:rPr>
          <w:rFonts w:hint="default" w:ascii="Times New Roman" w:hAnsi="Times New Roman" w:eastAsia="宋体" w:cs="Times New Roman"/>
          <w:color w:val="auto"/>
          <w:sz w:val="24"/>
          <w:szCs w:val="24"/>
          <w:lang w:eastAsia="zh-CN"/>
        </w:rPr>
        <w:t>水库的管理范围</w:t>
      </w:r>
      <w:r>
        <w:rPr>
          <w:rFonts w:hint="default" w:ascii="Times New Roman" w:hAnsi="Times New Roman" w:cs="Times New Roman" w:eastAsiaTheme="minorEastAsia"/>
          <w:color w:val="auto"/>
          <w:sz w:val="24"/>
          <w:szCs w:val="24"/>
          <w:lang w:eastAsia="zh-CN"/>
        </w:rPr>
        <w:t>001</w:t>
      </w:r>
      <w:r>
        <w:rPr>
          <w:rFonts w:hint="default" w:ascii="Times New Roman" w:hAnsi="Times New Roman" w:eastAsia="宋体" w:cs="Times New Roman"/>
          <w:color w:val="auto"/>
          <w:sz w:val="24"/>
          <w:szCs w:val="24"/>
          <w:lang w:eastAsia="zh-CN"/>
        </w:rPr>
        <w:t>号界桩表示为</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eastAsiaTheme="minorEastAsia"/>
          <w:color w:val="auto"/>
          <w:sz w:val="24"/>
          <w:szCs w:val="24"/>
          <w:lang w:val="en-US" w:eastAsia="zh-CN"/>
        </w:rPr>
        <w:t>BJC</w:t>
      </w:r>
      <w:r>
        <w:rPr>
          <w:rFonts w:hint="default" w:ascii="Times New Roman" w:hAnsi="Times New Roman" w:cs="Times New Roman" w:eastAsiaTheme="minorEastAsia"/>
          <w:color w:val="auto"/>
          <w:sz w:val="24"/>
          <w:szCs w:val="24"/>
          <w:lang w:eastAsia="zh-CN"/>
        </w:rPr>
        <w:t>-SK-G001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，保护范围</w:t>
      </w:r>
      <w:r>
        <w:rPr>
          <w:rFonts w:hint="default" w:ascii="Times New Roman" w:hAnsi="Times New Roman" w:cs="Times New Roman" w:eastAsiaTheme="minorEastAsia"/>
          <w:color w:val="auto"/>
          <w:sz w:val="24"/>
          <w:szCs w:val="24"/>
          <w:lang w:eastAsia="zh-CN"/>
        </w:rPr>
        <w:t>001</w:t>
      </w:r>
      <w:r>
        <w:rPr>
          <w:rFonts w:hint="default" w:ascii="Times New Roman" w:hAnsi="Times New Roman" w:eastAsia="宋体" w:cs="Times New Roman"/>
          <w:color w:val="auto"/>
          <w:sz w:val="24"/>
          <w:szCs w:val="24"/>
          <w:lang w:eastAsia="zh-CN"/>
        </w:rPr>
        <w:t>号界桩表示为</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eastAsiaTheme="minorEastAsia"/>
          <w:color w:val="auto"/>
          <w:sz w:val="24"/>
          <w:szCs w:val="24"/>
          <w:lang w:val="en-US" w:eastAsia="zh-CN"/>
        </w:rPr>
        <w:t>BJC</w:t>
      </w:r>
      <w:r>
        <w:rPr>
          <w:rFonts w:hint="default" w:ascii="Times New Roman" w:hAnsi="Times New Roman" w:cs="Times New Roman" w:eastAsiaTheme="minorEastAsia"/>
          <w:color w:val="auto"/>
          <w:sz w:val="24"/>
          <w:szCs w:val="24"/>
          <w:lang w:eastAsia="zh-CN"/>
        </w:rPr>
        <w:t>-SK -B001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w:t>
      </w:r>
    </w:p>
    <w:p>
      <w:pPr>
        <w:pStyle w:val="5"/>
        <w:rPr>
          <w:rFonts w:hint="default" w:ascii="Times New Roman" w:hAnsi="Times New Roman" w:cs="Times New Roman"/>
          <w:color w:val="auto"/>
        </w:rPr>
      </w:pPr>
      <w:bookmarkStart w:id="97" w:name="_Toc61166800"/>
      <w:bookmarkStart w:id="98" w:name="_Toc20203"/>
      <w:bookmarkStart w:id="99" w:name="_Toc60738517"/>
      <w:r>
        <w:rPr>
          <w:rFonts w:hint="eastAsia" w:ascii="Times New Roman" w:hAnsi="Times New Roman" w:cs="Times New Roman"/>
          <w:color w:val="auto"/>
          <w:lang w:eastAsia="zh-CN"/>
        </w:rPr>
        <w:t>3.6.</w:t>
      </w:r>
      <w:r>
        <w:rPr>
          <w:rFonts w:hint="default" w:ascii="Times New Roman" w:hAnsi="Times New Roman" w:cs="Times New Roman"/>
          <w:color w:val="auto"/>
        </w:rPr>
        <w:t>5管理与保护范围告示牌编码规则</w:t>
      </w:r>
      <w:bookmarkEnd w:id="97"/>
      <w:bookmarkEnd w:id="98"/>
      <w:bookmarkEnd w:id="99"/>
    </w:p>
    <w:p>
      <w:pPr>
        <w:spacing w:after="0" w:line="360" w:lineRule="auto"/>
        <w:ind w:firstLine="482"/>
        <w:jc w:val="both"/>
        <w:rPr>
          <w:rFonts w:hint="default" w:ascii="Times New Roman" w:hAnsi="Times New Roman" w:cs="Times New Roman" w:eastAsiaTheme="minorEastAsia"/>
          <w:color w:val="auto"/>
          <w:sz w:val="24"/>
          <w:szCs w:val="24"/>
          <w:lang w:eastAsia="zh-CN"/>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cs="Times New Roman" w:eastAsiaTheme="minorEastAsia"/>
          <w:color w:val="auto"/>
          <w:sz w:val="24"/>
          <w:szCs w:val="24"/>
          <w:lang w:eastAsia="zh-CN"/>
        </w:rPr>
        <w:t>水利工程管理与保护范围告示牌，按</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水利工程名称首字母</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GSP</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G（表示管理范围界桩</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或</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B（保护范围界桩</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（L或R</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顺序码</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表示。例如</w:t>
      </w:r>
      <w:r>
        <w:rPr>
          <w:rFonts w:hint="default" w:ascii="Times New Roman" w:hAnsi="Times New Roman" w:eastAsia="宋体" w:cs="Times New Roman"/>
          <w:color w:val="auto"/>
          <w:sz w:val="24"/>
          <w:szCs w:val="24"/>
          <w:lang w:val="en-US" w:eastAsia="zh-CN"/>
        </w:rPr>
        <w:t>毕家冲</w:t>
      </w:r>
      <w:r>
        <w:rPr>
          <w:rFonts w:hint="default" w:ascii="Times New Roman" w:hAnsi="Times New Roman" w:cs="Times New Roman" w:eastAsiaTheme="minorEastAsia"/>
          <w:color w:val="auto"/>
          <w:sz w:val="24"/>
          <w:szCs w:val="24"/>
          <w:lang w:eastAsia="zh-CN"/>
        </w:rPr>
        <w:t>水库的管理范围001号告示牌表示为</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BJC</w:t>
      </w:r>
      <w:r>
        <w:rPr>
          <w:rFonts w:hint="default" w:ascii="Times New Roman" w:hAnsi="Times New Roman" w:cs="Times New Roman" w:eastAsiaTheme="minorEastAsia"/>
          <w:color w:val="auto"/>
          <w:sz w:val="24"/>
          <w:szCs w:val="24"/>
          <w:lang w:eastAsia="zh-CN"/>
        </w:rPr>
        <w:t>-GSP-G001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，保护范围001号告示牌表示为</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val="en-US" w:eastAsia="zh-CN"/>
        </w:rPr>
        <w:t>BJC</w:t>
      </w:r>
      <w:r>
        <w:rPr>
          <w:rFonts w:hint="default" w:ascii="Times New Roman" w:hAnsi="Times New Roman" w:cs="Times New Roman" w:eastAsiaTheme="minorEastAsia"/>
          <w:color w:val="auto"/>
          <w:sz w:val="24"/>
          <w:szCs w:val="24"/>
          <w:lang w:eastAsia="zh-CN"/>
        </w:rPr>
        <w:t>-GSP-B001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w:t>
      </w:r>
    </w:p>
    <w:p>
      <w:pPr>
        <w:pStyle w:val="3"/>
        <w:spacing w:after="156"/>
        <w:ind w:left="0" w:leftChars="0" w:firstLine="0" w:firstLineChars="0"/>
        <w:jc w:val="center"/>
        <w:rPr>
          <w:rFonts w:hint="default" w:ascii="Times New Roman" w:hAnsi="Times New Roman" w:cs="Times New Roman"/>
          <w:color w:val="auto"/>
        </w:rPr>
      </w:pPr>
      <w:bookmarkStart w:id="100" w:name="_Toc15099"/>
      <w:bookmarkStart w:id="101" w:name="_Toc11117"/>
      <w:bookmarkStart w:id="102" w:name="_Toc87513379"/>
      <w:bookmarkStart w:id="103" w:name="_Toc86763885"/>
      <w:bookmarkStart w:id="104" w:name="_Toc2307"/>
      <w:r>
        <w:rPr>
          <w:rFonts w:hint="eastAsia" w:ascii="Times New Roman" w:hAnsi="Times New Roman" w:cs="Times New Roman"/>
          <w:color w:val="auto"/>
          <w:lang w:val="en-US" w:eastAsia="zh-CN"/>
        </w:rPr>
        <w:t>4</w:t>
      </w:r>
      <w:r>
        <w:rPr>
          <w:rFonts w:hint="default" w:ascii="Times New Roman" w:hAnsi="Times New Roman" w:cs="Times New Roman"/>
          <w:color w:val="auto"/>
        </w:rPr>
        <w:t>、管理范围与保护范围线核实勘定</w:t>
      </w:r>
      <w:bookmarkEnd w:id="100"/>
      <w:bookmarkEnd w:id="101"/>
      <w:bookmarkEnd w:id="102"/>
      <w:bookmarkEnd w:id="103"/>
      <w:bookmarkEnd w:id="104"/>
    </w:p>
    <w:p>
      <w:pPr>
        <w:pStyle w:val="4"/>
        <w:jc w:val="both"/>
        <w:rPr>
          <w:rFonts w:hint="default" w:ascii="Times New Roman" w:hAnsi="Times New Roman" w:cs="Times New Roman"/>
          <w:color w:val="auto"/>
        </w:rPr>
      </w:pPr>
      <w:bookmarkStart w:id="105" w:name="_Toc87513380"/>
      <w:bookmarkStart w:id="106" w:name="_Toc86763886"/>
      <w:bookmarkStart w:id="107" w:name="_Toc15588"/>
      <w:bookmarkStart w:id="108" w:name="_Toc17583"/>
      <w:r>
        <w:rPr>
          <w:rFonts w:hint="eastAsia" w:ascii="Times New Roman" w:hAnsi="Times New Roman" w:cs="Times New Roman"/>
          <w:color w:val="auto"/>
          <w:lang w:val="en-US" w:eastAsia="zh-CN"/>
        </w:rPr>
        <w:t>4</w:t>
      </w:r>
      <w:r>
        <w:rPr>
          <w:rFonts w:hint="default" w:ascii="Times New Roman" w:hAnsi="Times New Roman" w:cs="Times New Roman"/>
          <w:color w:val="auto"/>
        </w:rPr>
        <w:t>.1</w:t>
      </w:r>
      <w:bookmarkEnd w:id="105"/>
      <w:bookmarkEnd w:id="106"/>
      <w:r>
        <w:rPr>
          <w:rFonts w:hint="default" w:ascii="Times New Roman" w:hAnsi="Times New Roman" w:cs="Times New Roman"/>
          <w:color w:val="auto"/>
        </w:rPr>
        <w:t>电子桩和电子告示牌核实勘定</w:t>
      </w:r>
      <w:bookmarkEnd w:id="107"/>
      <w:bookmarkEnd w:id="108"/>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依据初步设立的电子界桩和电子告示牌，结合最新遥感影像，对各水利工程电子界桩和电子告示牌设立的位置进行了核实与调整，采集其坐标值，制作了坐标成果表。</w:t>
      </w:r>
    </w:p>
    <w:p>
      <w:pPr>
        <w:pStyle w:val="4"/>
        <w:jc w:val="both"/>
        <w:rPr>
          <w:rFonts w:hint="default" w:ascii="Times New Roman" w:hAnsi="Times New Roman" w:cs="Times New Roman"/>
          <w:color w:val="auto"/>
        </w:rPr>
      </w:pPr>
      <w:bookmarkStart w:id="109" w:name="_Toc8883"/>
      <w:bookmarkStart w:id="110" w:name="_Toc87513381"/>
      <w:bookmarkStart w:id="111" w:name="_Toc86763887"/>
      <w:bookmarkStart w:id="112" w:name="_Toc13825"/>
      <w:r>
        <w:rPr>
          <w:rFonts w:hint="eastAsia" w:ascii="Times New Roman" w:hAnsi="Times New Roman" w:cs="Times New Roman"/>
          <w:color w:val="auto"/>
          <w:lang w:val="en-US" w:eastAsia="zh-CN"/>
        </w:rPr>
        <w:t>4</w:t>
      </w:r>
      <w:r>
        <w:rPr>
          <w:rFonts w:hint="default" w:ascii="Times New Roman" w:hAnsi="Times New Roman" w:cs="Times New Roman"/>
          <w:color w:val="auto"/>
        </w:rPr>
        <w:t>.2管理与保护范围线修正</w:t>
      </w:r>
      <w:bookmarkEnd w:id="109"/>
      <w:bookmarkEnd w:id="110"/>
      <w:bookmarkEnd w:id="111"/>
      <w:bookmarkEnd w:id="112"/>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依据划定的管理与保护范围线，利用工作底图，进行了实地核实与修正。修正的主要问题包括：</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在保证水利工程划界参数取值处于划界的参数范围内，通过对管理范围线、保护范围线的优化，使其划定范围更加符合实际情况，避免出现穿越房屋，尖角等不合理情况；</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经过实地核实对水利工程管·理与保护范围内的界桩位置以及管理与保护范围告示牌的放置位置进行了适当修正。</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3</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应管理单位要求需要对管理与保护范围需要修改的情况进行了修正。</w:t>
      </w:r>
    </w:p>
    <w:p>
      <w:pPr>
        <w:pStyle w:val="4"/>
        <w:rPr>
          <w:rFonts w:hint="default" w:ascii="Times New Roman" w:hAnsi="Times New Roman" w:cs="Times New Roman"/>
          <w:color w:val="auto"/>
        </w:rPr>
      </w:pPr>
      <w:bookmarkStart w:id="113" w:name="_Toc3701"/>
      <w:bookmarkStart w:id="114" w:name="_Toc61166804"/>
      <w:bookmarkStart w:id="115" w:name="_Toc18840"/>
      <w:r>
        <w:rPr>
          <w:rFonts w:hint="eastAsia" w:ascii="Times New Roman" w:hAnsi="Times New Roman" w:cs="Times New Roman"/>
          <w:color w:val="auto"/>
          <w:lang w:val="en-US" w:eastAsia="zh-CN"/>
        </w:rPr>
        <w:t>4</w:t>
      </w:r>
      <w:r>
        <w:rPr>
          <w:rFonts w:hint="default" w:ascii="Times New Roman" w:hAnsi="Times New Roman" w:cs="Times New Roman"/>
          <w:color w:val="auto"/>
        </w:rPr>
        <w:t>.3 管理与保护范围线标绘统计</w:t>
      </w:r>
      <w:bookmarkEnd w:id="113"/>
      <w:bookmarkEnd w:id="114"/>
      <w:bookmarkEnd w:id="115"/>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经现场核实勘定后，最终确定的管理与保护范围线、电子界桩和电子告示牌统计情况如表</w:t>
      </w:r>
      <w:r>
        <w:rPr>
          <w:rFonts w:hint="eastAsia" w:ascii="Times New Roman" w:hAnsi="Times New Roman" w:cs="Times New Roman" w:eastAsiaTheme="minorEastAsia"/>
          <w:color w:val="auto"/>
          <w:sz w:val="24"/>
          <w:szCs w:val="24"/>
          <w:lang w:val="en-US" w:eastAsia="zh-CN"/>
        </w:rPr>
        <w:t>4</w:t>
      </w:r>
      <w:r>
        <w:rPr>
          <w:rFonts w:hint="default" w:ascii="Times New Roman" w:hAnsi="Times New Roman" w:cs="Times New Roman" w:eastAsiaTheme="minorEastAsia"/>
          <w:color w:val="auto"/>
          <w:sz w:val="24"/>
          <w:szCs w:val="24"/>
          <w:lang w:eastAsia="zh-CN"/>
        </w:rPr>
        <w:t>-1所示。</w:t>
      </w:r>
    </w:p>
    <w:p>
      <w:pPr>
        <w:spacing w:after="0" w:line="360" w:lineRule="auto"/>
        <w:ind w:firstLine="482"/>
        <w:jc w:val="center"/>
        <w:rPr>
          <w:rFonts w:hint="default" w:ascii="Times New Roman" w:hAnsi="Times New Roman" w:cs="Times New Roman" w:eastAsiaTheme="minorEastAsia"/>
          <w:b/>
          <w:color w:val="auto"/>
          <w:sz w:val="21"/>
          <w:szCs w:val="21"/>
          <w:lang w:eastAsia="zh-CN"/>
        </w:rPr>
      </w:pPr>
      <w:r>
        <w:rPr>
          <w:rFonts w:hint="default" w:ascii="Times New Roman" w:hAnsi="Times New Roman" w:cs="Times New Roman" w:eastAsiaTheme="minorEastAsia"/>
          <w:b/>
          <w:color w:val="auto"/>
          <w:sz w:val="21"/>
          <w:szCs w:val="21"/>
          <w:lang w:eastAsia="zh-CN"/>
        </w:rPr>
        <w:t>表</w:t>
      </w:r>
      <w:r>
        <w:rPr>
          <w:rFonts w:hint="eastAsia" w:ascii="Times New Roman" w:hAnsi="Times New Roman" w:cs="Times New Roman" w:eastAsiaTheme="minorEastAsia"/>
          <w:b/>
          <w:color w:val="auto"/>
          <w:sz w:val="21"/>
          <w:szCs w:val="21"/>
          <w:lang w:val="en-US" w:eastAsia="zh-CN"/>
        </w:rPr>
        <w:t>4</w:t>
      </w:r>
      <w:r>
        <w:rPr>
          <w:rFonts w:hint="default" w:ascii="Times New Roman" w:hAnsi="Times New Roman" w:cs="Times New Roman" w:eastAsiaTheme="minorEastAsia"/>
          <w:b/>
          <w:color w:val="auto"/>
          <w:sz w:val="21"/>
          <w:szCs w:val="21"/>
          <w:lang w:eastAsia="zh-CN"/>
        </w:rPr>
        <w:t>-1管理与保护范围划定成果统计表</w:t>
      </w:r>
    </w:p>
    <w:tbl>
      <w:tblPr>
        <w:tblStyle w:val="50"/>
        <w:tblW w:w="9169" w:type="dxa"/>
        <w:jc w:val="center"/>
        <w:tblLayout w:type="fixed"/>
        <w:tblCellMar>
          <w:top w:w="0" w:type="dxa"/>
          <w:left w:w="108" w:type="dxa"/>
          <w:bottom w:w="0" w:type="dxa"/>
          <w:right w:w="108" w:type="dxa"/>
        </w:tblCellMar>
      </w:tblPr>
      <w:tblGrid>
        <w:gridCol w:w="1466"/>
        <w:gridCol w:w="1336"/>
        <w:gridCol w:w="1367"/>
        <w:gridCol w:w="933"/>
        <w:gridCol w:w="884"/>
        <w:gridCol w:w="1616"/>
        <w:gridCol w:w="1567"/>
      </w:tblGrid>
      <w:tr>
        <w:tblPrEx>
          <w:tblCellMar>
            <w:top w:w="0" w:type="dxa"/>
            <w:left w:w="108" w:type="dxa"/>
            <w:bottom w:w="0" w:type="dxa"/>
            <w:right w:w="108" w:type="dxa"/>
          </w:tblCellMar>
        </w:tblPrEx>
        <w:trPr>
          <w:trHeight w:val="315" w:hRule="atLeast"/>
          <w:tblHeader/>
          <w:jc w:val="center"/>
        </w:trPr>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工程名称</w:t>
            </w:r>
          </w:p>
        </w:tc>
        <w:tc>
          <w:tcPr>
            <w:tcW w:w="133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管理范围线（千米</w:t>
            </w:r>
            <w:r>
              <w:rPr>
                <w:rFonts w:hint="eastAsia" w:ascii="Times New Roman" w:hAnsi="Times New Roman" w:eastAsia="宋体" w:cs="Times New Roman"/>
                <w:b/>
                <w:bCs/>
                <w:color w:val="auto"/>
                <w:lang w:eastAsia="zh-CN"/>
              </w:rPr>
              <w:t>）</w:t>
            </w:r>
          </w:p>
        </w:tc>
        <w:tc>
          <w:tcPr>
            <w:tcW w:w="136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保护范围线</w:t>
            </w:r>
            <w:r>
              <w:rPr>
                <w:rFonts w:hint="eastAsia" w:ascii="Times New Roman" w:hAnsi="Times New Roman" w:eastAsia="宋体" w:cs="Times New Roman"/>
                <w:b/>
                <w:bCs/>
                <w:color w:val="auto"/>
                <w:lang w:eastAsia="zh-CN"/>
              </w:rPr>
              <w:t>（</w:t>
            </w:r>
            <w:r>
              <w:rPr>
                <w:rFonts w:hint="default" w:ascii="Times New Roman" w:hAnsi="Times New Roman" w:eastAsia="宋体" w:cs="Times New Roman"/>
                <w:b/>
                <w:bCs/>
                <w:color w:val="auto"/>
                <w:lang w:eastAsia="zh-CN"/>
              </w:rPr>
              <w:t>千米</w:t>
            </w:r>
            <w:r>
              <w:rPr>
                <w:rFonts w:hint="eastAsia" w:ascii="Times New Roman" w:hAnsi="Times New Roman" w:eastAsia="宋体" w:cs="Times New Roman"/>
                <w:b/>
                <w:bCs/>
                <w:color w:val="auto"/>
                <w:lang w:eastAsia="zh-CN"/>
              </w:rPr>
              <w:t>）</w:t>
            </w:r>
          </w:p>
        </w:tc>
        <w:tc>
          <w:tcPr>
            <w:tcW w:w="93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界桩（个</w:t>
            </w:r>
            <w:r>
              <w:rPr>
                <w:rFonts w:hint="eastAsia" w:ascii="Times New Roman" w:hAnsi="Times New Roman" w:eastAsia="宋体" w:cs="Times New Roman"/>
                <w:b/>
                <w:bCs/>
                <w:color w:val="auto"/>
                <w:lang w:eastAsia="zh-CN"/>
              </w:rPr>
              <w:t>）</w:t>
            </w:r>
          </w:p>
        </w:tc>
        <w:tc>
          <w:tcPr>
            <w:tcW w:w="88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告示牌（个</w:t>
            </w:r>
            <w:r>
              <w:rPr>
                <w:rFonts w:hint="eastAsia" w:ascii="Times New Roman" w:hAnsi="Times New Roman" w:eastAsia="宋体" w:cs="Times New Roman"/>
                <w:b/>
                <w:bCs/>
                <w:color w:val="auto"/>
                <w:lang w:eastAsia="zh-CN"/>
              </w:rPr>
              <w:t>）</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管理范围</w:t>
            </w:r>
            <w:r>
              <w:rPr>
                <w:rFonts w:hint="default" w:ascii="Times New Roman" w:hAnsi="Times New Roman" w:eastAsia="宋体" w:cs="Times New Roman"/>
                <w:b/>
                <w:bCs/>
                <w:color w:val="auto"/>
                <w:lang w:val="en-US" w:eastAsia="zh-CN"/>
              </w:rPr>
              <w:t>面积</w:t>
            </w:r>
            <w:r>
              <w:rPr>
                <w:rFonts w:hint="default" w:ascii="Times New Roman" w:hAnsi="Times New Roman" w:eastAsia="宋体" w:cs="Times New Roman"/>
                <w:b/>
                <w:bCs/>
                <w:color w:val="auto"/>
                <w:lang w:eastAsia="zh-CN"/>
              </w:rPr>
              <w:t xml:space="preserve">    </w:t>
            </w:r>
            <w:r>
              <w:rPr>
                <w:rFonts w:hint="eastAsia" w:ascii="Times New Roman" w:hAnsi="Times New Roman" w:eastAsia="宋体" w:cs="Times New Roman"/>
                <w:b/>
                <w:bCs/>
                <w:color w:val="auto"/>
                <w:lang w:eastAsia="zh-CN"/>
              </w:rPr>
              <w:t>（</w:t>
            </w:r>
            <w:r>
              <w:rPr>
                <w:rFonts w:hint="default" w:ascii="Times New Roman" w:hAnsi="Times New Roman" w:eastAsia="宋体" w:cs="Times New Roman"/>
                <w:b/>
                <w:bCs/>
                <w:color w:val="auto"/>
                <w:lang w:eastAsia="zh-CN"/>
              </w:rPr>
              <w:t>亩</w:t>
            </w:r>
            <w:r>
              <w:rPr>
                <w:rFonts w:hint="eastAsia" w:ascii="Times New Roman" w:hAnsi="Times New Roman" w:eastAsia="宋体" w:cs="Times New Roman"/>
                <w:b/>
                <w:bCs/>
                <w:color w:val="auto"/>
                <w:lang w:eastAsia="zh-CN"/>
              </w:rPr>
              <w:t>）</w:t>
            </w:r>
          </w:p>
        </w:tc>
        <w:tc>
          <w:tcPr>
            <w:tcW w:w="156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保护范围</w:t>
            </w:r>
            <w:r>
              <w:rPr>
                <w:rFonts w:hint="default" w:ascii="Times New Roman" w:hAnsi="Times New Roman" w:eastAsia="宋体" w:cs="Times New Roman"/>
                <w:b/>
                <w:bCs/>
                <w:color w:val="auto"/>
                <w:lang w:val="en-US" w:eastAsia="zh-CN"/>
              </w:rPr>
              <w:t>面积</w:t>
            </w:r>
            <w:r>
              <w:rPr>
                <w:rFonts w:hint="default" w:ascii="Times New Roman" w:hAnsi="Times New Roman" w:eastAsia="宋体" w:cs="Times New Roman"/>
                <w:b/>
                <w:bCs/>
                <w:color w:val="auto"/>
                <w:lang w:eastAsia="zh-CN"/>
              </w:rPr>
              <w:t>（亩</w:t>
            </w:r>
            <w:r>
              <w:rPr>
                <w:rFonts w:hint="eastAsia" w:ascii="Times New Roman" w:hAnsi="Times New Roman" w:eastAsia="宋体" w:cs="Times New Roman"/>
                <w:b/>
                <w:bCs/>
                <w:color w:val="auto"/>
                <w:lang w:eastAsia="zh-CN"/>
              </w:rPr>
              <w:t>）</w:t>
            </w:r>
          </w:p>
        </w:tc>
      </w:tr>
      <w:tr>
        <w:tblPrEx>
          <w:tblCellMar>
            <w:top w:w="0" w:type="dxa"/>
            <w:left w:w="108" w:type="dxa"/>
            <w:bottom w:w="0" w:type="dxa"/>
            <w:right w:w="108" w:type="dxa"/>
          </w:tblCellMar>
        </w:tblPrEx>
        <w:trPr>
          <w:trHeight w:val="315" w:hRule="atLeast"/>
          <w:jc w:val="center"/>
        </w:trPr>
        <w:tc>
          <w:tcPr>
            <w:tcW w:w="146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毕家冲水库</w:t>
            </w:r>
          </w:p>
        </w:tc>
        <w:tc>
          <w:tcPr>
            <w:tcW w:w="13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1.78</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1.88</w:t>
            </w:r>
          </w:p>
        </w:tc>
        <w:tc>
          <w:tcPr>
            <w:tcW w:w="93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66</w:t>
            </w:r>
          </w:p>
        </w:tc>
        <w:tc>
          <w:tcPr>
            <w:tcW w:w="88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p>
        </w:tc>
        <w:tc>
          <w:tcPr>
            <w:tcW w:w="161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85.73</w:t>
            </w:r>
          </w:p>
        </w:tc>
        <w:tc>
          <w:tcPr>
            <w:tcW w:w="1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86.05</w:t>
            </w:r>
          </w:p>
        </w:tc>
      </w:tr>
      <w:tr>
        <w:tblPrEx>
          <w:tblCellMar>
            <w:top w:w="0" w:type="dxa"/>
            <w:left w:w="108" w:type="dxa"/>
            <w:bottom w:w="0" w:type="dxa"/>
            <w:right w:w="108" w:type="dxa"/>
          </w:tblCellMar>
        </w:tblPrEx>
        <w:trPr>
          <w:trHeight w:val="285" w:hRule="atLeast"/>
          <w:jc w:val="center"/>
        </w:trPr>
        <w:tc>
          <w:tcPr>
            <w:tcW w:w="14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总计</w:t>
            </w:r>
          </w:p>
        </w:tc>
        <w:tc>
          <w:tcPr>
            <w:tcW w:w="133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1.78</w:t>
            </w:r>
          </w:p>
        </w:tc>
        <w:tc>
          <w:tcPr>
            <w:tcW w:w="13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1.88</w:t>
            </w:r>
          </w:p>
        </w:tc>
        <w:tc>
          <w:tcPr>
            <w:tcW w:w="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66</w:t>
            </w:r>
          </w:p>
        </w:tc>
        <w:tc>
          <w:tcPr>
            <w:tcW w:w="8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p>
        </w:tc>
        <w:tc>
          <w:tcPr>
            <w:tcW w:w="161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85.73</w:t>
            </w:r>
          </w:p>
        </w:tc>
        <w:tc>
          <w:tcPr>
            <w:tcW w:w="15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85.79</w:t>
            </w:r>
          </w:p>
        </w:tc>
      </w:tr>
    </w:tbl>
    <w:p>
      <w:pPr>
        <w:pStyle w:val="4"/>
        <w:rPr>
          <w:rFonts w:hint="default" w:ascii="Times New Roman" w:hAnsi="Times New Roman" w:cs="Times New Roman"/>
          <w:color w:val="auto"/>
        </w:rPr>
      </w:pPr>
      <w:bookmarkStart w:id="116" w:name="_Toc15138"/>
      <w:bookmarkStart w:id="117" w:name="_Toc29582"/>
      <w:bookmarkStart w:id="118" w:name="_Toc61166805"/>
      <w:r>
        <w:rPr>
          <w:rFonts w:hint="eastAsia" w:ascii="Times New Roman" w:hAnsi="Times New Roman" w:cs="Times New Roman"/>
          <w:color w:val="auto"/>
          <w:lang w:val="en-US" w:eastAsia="zh-CN"/>
        </w:rPr>
        <w:t>4</w:t>
      </w:r>
      <w:r>
        <w:rPr>
          <w:rFonts w:hint="default" w:ascii="Times New Roman" w:hAnsi="Times New Roman" w:cs="Times New Roman"/>
          <w:color w:val="auto"/>
        </w:rPr>
        <w:t>.4 管理范围线与其他红线重叠情况</w:t>
      </w:r>
      <w:bookmarkEnd w:id="116"/>
      <w:bookmarkEnd w:id="117"/>
      <w:bookmarkEnd w:id="118"/>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本次</w:t>
      </w:r>
      <w:r>
        <w:rPr>
          <w:rFonts w:hint="default" w:ascii="Times New Roman" w:hAnsi="Times New Roman" w:cs="Times New Roman" w:eastAsiaTheme="minorEastAsia"/>
          <w:color w:val="auto"/>
          <w:sz w:val="24"/>
          <w:szCs w:val="24"/>
          <w:lang w:val="en-US" w:eastAsia="zh-CN"/>
        </w:rPr>
        <w:t>双清</w:t>
      </w:r>
      <w:r>
        <w:rPr>
          <w:rFonts w:hint="default" w:ascii="Times New Roman" w:hAnsi="Times New Roman" w:cs="Times New Roman" w:eastAsiaTheme="minorEastAsia"/>
          <w:color w:val="auto"/>
          <w:sz w:val="24"/>
          <w:szCs w:val="24"/>
          <w:lang w:eastAsia="zh-CN"/>
        </w:rPr>
        <w:t>区小（2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型水库划定的管理范围线与基本农田保护区、生态红线、已批复建设用地红线进行叠加分析，重叠情况如表5-2所示。</w:t>
      </w:r>
    </w:p>
    <w:p>
      <w:pPr>
        <w:spacing w:after="0" w:line="360" w:lineRule="auto"/>
        <w:ind w:firstLine="482"/>
        <w:jc w:val="center"/>
        <w:rPr>
          <w:rFonts w:hint="default" w:ascii="Times New Roman" w:hAnsi="Times New Roman" w:cs="Times New Roman" w:eastAsiaTheme="minorEastAsia"/>
          <w:b/>
          <w:color w:val="auto"/>
          <w:sz w:val="21"/>
          <w:szCs w:val="21"/>
          <w:lang w:eastAsia="zh-CN"/>
        </w:rPr>
      </w:pPr>
      <w:r>
        <w:rPr>
          <w:rFonts w:hint="default" w:ascii="Times New Roman" w:hAnsi="Times New Roman" w:cs="Times New Roman" w:eastAsiaTheme="minorEastAsia"/>
          <w:b/>
          <w:color w:val="auto"/>
          <w:sz w:val="21"/>
          <w:szCs w:val="21"/>
          <w:lang w:eastAsia="zh-CN"/>
        </w:rPr>
        <w:t>表</w:t>
      </w:r>
      <w:r>
        <w:rPr>
          <w:rFonts w:hint="eastAsia" w:ascii="Times New Roman" w:hAnsi="Times New Roman" w:cs="Times New Roman" w:eastAsiaTheme="minorEastAsia"/>
          <w:b/>
          <w:color w:val="auto"/>
          <w:sz w:val="21"/>
          <w:szCs w:val="21"/>
          <w:lang w:val="en-US" w:eastAsia="zh-CN"/>
        </w:rPr>
        <w:t>4</w:t>
      </w:r>
      <w:r>
        <w:rPr>
          <w:rFonts w:hint="default" w:ascii="Times New Roman" w:hAnsi="Times New Roman" w:cs="Times New Roman" w:eastAsiaTheme="minorEastAsia"/>
          <w:b/>
          <w:color w:val="auto"/>
          <w:sz w:val="21"/>
          <w:szCs w:val="21"/>
          <w:lang w:eastAsia="zh-CN"/>
        </w:rPr>
        <w:t>-2 管理范围与其他红线重叠情况统计表</w:t>
      </w:r>
    </w:p>
    <w:tbl>
      <w:tblPr>
        <w:tblStyle w:val="50"/>
        <w:tblW w:w="8522" w:type="dxa"/>
        <w:jc w:val="center"/>
        <w:tblLayout w:type="fixed"/>
        <w:tblCellMar>
          <w:top w:w="0" w:type="dxa"/>
          <w:left w:w="108" w:type="dxa"/>
          <w:bottom w:w="0" w:type="dxa"/>
          <w:right w:w="108" w:type="dxa"/>
        </w:tblCellMar>
      </w:tblPr>
      <w:tblGrid>
        <w:gridCol w:w="1809"/>
        <w:gridCol w:w="1846"/>
        <w:gridCol w:w="1842"/>
        <w:gridCol w:w="3025"/>
      </w:tblGrid>
      <w:tr>
        <w:tblPrEx>
          <w:tblCellMar>
            <w:top w:w="0" w:type="dxa"/>
            <w:left w:w="108" w:type="dxa"/>
            <w:bottom w:w="0" w:type="dxa"/>
            <w:right w:w="108" w:type="dxa"/>
          </w:tblCellMar>
        </w:tblPrEx>
        <w:trPr>
          <w:trHeight w:val="270" w:hRule="atLeast"/>
          <w:tblHeader/>
          <w:jc w:val="center"/>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工程名称</w:t>
            </w:r>
          </w:p>
        </w:tc>
        <w:tc>
          <w:tcPr>
            <w:tcW w:w="18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基本农田面积（亩</w:t>
            </w:r>
            <w:r>
              <w:rPr>
                <w:rFonts w:hint="eastAsia" w:ascii="Times New Roman" w:hAnsi="Times New Roman" w:eastAsia="宋体" w:cs="Times New Roman"/>
                <w:b/>
                <w:bCs/>
                <w:color w:val="auto"/>
                <w:lang w:eastAsia="zh-CN"/>
              </w:rPr>
              <w:t>）</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生态红线面积（亩</w:t>
            </w:r>
            <w:r>
              <w:rPr>
                <w:rFonts w:hint="eastAsia" w:ascii="Times New Roman" w:hAnsi="Times New Roman" w:eastAsia="宋体" w:cs="Times New Roman"/>
                <w:b/>
                <w:bCs/>
                <w:color w:val="auto"/>
                <w:lang w:eastAsia="zh-CN"/>
              </w:rPr>
              <w:t>）</w:t>
            </w:r>
          </w:p>
        </w:tc>
        <w:tc>
          <w:tcPr>
            <w:tcW w:w="3025"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eastAsia="zh-CN"/>
              </w:rPr>
              <w:t>已审批建设用地红线面积（亩</w:t>
            </w:r>
            <w:r>
              <w:rPr>
                <w:rFonts w:hint="eastAsia" w:ascii="Times New Roman" w:hAnsi="Times New Roman" w:eastAsia="宋体" w:cs="Times New Roman"/>
                <w:b/>
                <w:bCs/>
                <w:color w:val="auto"/>
                <w:lang w:eastAsia="zh-CN"/>
              </w:rPr>
              <w:t>）</w:t>
            </w:r>
          </w:p>
        </w:tc>
      </w:tr>
      <w:tr>
        <w:tblPrEx>
          <w:tblCellMar>
            <w:top w:w="0" w:type="dxa"/>
            <w:left w:w="108" w:type="dxa"/>
            <w:bottom w:w="0" w:type="dxa"/>
            <w:right w:w="108" w:type="dxa"/>
          </w:tblCellMar>
        </w:tblPrEx>
        <w:trPr>
          <w:trHeight w:val="270" w:hRule="atLeast"/>
          <w:jc w:val="center"/>
        </w:trPr>
        <w:tc>
          <w:tcPr>
            <w:tcW w:w="18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毕家冲水库</w:t>
            </w:r>
          </w:p>
        </w:tc>
        <w:tc>
          <w:tcPr>
            <w:tcW w:w="18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w:t>
            </w:r>
          </w:p>
        </w:tc>
        <w:tc>
          <w:tcPr>
            <w:tcW w:w="184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w:t>
            </w:r>
          </w:p>
        </w:tc>
        <w:tc>
          <w:tcPr>
            <w:tcW w:w="302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2.43</w:t>
            </w:r>
          </w:p>
        </w:tc>
      </w:tr>
    </w:tbl>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各水利工程管理范围线与其他红线重叠的详细情况如下：</w:t>
      </w:r>
    </w:p>
    <w:p>
      <w:pPr>
        <w:spacing w:after="0" w:line="360" w:lineRule="auto"/>
        <w:ind w:firstLine="482"/>
        <w:jc w:val="both"/>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1.毕家冲水库</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本次</w:t>
      </w:r>
      <w:r>
        <w:rPr>
          <w:rFonts w:hint="default" w:ascii="Times New Roman" w:hAnsi="Times New Roman" w:cs="Times New Roman" w:eastAsiaTheme="minorEastAsia"/>
          <w:color w:val="auto"/>
          <w:sz w:val="24"/>
          <w:szCs w:val="24"/>
          <w:lang w:val="en-US" w:eastAsia="zh-CN"/>
        </w:rPr>
        <w:t>毕家冲水库</w:t>
      </w:r>
      <w:r>
        <w:rPr>
          <w:rFonts w:hint="default" w:ascii="Times New Roman" w:hAnsi="Times New Roman" w:cs="Times New Roman" w:eastAsiaTheme="minorEastAsia"/>
          <w:color w:val="auto"/>
          <w:sz w:val="24"/>
          <w:szCs w:val="24"/>
          <w:lang w:eastAsia="zh-CN"/>
        </w:rPr>
        <w:t>划定的管理范围与基本农田保护区、生态红线、已批复建设用地红线进行叠加分析，管理范围线内包含已批复建设用地红线面积</w:t>
      </w:r>
      <w:r>
        <w:rPr>
          <w:rFonts w:hint="default" w:ascii="Times New Roman" w:hAnsi="Times New Roman" w:cs="Times New Roman" w:eastAsiaTheme="minorEastAsia"/>
          <w:color w:val="auto"/>
          <w:sz w:val="24"/>
          <w:szCs w:val="24"/>
          <w:lang w:val="en-US" w:eastAsia="zh-CN"/>
        </w:rPr>
        <w:t>2.43</w:t>
      </w:r>
      <w:r>
        <w:rPr>
          <w:rFonts w:hint="default" w:ascii="Times New Roman" w:hAnsi="Times New Roman" w:cs="Times New Roman" w:eastAsiaTheme="minorEastAsia"/>
          <w:color w:val="auto"/>
          <w:sz w:val="24"/>
          <w:szCs w:val="24"/>
          <w:lang w:eastAsia="zh-CN"/>
        </w:rPr>
        <w:t>亩；</w:t>
      </w:r>
      <w:r>
        <w:rPr>
          <w:rFonts w:hint="default" w:ascii="Times New Roman" w:hAnsi="Times New Roman" w:cs="Times New Roman" w:eastAsiaTheme="minorEastAsia"/>
          <w:color w:val="auto"/>
          <w:sz w:val="24"/>
          <w:szCs w:val="24"/>
          <w:lang w:val="en-US" w:eastAsia="zh-CN"/>
        </w:rPr>
        <w:t>与</w:t>
      </w:r>
      <w:r>
        <w:rPr>
          <w:rFonts w:hint="default" w:ascii="Times New Roman" w:hAnsi="Times New Roman" w:cs="Times New Roman" w:eastAsiaTheme="minorEastAsia"/>
          <w:color w:val="auto"/>
          <w:sz w:val="24"/>
          <w:szCs w:val="24"/>
          <w:lang w:eastAsia="zh-CN"/>
        </w:rPr>
        <w:t>生态红线保护区、基本农田保护区没有重叠。</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按照湖南省水利厅、湖南省自然资源厅共同下发的《关于委托开展国有大中型机重点小型水利工程管理与保护范围划界方案联合审核的通知》（湘水函</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2021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94号</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要求。水库工程管理与保护范围线同城市开发边界线、永久基本农田线、和生态保护红线存在交叉重叠，各地可依照以下原则处理</w:t>
      </w:r>
      <w:r>
        <w:rPr>
          <w:rFonts w:hint="eastAsia"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水库工程范围线同城市开发边界线存在交叉重叠的，应当依法依规划定水库工程范围线，对城市开发产生严重影响，确有必要进行调整的，可按照有关规定与程序调整。</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（2</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水库工程范围线同永久基本农田、生态保护红线存在交叉重叠的，均属于法律要求保护的对象，可分别依法划定。</w:t>
      </w: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bookmarkEnd w:id="5"/>
    <w:bookmarkEnd w:id="6"/>
    <w:p>
      <w:pPr>
        <w:jc w:val="both"/>
        <w:rPr>
          <w:rFonts w:hint="default" w:ascii="Times New Roman" w:hAnsi="Times New Roman" w:cs="Times New Roman"/>
          <w:color w:val="auto"/>
          <w:lang w:eastAsia="zh-CN"/>
        </w:rPr>
      </w:pPr>
    </w:p>
    <w:sectPr>
      <w:footerReference r:id="rId12" w:type="default"/>
      <w:pgSz w:w="11906" w:h="16838"/>
      <w:pgMar w:top="1440" w:right="1797" w:bottom="1440" w:left="1797" w:header="992" w:footer="851" w:gutter="0"/>
      <w:pgNumType w:fmt="decimal"/>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方正小标宋简体">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132"/>
      </w:rPr>
    </w:pPr>
    <w:r>
      <w:rPr>
        <w:rStyle w:val="132"/>
      </w:rPr>
      <w:fldChar w:fldCharType="begin"/>
    </w:r>
    <w:r>
      <w:rPr>
        <w:rStyle w:val="132"/>
      </w:rPr>
      <w:instrText xml:space="preserve">PAGE  </w:instrText>
    </w:r>
    <w:r>
      <w:rPr>
        <w:rStyle w:val="132"/>
      </w:rP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rPr>
                              <w:rFonts w:hint="eastAsia" w:eastAsia="微软雅黑"/>
                              <w:lang w:eastAsia="zh-CN"/>
                            </w:rPr>
                          </w:pPr>
                          <w:r>
                            <w:rPr>
                              <w:rFonts w:hint="default" w:ascii="Calibri" w:hAnsi="Calibri" w:cs="Calibri"/>
                              <w:sz w:val="18"/>
                              <w:szCs w:val="18"/>
                              <w:lang w:eastAsia="zh-CN"/>
                            </w:rPr>
                            <w:fldChar w:fldCharType="begin"/>
                          </w:r>
                          <w:r>
                            <w:rPr>
                              <w:rFonts w:hint="default" w:ascii="Calibri" w:hAnsi="Calibri" w:cs="Calibri"/>
                              <w:sz w:val="18"/>
                              <w:szCs w:val="18"/>
                              <w:lang w:eastAsia="zh-CN"/>
                            </w:rPr>
                            <w:instrText xml:space="preserve"> PAGE  \* MERGEFORMAT </w:instrText>
                          </w:r>
                          <w:r>
                            <w:rPr>
                              <w:rFonts w:hint="default" w:ascii="Calibri" w:hAnsi="Calibri" w:cs="Calibri"/>
                              <w:sz w:val="18"/>
                              <w:szCs w:val="18"/>
                              <w:lang w:eastAsia="zh-CN"/>
                            </w:rPr>
                            <w:fldChar w:fldCharType="separate"/>
                          </w:r>
                          <w:r>
                            <w:rPr>
                              <w:rFonts w:hint="default" w:ascii="Calibri" w:hAnsi="Calibri" w:cs="Calibri"/>
                              <w:sz w:val="18"/>
                              <w:szCs w:val="18"/>
                              <w:lang w:eastAsia="zh-CN"/>
                            </w:rPr>
                            <w:t>1</w:t>
                          </w:r>
                          <w:r>
                            <w:rPr>
                              <w:rFonts w:hint="default" w:ascii="Calibri" w:hAnsi="Calibri" w:cs="Calibri"/>
                              <w:sz w:val="18"/>
                              <w:szCs w:val="18"/>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7+8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C8Xv7yQEAAJkDAAAOAAAAAAAAAAEAIAAAAB4BAABkcnMvZTJvRG9j&#10;LnhtbFBLBQYAAAAABgAGAFkBAABZBQAAAAA=&#10;">
              <v:fill on="f" focussize="0,0"/>
              <v:stroke on="f"/>
              <v:imagedata o:title=""/>
              <o:lock v:ext="edit" aspectratio="f"/>
              <v:textbox inset="0mm,0mm,0mm,0mm" style="mso-fit-shape-to-text:t;">
                <w:txbxContent>
                  <w:p>
                    <w:pPr>
                      <w:pStyle w:val="33"/>
                      <w:rPr>
                        <w:rFonts w:hint="eastAsia" w:eastAsia="微软雅黑"/>
                        <w:lang w:eastAsia="zh-CN"/>
                      </w:rPr>
                    </w:pPr>
                    <w:r>
                      <w:rPr>
                        <w:rFonts w:hint="default" w:ascii="Calibri" w:hAnsi="Calibri" w:cs="Calibri"/>
                        <w:sz w:val="18"/>
                        <w:szCs w:val="18"/>
                        <w:lang w:eastAsia="zh-CN"/>
                      </w:rPr>
                      <w:fldChar w:fldCharType="begin"/>
                    </w:r>
                    <w:r>
                      <w:rPr>
                        <w:rFonts w:hint="default" w:ascii="Calibri" w:hAnsi="Calibri" w:cs="Calibri"/>
                        <w:sz w:val="18"/>
                        <w:szCs w:val="18"/>
                        <w:lang w:eastAsia="zh-CN"/>
                      </w:rPr>
                      <w:instrText xml:space="preserve"> PAGE  \* MERGEFORMAT </w:instrText>
                    </w:r>
                    <w:r>
                      <w:rPr>
                        <w:rFonts w:hint="default" w:ascii="Calibri" w:hAnsi="Calibri" w:cs="Calibri"/>
                        <w:sz w:val="18"/>
                        <w:szCs w:val="18"/>
                        <w:lang w:eastAsia="zh-CN"/>
                      </w:rPr>
                      <w:fldChar w:fldCharType="separate"/>
                    </w:r>
                    <w:r>
                      <w:rPr>
                        <w:rFonts w:hint="default" w:ascii="Calibri" w:hAnsi="Calibri" w:cs="Calibri"/>
                        <w:sz w:val="18"/>
                        <w:szCs w:val="18"/>
                        <w:lang w:eastAsia="zh-CN"/>
                      </w:rPr>
                      <w:t>1</w:t>
                    </w:r>
                    <w:r>
                      <w:rPr>
                        <w:rFonts w:hint="default" w:ascii="Calibri" w:hAnsi="Calibri" w:cs="Calibri"/>
                        <w:sz w:val="18"/>
                        <w:szCs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Theme="minorEastAsia" w:hAnsiTheme="minorEastAsia" w:eastAsiaTheme="minorEastAsia"/>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rPr>
                              <w:rFonts w:hint="default" w:ascii="Calibri" w:hAnsi="Calibri" w:eastAsia="微软雅黑" w:cs="Calibri"/>
                              <w:sz w:val="18"/>
                              <w:szCs w:val="18"/>
                              <w:lang w:eastAsia="zh-CN"/>
                            </w:rPr>
                          </w:pPr>
                          <w:r>
                            <w:rPr>
                              <w:rFonts w:hint="default" w:ascii="Calibri" w:hAnsi="Calibri" w:cs="Calibri"/>
                              <w:sz w:val="18"/>
                              <w:szCs w:val="18"/>
                              <w:lang w:eastAsia="zh-CN"/>
                            </w:rPr>
                            <w:fldChar w:fldCharType="begin"/>
                          </w:r>
                          <w:r>
                            <w:rPr>
                              <w:rFonts w:hint="default" w:ascii="Calibri" w:hAnsi="Calibri" w:cs="Calibri"/>
                              <w:sz w:val="18"/>
                              <w:szCs w:val="18"/>
                              <w:lang w:eastAsia="zh-CN"/>
                            </w:rPr>
                            <w:instrText xml:space="preserve"> PAGE  \* MERGEFORMAT </w:instrText>
                          </w:r>
                          <w:r>
                            <w:rPr>
                              <w:rFonts w:hint="default" w:ascii="Calibri" w:hAnsi="Calibri" w:cs="Calibri"/>
                              <w:sz w:val="18"/>
                              <w:szCs w:val="18"/>
                              <w:lang w:eastAsia="zh-CN"/>
                            </w:rPr>
                            <w:fldChar w:fldCharType="separate"/>
                          </w:r>
                          <w:r>
                            <w:rPr>
                              <w:rFonts w:hint="default" w:ascii="Calibri" w:hAnsi="Calibri" w:cs="Calibri"/>
                              <w:sz w:val="18"/>
                              <w:szCs w:val="18"/>
                              <w:lang w:eastAsia="zh-CN"/>
                            </w:rPr>
                            <w:t>14</w:t>
                          </w:r>
                          <w:r>
                            <w:rPr>
                              <w:rFonts w:hint="default" w:ascii="Calibri" w:hAnsi="Calibri" w:cs="Calibri"/>
                              <w:sz w:val="18"/>
                              <w:szCs w:val="18"/>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pStyle w:val="33"/>
                      <w:rPr>
                        <w:rFonts w:hint="default" w:ascii="Calibri" w:hAnsi="Calibri" w:eastAsia="微软雅黑" w:cs="Calibri"/>
                        <w:sz w:val="18"/>
                        <w:szCs w:val="18"/>
                        <w:lang w:eastAsia="zh-CN"/>
                      </w:rPr>
                    </w:pPr>
                    <w:r>
                      <w:rPr>
                        <w:rFonts w:hint="default" w:ascii="Calibri" w:hAnsi="Calibri" w:cs="Calibri"/>
                        <w:sz w:val="18"/>
                        <w:szCs w:val="18"/>
                        <w:lang w:eastAsia="zh-CN"/>
                      </w:rPr>
                      <w:fldChar w:fldCharType="begin"/>
                    </w:r>
                    <w:r>
                      <w:rPr>
                        <w:rFonts w:hint="default" w:ascii="Calibri" w:hAnsi="Calibri" w:cs="Calibri"/>
                        <w:sz w:val="18"/>
                        <w:szCs w:val="18"/>
                        <w:lang w:eastAsia="zh-CN"/>
                      </w:rPr>
                      <w:instrText xml:space="preserve"> PAGE  \* MERGEFORMAT </w:instrText>
                    </w:r>
                    <w:r>
                      <w:rPr>
                        <w:rFonts w:hint="default" w:ascii="Calibri" w:hAnsi="Calibri" w:cs="Calibri"/>
                        <w:sz w:val="18"/>
                        <w:szCs w:val="18"/>
                        <w:lang w:eastAsia="zh-CN"/>
                      </w:rPr>
                      <w:fldChar w:fldCharType="separate"/>
                    </w:r>
                    <w:r>
                      <w:rPr>
                        <w:rFonts w:hint="default" w:ascii="Calibri" w:hAnsi="Calibri" w:cs="Calibri"/>
                        <w:sz w:val="18"/>
                        <w:szCs w:val="18"/>
                        <w:lang w:eastAsia="zh-CN"/>
                      </w:rPr>
                      <w:t>14</w:t>
                    </w:r>
                    <w:r>
                      <w:rPr>
                        <w:rFonts w:hint="default" w:ascii="Calibri" w:hAnsi="Calibri" w:cs="Calibri"/>
                        <w:sz w:val="18"/>
                        <w:szCs w:val="18"/>
                        <w:lang w:eastAsia="zh-CN"/>
                      </w:rPr>
                      <w:fldChar w:fldCharType="end"/>
                    </w:r>
                  </w:p>
                </w:txbxContent>
              </v:textbox>
            </v:shape>
          </w:pict>
        </mc:Fallback>
      </mc:AlternateConten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lang w:eastAsia="zh-CN"/>
      </w:rPr>
    </w:pPr>
    <w:r>
      <w:rPr>
        <w:rFonts w:hint="eastAsia" w:ascii="黑体" w:hAnsi="宋体" w:eastAsia="黑体"/>
        <w:sz w:val="21"/>
        <w:szCs w:val="21"/>
        <w:lang w:eastAsia="zh-CN"/>
      </w:rPr>
      <w:t>湖南省资水邵阳县河段治理工程可行性研究报告</w:t>
    </w:r>
    <w:r>
      <w:rPr>
        <w:rFonts w:hint="eastAsia"/>
        <w:lang w:eastAsia="zh-CN"/>
      </w:rPr>
      <w:t>（麦冲垅、梅子垸、县城）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left="7260" w:hanging="7260" w:hangingChars="3300"/>
      <w:rPr>
        <w:rFonts w:ascii="宋体" w:hAnsi="宋体" w:eastAsia="宋体"/>
        <w:spacing w:val="20"/>
        <w:sz w:val="18"/>
        <w:szCs w:val="18"/>
        <w:u w:val="single"/>
        <w:lang w:eastAsia="zh-CN"/>
      </w:rPr>
    </w:pPr>
    <w:r>
      <w:rPr>
        <w:rFonts w:hint="eastAsia" w:ascii="宋体" w:hAnsi="宋体" w:eastAsia="宋体"/>
        <w:spacing w:val="20"/>
        <w:sz w:val="18"/>
        <w:szCs w:val="18"/>
        <w:u w:val="single"/>
        <w:lang w:val="en-US" w:eastAsia="zh-CN"/>
      </w:rPr>
      <w:t>双清区</w:t>
    </w:r>
    <w:r>
      <w:rPr>
        <w:rFonts w:hint="eastAsia" w:ascii="宋体" w:hAnsi="宋体" w:eastAsia="宋体"/>
        <w:spacing w:val="20"/>
        <w:sz w:val="18"/>
        <w:szCs w:val="18"/>
        <w:u w:val="single"/>
        <w:lang w:eastAsia="zh-CN"/>
      </w:rPr>
      <w:t>小（2）水库</w:t>
    </w:r>
    <w:r>
      <w:rPr>
        <w:rFonts w:hint="eastAsia" w:ascii="宋体" w:hAnsi="宋体" w:eastAsia="宋体"/>
        <w:spacing w:val="20"/>
        <w:sz w:val="18"/>
        <w:szCs w:val="18"/>
        <w:u w:val="single"/>
        <w:lang w:val="en-US" w:eastAsia="zh-CN"/>
      </w:rPr>
      <w:t>管理与保护范围</w:t>
    </w:r>
    <w:r>
      <w:rPr>
        <w:rFonts w:hint="eastAsia" w:ascii="宋体" w:hAnsi="宋体" w:eastAsia="宋体"/>
        <w:spacing w:val="20"/>
        <w:sz w:val="18"/>
        <w:szCs w:val="18"/>
        <w:u w:val="single"/>
        <w:lang w:eastAsia="zh-CN"/>
      </w:rPr>
      <w:t>划界方案 湖南省第二测绘院、邵阳市水利水电勘测设计院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left="7260" w:hanging="7260" w:hangingChars="3300"/>
      <w:rPr>
        <w:lang w:eastAsia="zh-CN"/>
      </w:rPr>
    </w:pPr>
    <w:r>
      <w:rPr>
        <w:rFonts w:hint="eastAsia" w:ascii="宋体" w:hAnsi="宋体" w:eastAsia="宋体"/>
        <w:spacing w:val="20"/>
        <w:sz w:val="18"/>
        <w:szCs w:val="18"/>
        <w:u w:val="single"/>
        <w:lang w:val="en-US" w:eastAsia="zh-CN"/>
      </w:rPr>
      <w:t>双清区</w:t>
    </w:r>
    <w:r>
      <w:rPr>
        <w:rFonts w:hint="eastAsia" w:ascii="宋体" w:hAnsi="宋体" w:eastAsia="宋体"/>
        <w:spacing w:val="20"/>
        <w:sz w:val="18"/>
        <w:szCs w:val="18"/>
        <w:u w:val="single"/>
        <w:lang w:eastAsia="zh-CN"/>
      </w:rPr>
      <w:t>小（2）水库</w:t>
    </w:r>
    <w:r>
      <w:rPr>
        <w:rFonts w:hint="eastAsia" w:ascii="宋体" w:hAnsi="宋体" w:eastAsia="宋体"/>
        <w:spacing w:val="20"/>
        <w:sz w:val="18"/>
        <w:szCs w:val="18"/>
        <w:u w:val="single"/>
        <w:lang w:val="en-US" w:eastAsia="zh-CN"/>
      </w:rPr>
      <w:t>管理与保护范围</w:t>
    </w:r>
    <w:r>
      <w:rPr>
        <w:rFonts w:hint="eastAsia" w:ascii="宋体" w:hAnsi="宋体" w:eastAsia="宋体"/>
        <w:spacing w:val="20"/>
        <w:sz w:val="18"/>
        <w:szCs w:val="18"/>
        <w:u w:val="single"/>
        <w:lang w:eastAsia="zh-CN"/>
      </w:rPr>
      <w:t>划界方案 湖南省第二测绘院、邵阳市水利水电勘测设计院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1">
    <w:nsid w:val="FFFFFF82"/>
    <w:multiLevelType w:val="singleLevel"/>
    <w:tmpl w:val="FFFFFF82"/>
    <w:lvl w:ilvl="0" w:tentative="0">
      <w:start w:val="1"/>
      <w:numFmt w:val="bullet"/>
      <w:pStyle w:val="21"/>
      <w:lvlText w:val=""/>
      <w:lvlJc w:val="left"/>
      <w:pPr>
        <w:tabs>
          <w:tab w:val="left" w:pos="1080"/>
        </w:tabs>
        <w:ind w:left="1080" w:hanging="360"/>
      </w:pPr>
      <w:rPr>
        <w:rFonts w:hint="default" w:ascii="Symbol" w:hAnsi="Symbol"/>
      </w:rPr>
    </w:lvl>
  </w:abstractNum>
  <w:abstractNum w:abstractNumId="2">
    <w:nsid w:val="FFFFFF88"/>
    <w:multiLevelType w:val="singleLevel"/>
    <w:tmpl w:val="FFFFFF88"/>
    <w:lvl w:ilvl="0" w:tentative="0">
      <w:start w:val="1"/>
      <w:numFmt w:val="decimal"/>
      <w:pStyle w:val="15"/>
      <w:lvlText w:val="%1."/>
      <w:lvlJc w:val="left"/>
      <w:pPr>
        <w:tabs>
          <w:tab w:val="left" w:pos="360"/>
        </w:tabs>
        <w:ind w:left="360" w:hanging="360"/>
      </w:pPr>
    </w:lvl>
  </w:abstractNum>
  <w:abstractNum w:abstractNumId="3">
    <w:nsid w:val="FFFFFF89"/>
    <w:multiLevelType w:val="singleLevel"/>
    <w:tmpl w:val="FFFFFF89"/>
    <w:lvl w:ilvl="0" w:tentative="0">
      <w:start w:val="1"/>
      <w:numFmt w:val="bullet"/>
      <w:pStyle w:val="18"/>
      <w:lvlText w:val=""/>
      <w:lvlJc w:val="left"/>
      <w:pPr>
        <w:tabs>
          <w:tab w:val="left" w:pos="360"/>
        </w:tabs>
        <w:ind w:left="360" w:hanging="360"/>
      </w:pPr>
      <w:rPr>
        <w:rFonts w:hint="default" w:ascii="Symbol" w:hAnsi="Symbo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0F99"/>
    <w:rsid w:val="00003447"/>
    <w:rsid w:val="0000755D"/>
    <w:rsid w:val="00011266"/>
    <w:rsid w:val="00011B9A"/>
    <w:rsid w:val="00012074"/>
    <w:rsid w:val="000123CE"/>
    <w:rsid w:val="00013C2A"/>
    <w:rsid w:val="0001406F"/>
    <w:rsid w:val="00016917"/>
    <w:rsid w:val="00016E6A"/>
    <w:rsid w:val="00020584"/>
    <w:rsid w:val="00022335"/>
    <w:rsid w:val="000226AD"/>
    <w:rsid w:val="00022724"/>
    <w:rsid w:val="00024A95"/>
    <w:rsid w:val="000257E6"/>
    <w:rsid w:val="00025CFE"/>
    <w:rsid w:val="0003029D"/>
    <w:rsid w:val="000320FE"/>
    <w:rsid w:val="000325C8"/>
    <w:rsid w:val="00032CB6"/>
    <w:rsid w:val="00033806"/>
    <w:rsid w:val="00034616"/>
    <w:rsid w:val="00035BA6"/>
    <w:rsid w:val="00035CAE"/>
    <w:rsid w:val="00036AF9"/>
    <w:rsid w:val="00040509"/>
    <w:rsid w:val="00043743"/>
    <w:rsid w:val="00043935"/>
    <w:rsid w:val="000465D2"/>
    <w:rsid w:val="0004696A"/>
    <w:rsid w:val="000507F7"/>
    <w:rsid w:val="00051EC9"/>
    <w:rsid w:val="00056D75"/>
    <w:rsid w:val="0006063C"/>
    <w:rsid w:val="00060F8C"/>
    <w:rsid w:val="00062DD2"/>
    <w:rsid w:val="00063454"/>
    <w:rsid w:val="00066D42"/>
    <w:rsid w:val="000670D1"/>
    <w:rsid w:val="000709EE"/>
    <w:rsid w:val="00072734"/>
    <w:rsid w:val="00074BB5"/>
    <w:rsid w:val="000759C7"/>
    <w:rsid w:val="0007618C"/>
    <w:rsid w:val="000764D8"/>
    <w:rsid w:val="00076F40"/>
    <w:rsid w:val="00081303"/>
    <w:rsid w:val="000826CD"/>
    <w:rsid w:val="000829F6"/>
    <w:rsid w:val="00084B29"/>
    <w:rsid w:val="000854A6"/>
    <w:rsid w:val="000855B9"/>
    <w:rsid w:val="00085681"/>
    <w:rsid w:val="00086C96"/>
    <w:rsid w:val="00087495"/>
    <w:rsid w:val="00090013"/>
    <w:rsid w:val="00090581"/>
    <w:rsid w:val="000911A5"/>
    <w:rsid w:val="000930DB"/>
    <w:rsid w:val="000931C2"/>
    <w:rsid w:val="00094B41"/>
    <w:rsid w:val="00094EA3"/>
    <w:rsid w:val="000A011A"/>
    <w:rsid w:val="000A0A75"/>
    <w:rsid w:val="000A342A"/>
    <w:rsid w:val="000A3F23"/>
    <w:rsid w:val="000A5032"/>
    <w:rsid w:val="000A5789"/>
    <w:rsid w:val="000A7042"/>
    <w:rsid w:val="000A7160"/>
    <w:rsid w:val="000A76B0"/>
    <w:rsid w:val="000B0E34"/>
    <w:rsid w:val="000B10F2"/>
    <w:rsid w:val="000B256D"/>
    <w:rsid w:val="000B3FAC"/>
    <w:rsid w:val="000B50D6"/>
    <w:rsid w:val="000B543A"/>
    <w:rsid w:val="000B6613"/>
    <w:rsid w:val="000B71CA"/>
    <w:rsid w:val="000C1FF7"/>
    <w:rsid w:val="000C27F4"/>
    <w:rsid w:val="000C2E35"/>
    <w:rsid w:val="000C3659"/>
    <w:rsid w:val="000C6173"/>
    <w:rsid w:val="000C6FA6"/>
    <w:rsid w:val="000C7C63"/>
    <w:rsid w:val="000D012E"/>
    <w:rsid w:val="000D080B"/>
    <w:rsid w:val="000D0E17"/>
    <w:rsid w:val="000D1A8A"/>
    <w:rsid w:val="000D2040"/>
    <w:rsid w:val="000D2736"/>
    <w:rsid w:val="000D55E9"/>
    <w:rsid w:val="000D5DC3"/>
    <w:rsid w:val="000E244C"/>
    <w:rsid w:val="000E262C"/>
    <w:rsid w:val="000E2F89"/>
    <w:rsid w:val="000E5B59"/>
    <w:rsid w:val="000E6D99"/>
    <w:rsid w:val="000F53B3"/>
    <w:rsid w:val="000F7125"/>
    <w:rsid w:val="00100403"/>
    <w:rsid w:val="0010236B"/>
    <w:rsid w:val="00103EEF"/>
    <w:rsid w:val="0010648E"/>
    <w:rsid w:val="0011275B"/>
    <w:rsid w:val="00113DD9"/>
    <w:rsid w:val="00113FA6"/>
    <w:rsid w:val="00117A51"/>
    <w:rsid w:val="00122DAB"/>
    <w:rsid w:val="00124426"/>
    <w:rsid w:val="001244B8"/>
    <w:rsid w:val="001267A3"/>
    <w:rsid w:val="00130BE8"/>
    <w:rsid w:val="00131EB2"/>
    <w:rsid w:val="001326F9"/>
    <w:rsid w:val="00132C8B"/>
    <w:rsid w:val="0013560B"/>
    <w:rsid w:val="00135DAA"/>
    <w:rsid w:val="00137B32"/>
    <w:rsid w:val="00141E9A"/>
    <w:rsid w:val="00142A2D"/>
    <w:rsid w:val="00143740"/>
    <w:rsid w:val="0014378D"/>
    <w:rsid w:val="00145E29"/>
    <w:rsid w:val="0015074B"/>
    <w:rsid w:val="00150E97"/>
    <w:rsid w:val="001510B6"/>
    <w:rsid w:val="001518BF"/>
    <w:rsid w:val="001533D4"/>
    <w:rsid w:val="001558A7"/>
    <w:rsid w:val="00156226"/>
    <w:rsid w:val="00156E85"/>
    <w:rsid w:val="001707BC"/>
    <w:rsid w:val="00171673"/>
    <w:rsid w:val="001718C4"/>
    <w:rsid w:val="00171D77"/>
    <w:rsid w:val="00171D8D"/>
    <w:rsid w:val="00174DF5"/>
    <w:rsid w:val="00176268"/>
    <w:rsid w:val="00177620"/>
    <w:rsid w:val="0018092F"/>
    <w:rsid w:val="0018197E"/>
    <w:rsid w:val="00182117"/>
    <w:rsid w:val="00182291"/>
    <w:rsid w:val="00182371"/>
    <w:rsid w:val="001835A9"/>
    <w:rsid w:val="00187ECE"/>
    <w:rsid w:val="00192FC4"/>
    <w:rsid w:val="00193C8B"/>
    <w:rsid w:val="00195147"/>
    <w:rsid w:val="00196C6A"/>
    <w:rsid w:val="001A07F1"/>
    <w:rsid w:val="001A2A9B"/>
    <w:rsid w:val="001A67DF"/>
    <w:rsid w:val="001A734A"/>
    <w:rsid w:val="001A7D62"/>
    <w:rsid w:val="001B0E3F"/>
    <w:rsid w:val="001B2612"/>
    <w:rsid w:val="001B2AC0"/>
    <w:rsid w:val="001B3142"/>
    <w:rsid w:val="001B38B5"/>
    <w:rsid w:val="001B4590"/>
    <w:rsid w:val="001B5120"/>
    <w:rsid w:val="001C00C9"/>
    <w:rsid w:val="001C022B"/>
    <w:rsid w:val="001C1578"/>
    <w:rsid w:val="001C30C9"/>
    <w:rsid w:val="001C310E"/>
    <w:rsid w:val="001C3BAC"/>
    <w:rsid w:val="001C487B"/>
    <w:rsid w:val="001C5358"/>
    <w:rsid w:val="001C57A4"/>
    <w:rsid w:val="001D18C8"/>
    <w:rsid w:val="001D1C99"/>
    <w:rsid w:val="001D21BF"/>
    <w:rsid w:val="001D2702"/>
    <w:rsid w:val="001D3B49"/>
    <w:rsid w:val="001D4136"/>
    <w:rsid w:val="001D4F2C"/>
    <w:rsid w:val="001D5023"/>
    <w:rsid w:val="001D621F"/>
    <w:rsid w:val="001E022F"/>
    <w:rsid w:val="001E201B"/>
    <w:rsid w:val="001E20DF"/>
    <w:rsid w:val="001E2F04"/>
    <w:rsid w:val="001E54E8"/>
    <w:rsid w:val="001E5697"/>
    <w:rsid w:val="001E64BF"/>
    <w:rsid w:val="001E76C3"/>
    <w:rsid w:val="001F093E"/>
    <w:rsid w:val="001F16FE"/>
    <w:rsid w:val="001F19B5"/>
    <w:rsid w:val="001F1CDD"/>
    <w:rsid w:val="001F2327"/>
    <w:rsid w:val="001F467B"/>
    <w:rsid w:val="001F63BB"/>
    <w:rsid w:val="001F7161"/>
    <w:rsid w:val="001F7708"/>
    <w:rsid w:val="00200103"/>
    <w:rsid w:val="0020090A"/>
    <w:rsid w:val="00200E0E"/>
    <w:rsid w:val="00201D6A"/>
    <w:rsid w:val="0020290D"/>
    <w:rsid w:val="0020316E"/>
    <w:rsid w:val="00205730"/>
    <w:rsid w:val="00206762"/>
    <w:rsid w:val="00212A79"/>
    <w:rsid w:val="00214028"/>
    <w:rsid w:val="002147C7"/>
    <w:rsid w:val="00214C29"/>
    <w:rsid w:val="00215CFD"/>
    <w:rsid w:val="00216E8F"/>
    <w:rsid w:val="002201DA"/>
    <w:rsid w:val="00222648"/>
    <w:rsid w:val="00224537"/>
    <w:rsid w:val="002263F8"/>
    <w:rsid w:val="00230F13"/>
    <w:rsid w:val="0023259C"/>
    <w:rsid w:val="00232623"/>
    <w:rsid w:val="00232F05"/>
    <w:rsid w:val="002429B5"/>
    <w:rsid w:val="00243F5B"/>
    <w:rsid w:val="00244F06"/>
    <w:rsid w:val="002451E2"/>
    <w:rsid w:val="00245DD3"/>
    <w:rsid w:val="002472B4"/>
    <w:rsid w:val="00251B21"/>
    <w:rsid w:val="00251F4C"/>
    <w:rsid w:val="00251F7F"/>
    <w:rsid w:val="00253397"/>
    <w:rsid w:val="002533BF"/>
    <w:rsid w:val="00255481"/>
    <w:rsid w:val="00255950"/>
    <w:rsid w:val="002606C8"/>
    <w:rsid w:val="00261432"/>
    <w:rsid w:val="00262025"/>
    <w:rsid w:val="00263F5E"/>
    <w:rsid w:val="00264888"/>
    <w:rsid w:val="00267B79"/>
    <w:rsid w:val="00271A22"/>
    <w:rsid w:val="00271BFF"/>
    <w:rsid w:val="00272820"/>
    <w:rsid w:val="00272896"/>
    <w:rsid w:val="002730C3"/>
    <w:rsid w:val="00275144"/>
    <w:rsid w:val="0027515D"/>
    <w:rsid w:val="00276EB7"/>
    <w:rsid w:val="00282C7F"/>
    <w:rsid w:val="00282DDA"/>
    <w:rsid w:val="00284205"/>
    <w:rsid w:val="00286A67"/>
    <w:rsid w:val="0029199C"/>
    <w:rsid w:val="0029251D"/>
    <w:rsid w:val="00292681"/>
    <w:rsid w:val="00293879"/>
    <w:rsid w:val="00294F0B"/>
    <w:rsid w:val="00294F5E"/>
    <w:rsid w:val="00295299"/>
    <w:rsid w:val="00295806"/>
    <w:rsid w:val="0029639D"/>
    <w:rsid w:val="0029737F"/>
    <w:rsid w:val="00297401"/>
    <w:rsid w:val="002A1144"/>
    <w:rsid w:val="002A255F"/>
    <w:rsid w:val="002A2CE7"/>
    <w:rsid w:val="002A4782"/>
    <w:rsid w:val="002A5561"/>
    <w:rsid w:val="002A582D"/>
    <w:rsid w:val="002A6392"/>
    <w:rsid w:val="002A639F"/>
    <w:rsid w:val="002B032F"/>
    <w:rsid w:val="002B2425"/>
    <w:rsid w:val="002B28F9"/>
    <w:rsid w:val="002B5DE0"/>
    <w:rsid w:val="002B7CD1"/>
    <w:rsid w:val="002C042A"/>
    <w:rsid w:val="002C05F8"/>
    <w:rsid w:val="002C0756"/>
    <w:rsid w:val="002C1709"/>
    <w:rsid w:val="002C4110"/>
    <w:rsid w:val="002C7978"/>
    <w:rsid w:val="002C7C36"/>
    <w:rsid w:val="002C7F3A"/>
    <w:rsid w:val="002D0942"/>
    <w:rsid w:val="002D2082"/>
    <w:rsid w:val="002D287B"/>
    <w:rsid w:val="002D520C"/>
    <w:rsid w:val="002D522E"/>
    <w:rsid w:val="002D65ED"/>
    <w:rsid w:val="002D7862"/>
    <w:rsid w:val="002D7C59"/>
    <w:rsid w:val="002E26F0"/>
    <w:rsid w:val="002E33C4"/>
    <w:rsid w:val="002E41EB"/>
    <w:rsid w:val="002E6170"/>
    <w:rsid w:val="002E657C"/>
    <w:rsid w:val="002E7150"/>
    <w:rsid w:val="002E77AE"/>
    <w:rsid w:val="002E7C45"/>
    <w:rsid w:val="002E7F4E"/>
    <w:rsid w:val="002F08AD"/>
    <w:rsid w:val="002F1377"/>
    <w:rsid w:val="002F28EF"/>
    <w:rsid w:val="00300386"/>
    <w:rsid w:val="00300570"/>
    <w:rsid w:val="003023C7"/>
    <w:rsid w:val="003039F7"/>
    <w:rsid w:val="00304BA1"/>
    <w:rsid w:val="00305917"/>
    <w:rsid w:val="00306F1D"/>
    <w:rsid w:val="00307133"/>
    <w:rsid w:val="00310354"/>
    <w:rsid w:val="00311E83"/>
    <w:rsid w:val="00312882"/>
    <w:rsid w:val="003134F8"/>
    <w:rsid w:val="00314778"/>
    <w:rsid w:val="0031583C"/>
    <w:rsid w:val="00315B6B"/>
    <w:rsid w:val="00316058"/>
    <w:rsid w:val="00317D8A"/>
    <w:rsid w:val="00321908"/>
    <w:rsid w:val="00323B4C"/>
    <w:rsid w:val="00323BD5"/>
    <w:rsid w:val="00325365"/>
    <w:rsid w:val="00325FE3"/>
    <w:rsid w:val="00326851"/>
    <w:rsid w:val="00326F90"/>
    <w:rsid w:val="0033122E"/>
    <w:rsid w:val="00331286"/>
    <w:rsid w:val="0033350D"/>
    <w:rsid w:val="00334281"/>
    <w:rsid w:val="003346B5"/>
    <w:rsid w:val="0033581C"/>
    <w:rsid w:val="00335962"/>
    <w:rsid w:val="00336094"/>
    <w:rsid w:val="00337B5C"/>
    <w:rsid w:val="00340CF6"/>
    <w:rsid w:val="003417A5"/>
    <w:rsid w:val="0034187F"/>
    <w:rsid w:val="003424FC"/>
    <w:rsid w:val="00342FF1"/>
    <w:rsid w:val="00343A72"/>
    <w:rsid w:val="00344B76"/>
    <w:rsid w:val="003453E8"/>
    <w:rsid w:val="00347BA4"/>
    <w:rsid w:val="0035003E"/>
    <w:rsid w:val="003513B8"/>
    <w:rsid w:val="00351A7B"/>
    <w:rsid w:val="0035221E"/>
    <w:rsid w:val="00353469"/>
    <w:rsid w:val="003545CA"/>
    <w:rsid w:val="003552F7"/>
    <w:rsid w:val="00355AB2"/>
    <w:rsid w:val="00357685"/>
    <w:rsid w:val="00357C4A"/>
    <w:rsid w:val="0036000D"/>
    <w:rsid w:val="00361AA5"/>
    <w:rsid w:val="003620A1"/>
    <w:rsid w:val="00362B29"/>
    <w:rsid w:val="003634C3"/>
    <w:rsid w:val="00363756"/>
    <w:rsid w:val="0036475E"/>
    <w:rsid w:val="00364A1A"/>
    <w:rsid w:val="00364CEE"/>
    <w:rsid w:val="0036639B"/>
    <w:rsid w:val="00366CFB"/>
    <w:rsid w:val="00367C25"/>
    <w:rsid w:val="003732ED"/>
    <w:rsid w:val="0037671F"/>
    <w:rsid w:val="00381DB2"/>
    <w:rsid w:val="00382486"/>
    <w:rsid w:val="0038356E"/>
    <w:rsid w:val="003860E9"/>
    <w:rsid w:val="003871C5"/>
    <w:rsid w:val="00387966"/>
    <w:rsid w:val="00390D39"/>
    <w:rsid w:val="00391AB3"/>
    <w:rsid w:val="00391C2E"/>
    <w:rsid w:val="00391FB4"/>
    <w:rsid w:val="00392A92"/>
    <w:rsid w:val="00393931"/>
    <w:rsid w:val="003957DD"/>
    <w:rsid w:val="003958E2"/>
    <w:rsid w:val="00397CE9"/>
    <w:rsid w:val="003A1AC8"/>
    <w:rsid w:val="003A262E"/>
    <w:rsid w:val="003A5B38"/>
    <w:rsid w:val="003A5E8C"/>
    <w:rsid w:val="003A6035"/>
    <w:rsid w:val="003A6409"/>
    <w:rsid w:val="003B0F48"/>
    <w:rsid w:val="003C017B"/>
    <w:rsid w:val="003C15A5"/>
    <w:rsid w:val="003C1B77"/>
    <w:rsid w:val="003C3212"/>
    <w:rsid w:val="003C35C7"/>
    <w:rsid w:val="003C3BC8"/>
    <w:rsid w:val="003C45E8"/>
    <w:rsid w:val="003C5178"/>
    <w:rsid w:val="003C578E"/>
    <w:rsid w:val="003C58E5"/>
    <w:rsid w:val="003C6443"/>
    <w:rsid w:val="003C778D"/>
    <w:rsid w:val="003D070A"/>
    <w:rsid w:val="003D0B8F"/>
    <w:rsid w:val="003D2971"/>
    <w:rsid w:val="003D2CD8"/>
    <w:rsid w:val="003D3569"/>
    <w:rsid w:val="003D5745"/>
    <w:rsid w:val="003D7B67"/>
    <w:rsid w:val="003E0037"/>
    <w:rsid w:val="003E053C"/>
    <w:rsid w:val="003E1BFA"/>
    <w:rsid w:val="003E2472"/>
    <w:rsid w:val="003E2FCC"/>
    <w:rsid w:val="003E3A61"/>
    <w:rsid w:val="003E44CB"/>
    <w:rsid w:val="003E6607"/>
    <w:rsid w:val="003E75A3"/>
    <w:rsid w:val="003E76FA"/>
    <w:rsid w:val="003F0184"/>
    <w:rsid w:val="003F08B6"/>
    <w:rsid w:val="003F276D"/>
    <w:rsid w:val="003F63E9"/>
    <w:rsid w:val="003F7EF8"/>
    <w:rsid w:val="00400590"/>
    <w:rsid w:val="00401284"/>
    <w:rsid w:val="00402D8C"/>
    <w:rsid w:val="004031DB"/>
    <w:rsid w:val="0040393A"/>
    <w:rsid w:val="00404973"/>
    <w:rsid w:val="004053B0"/>
    <w:rsid w:val="004069A0"/>
    <w:rsid w:val="0041022C"/>
    <w:rsid w:val="00410825"/>
    <w:rsid w:val="00412608"/>
    <w:rsid w:val="00413183"/>
    <w:rsid w:val="00413AD3"/>
    <w:rsid w:val="004146D5"/>
    <w:rsid w:val="00416ABE"/>
    <w:rsid w:val="00417DA4"/>
    <w:rsid w:val="004200A7"/>
    <w:rsid w:val="00421B1A"/>
    <w:rsid w:val="00423898"/>
    <w:rsid w:val="004275C8"/>
    <w:rsid w:val="0042761E"/>
    <w:rsid w:val="00427B35"/>
    <w:rsid w:val="00430206"/>
    <w:rsid w:val="0043034C"/>
    <w:rsid w:val="004305F2"/>
    <w:rsid w:val="00431483"/>
    <w:rsid w:val="00431BEB"/>
    <w:rsid w:val="0043572D"/>
    <w:rsid w:val="00441B2A"/>
    <w:rsid w:val="00443325"/>
    <w:rsid w:val="00445A1F"/>
    <w:rsid w:val="00447369"/>
    <w:rsid w:val="00447CBF"/>
    <w:rsid w:val="004517F3"/>
    <w:rsid w:val="004530E0"/>
    <w:rsid w:val="004532DD"/>
    <w:rsid w:val="004561A9"/>
    <w:rsid w:val="004566FA"/>
    <w:rsid w:val="00456B1A"/>
    <w:rsid w:val="00460172"/>
    <w:rsid w:val="00461097"/>
    <w:rsid w:val="004619ED"/>
    <w:rsid w:val="00462E0F"/>
    <w:rsid w:val="00463993"/>
    <w:rsid w:val="0046702B"/>
    <w:rsid w:val="00470AFC"/>
    <w:rsid w:val="00470F0C"/>
    <w:rsid w:val="004741F2"/>
    <w:rsid w:val="00474256"/>
    <w:rsid w:val="00475489"/>
    <w:rsid w:val="004755D0"/>
    <w:rsid w:val="004759E9"/>
    <w:rsid w:val="00480BA5"/>
    <w:rsid w:val="00481B8A"/>
    <w:rsid w:val="00481ED7"/>
    <w:rsid w:val="00482181"/>
    <w:rsid w:val="00482E60"/>
    <w:rsid w:val="00482FB1"/>
    <w:rsid w:val="00483122"/>
    <w:rsid w:val="004852CB"/>
    <w:rsid w:val="0048587E"/>
    <w:rsid w:val="00485DA5"/>
    <w:rsid w:val="004864C4"/>
    <w:rsid w:val="00486932"/>
    <w:rsid w:val="00486DE6"/>
    <w:rsid w:val="0048757D"/>
    <w:rsid w:val="00491248"/>
    <w:rsid w:val="00493B11"/>
    <w:rsid w:val="00493B25"/>
    <w:rsid w:val="0049587A"/>
    <w:rsid w:val="00497D1B"/>
    <w:rsid w:val="004A13CF"/>
    <w:rsid w:val="004A202F"/>
    <w:rsid w:val="004A24B7"/>
    <w:rsid w:val="004A4282"/>
    <w:rsid w:val="004A6443"/>
    <w:rsid w:val="004A67BB"/>
    <w:rsid w:val="004A6983"/>
    <w:rsid w:val="004A76AB"/>
    <w:rsid w:val="004A7BD9"/>
    <w:rsid w:val="004B4269"/>
    <w:rsid w:val="004B4AF5"/>
    <w:rsid w:val="004B6E09"/>
    <w:rsid w:val="004C577A"/>
    <w:rsid w:val="004C73AF"/>
    <w:rsid w:val="004C74F6"/>
    <w:rsid w:val="004C7521"/>
    <w:rsid w:val="004D0074"/>
    <w:rsid w:val="004D0A88"/>
    <w:rsid w:val="004D243B"/>
    <w:rsid w:val="004D6415"/>
    <w:rsid w:val="004D6740"/>
    <w:rsid w:val="004D7DF6"/>
    <w:rsid w:val="004E11C3"/>
    <w:rsid w:val="004E2F79"/>
    <w:rsid w:val="004E5457"/>
    <w:rsid w:val="004E56BD"/>
    <w:rsid w:val="004E7435"/>
    <w:rsid w:val="004F0C2B"/>
    <w:rsid w:val="004F0C61"/>
    <w:rsid w:val="004F1548"/>
    <w:rsid w:val="004F20E6"/>
    <w:rsid w:val="004F2AB9"/>
    <w:rsid w:val="004F3DE7"/>
    <w:rsid w:val="004F5979"/>
    <w:rsid w:val="004F5F75"/>
    <w:rsid w:val="004F75D1"/>
    <w:rsid w:val="004F76A0"/>
    <w:rsid w:val="004F7A23"/>
    <w:rsid w:val="00500345"/>
    <w:rsid w:val="00501D90"/>
    <w:rsid w:val="0050450C"/>
    <w:rsid w:val="00504803"/>
    <w:rsid w:val="00505641"/>
    <w:rsid w:val="0050589C"/>
    <w:rsid w:val="00505DF9"/>
    <w:rsid w:val="00505F02"/>
    <w:rsid w:val="00507097"/>
    <w:rsid w:val="00507460"/>
    <w:rsid w:val="00507642"/>
    <w:rsid w:val="00507EE8"/>
    <w:rsid w:val="00510340"/>
    <w:rsid w:val="00512A3C"/>
    <w:rsid w:val="005138E8"/>
    <w:rsid w:val="00514103"/>
    <w:rsid w:val="005167E7"/>
    <w:rsid w:val="00520106"/>
    <w:rsid w:val="00523085"/>
    <w:rsid w:val="00523D78"/>
    <w:rsid w:val="005249E1"/>
    <w:rsid w:val="00526145"/>
    <w:rsid w:val="00526AE9"/>
    <w:rsid w:val="00526CD2"/>
    <w:rsid w:val="00531B16"/>
    <w:rsid w:val="005341BA"/>
    <w:rsid w:val="005341E1"/>
    <w:rsid w:val="00534B46"/>
    <w:rsid w:val="00535FF1"/>
    <w:rsid w:val="00537CFF"/>
    <w:rsid w:val="005405F4"/>
    <w:rsid w:val="00542973"/>
    <w:rsid w:val="00544991"/>
    <w:rsid w:val="005454E7"/>
    <w:rsid w:val="005454ED"/>
    <w:rsid w:val="00545DDC"/>
    <w:rsid w:val="00547B91"/>
    <w:rsid w:val="00550B0A"/>
    <w:rsid w:val="00551100"/>
    <w:rsid w:val="00551B22"/>
    <w:rsid w:val="00553EED"/>
    <w:rsid w:val="00554BFF"/>
    <w:rsid w:val="00554E1F"/>
    <w:rsid w:val="00555E4A"/>
    <w:rsid w:val="00560C7E"/>
    <w:rsid w:val="00561880"/>
    <w:rsid w:val="005619AB"/>
    <w:rsid w:val="005619C3"/>
    <w:rsid w:val="00561A47"/>
    <w:rsid w:val="005626C0"/>
    <w:rsid w:val="00563916"/>
    <w:rsid w:val="00564100"/>
    <w:rsid w:val="005643B0"/>
    <w:rsid w:val="005646D9"/>
    <w:rsid w:val="00566F69"/>
    <w:rsid w:val="0056768A"/>
    <w:rsid w:val="005677D6"/>
    <w:rsid w:val="00567EFF"/>
    <w:rsid w:val="005705FC"/>
    <w:rsid w:val="005717C9"/>
    <w:rsid w:val="00576CAE"/>
    <w:rsid w:val="0058023F"/>
    <w:rsid w:val="005808C7"/>
    <w:rsid w:val="0058289C"/>
    <w:rsid w:val="00585F3A"/>
    <w:rsid w:val="00586102"/>
    <w:rsid w:val="00590EE2"/>
    <w:rsid w:val="00593F77"/>
    <w:rsid w:val="00594C18"/>
    <w:rsid w:val="00595384"/>
    <w:rsid w:val="005953FB"/>
    <w:rsid w:val="00595BE8"/>
    <w:rsid w:val="00595C5B"/>
    <w:rsid w:val="00596E22"/>
    <w:rsid w:val="005970E1"/>
    <w:rsid w:val="005A144D"/>
    <w:rsid w:val="005A27BD"/>
    <w:rsid w:val="005A35B0"/>
    <w:rsid w:val="005A64F0"/>
    <w:rsid w:val="005A7AE4"/>
    <w:rsid w:val="005B0442"/>
    <w:rsid w:val="005B19BA"/>
    <w:rsid w:val="005B2BC6"/>
    <w:rsid w:val="005C1E10"/>
    <w:rsid w:val="005C1F3A"/>
    <w:rsid w:val="005C3B67"/>
    <w:rsid w:val="005C429E"/>
    <w:rsid w:val="005D1855"/>
    <w:rsid w:val="005D4A3B"/>
    <w:rsid w:val="005D6625"/>
    <w:rsid w:val="005D7244"/>
    <w:rsid w:val="005D773F"/>
    <w:rsid w:val="005E5634"/>
    <w:rsid w:val="005E59AA"/>
    <w:rsid w:val="005E7D9F"/>
    <w:rsid w:val="005F218D"/>
    <w:rsid w:val="005F2426"/>
    <w:rsid w:val="005F356D"/>
    <w:rsid w:val="005F4D12"/>
    <w:rsid w:val="005F597E"/>
    <w:rsid w:val="005F7BC0"/>
    <w:rsid w:val="00602D77"/>
    <w:rsid w:val="00602FC8"/>
    <w:rsid w:val="006030BB"/>
    <w:rsid w:val="00603100"/>
    <w:rsid w:val="006051E1"/>
    <w:rsid w:val="00605ADD"/>
    <w:rsid w:val="00606DCC"/>
    <w:rsid w:val="00607219"/>
    <w:rsid w:val="006079A6"/>
    <w:rsid w:val="00611E12"/>
    <w:rsid w:val="00612390"/>
    <w:rsid w:val="00612728"/>
    <w:rsid w:val="00614F48"/>
    <w:rsid w:val="00616517"/>
    <w:rsid w:val="00620B26"/>
    <w:rsid w:val="006241B9"/>
    <w:rsid w:val="0062448D"/>
    <w:rsid w:val="00625DE2"/>
    <w:rsid w:val="00631ED4"/>
    <w:rsid w:val="00632804"/>
    <w:rsid w:val="0063310D"/>
    <w:rsid w:val="0063377B"/>
    <w:rsid w:val="00634C28"/>
    <w:rsid w:val="006355A0"/>
    <w:rsid w:val="0064098A"/>
    <w:rsid w:val="006419C5"/>
    <w:rsid w:val="006422C7"/>
    <w:rsid w:val="00643D5C"/>
    <w:rsid w:val="00644995"/>
    <w:rsid w:val="006556B8"/>
    <w:rsid w:val="006560BA"/>
    <w:rsid w:val="0065718D"/>
    <w:rsid w:val="00657818"/>
    <w:rsid w:val="006619A3"/>
    <w:rsid w:val="0066244A"/>
    <w:rsid w:val="0066502E"/>
    <w:rsid w:val="0066535C"/>
    <w:rsid w:val="006658A9"/>
    <w:rsid w:val="00666155"/>
    <w:rsid w:val="0066637C"/>
    <w:rsid w:val="006674E8"/>
    <w:rsid w:val="00667659"/>
    <w:rsid w:val="00670AF1"/>
    <w:rsid w:val="00672080"/>
    <w:rsid w:val="006721A4"/>
    <w:rsid w:val="00675976"/>
    <w:rsid w:val="00676282"/>
    <w:rsid w:val="00677022"/>
    <w:rsid w:val="006805F5"/>
    <w:rsid w:val="006813BD"/>
    <w:rsid w:val="006815AD"/>
    <w:rsid w:val="0068195B"/>
    <w:rsid w:val="0068300D"/>
    <w:rsid w:val="006871F2"/>
    <w:rsid w:val="00687954"/>
    <w:rsid w:val="00693284"/>
    <w:rsid w:val="006937A8"/>
    <w:rsid w:val="0069454C"/>
    <w:rsid w:val="00694E6A"/>
    <w:rsid w:val="006974FF"/>
    <w:rsid w:val="006A2DA0"/>
    <w:rsid w:val="006A2FA6"/>
    <w:rsid w:val="006A4261"/>
    <w:rsid w:val="006A6B1C"/>
    <w:rsid w:val="006A6EDF"/>
    <w:rsid w:val="006A7708"/>
    <w:rsid w:val="006B0D8B"/>
    <w:rsid w:val="006B2F3E"/>
    <w:rsid w:val="006B3187"/>
    <w:rsid w:val="006B4757"/>
    <w:rsid w:val="006B4CBD"/>
    <w:rsid w:val="006B6082"/>
    <w:rsid w:val="006B66B0"/>
    <w:rsid w:val="006C31C0"/>
    <w:rsid w:val="006C3AA8"/>
    <w:rsid w:val="006C3AD1"/>
    <w:rsid w:val="006C45D5"/>
    <w:rsid w:val="006C7BDC"/>
    <w:rsid w:val="006D1AFF"/>
    <w:rsid w:val="006D1B10"/>
    <w:rsid w:val="006D2507"/>
    <w:rsid w:val="006D278D"/>
    <w:rsid w:val="006D3AE7"/>
    <w:rsid w:val="006D3B8E"/>
    <w:rsid w:val="006D3C2F"/>
    <w:rsid w:val="006D3FFB"/>
    <w:rsid w:val="006D4729"/>
    <w:rsid w:val="006D5DD2"/>
    <w:rsid w:val="006D6182"/>
    <w:rsid w:val="006D66A2"/>
    <w:rsid w:val="006D754E"/>
    <w:rsid w:val="006D7806"/>
    <w:rsid w:val="006E7784"/>
    <w:rsid w:val="006E78F6"/>
    <w:rsid w:val="006E7D38"/>
    <w:rsid w:val="006F4691"/>
    <w:rsid w:val="006F6B6A"/>
    <w:rsid w:val="0070286D"/>
    <w:rsid w:val="00702DA4"/>
    <w:rsid w:val="00707143"/>
    <w:rsid w:val="00712376"/>
    <w:rsid w:val="007159BF"/>
    <w:rsid w:val="00717BF5"/>
    <w:rsid w:val="00724663"/>
    <w:rsid w:val="00725F33"/>
    <w:rsid w:val="0072682D"/>
    <w:rsid w:val="00726D01"/>
    <w:rsid w:val="0073193C"/>
    <w:rsid w:val="0073496A"/>
    <w:rsid w:val="007349FC"/>
    <w:rsid w:val="0073740F"/>
    <w:rsid w:val="007404BC"/>
    <w:rsid w:val="007426AE"/>
    <w:rsid w:val="00742ADF"/>
    <w:rsid w:val="00743801"/>
    <w:rsid w:val="00743BF3"/>
    <w:rsid w:val="00745FD6"/>
    <w:rsid w:val="00746293"/>
    <w:rsid w:val="0074699F"/>
    <w:rsid w:val="00751A16"/>
    <w:rsid w:val="00752EF2"/>
    <w:rsid w:val="00753347"/>
    <w:rsid w:val="007536DA"/>
    <w:rsid w:val="00754162"/>
    <w:rsid w:val="00755450"/>
    <w:rsid w:val="00760FAB"/>
    <w:rsid w:val="00764FCF"/>
    <w:rsid w:val="007655E4"/>
    <w:rsid w:val="00767A05"/>
    <w:rsid w:val="00771BE2"/>
    <w:rsid w:val="00773021"/>
    <w:rsid w:val="00774E6C"/>
    <w:rsid w:val="00775596"/>
    <w:rsid w:val="00777524"/>
    <w:rsid w:val="00777AB7"/>
    <w:rsid w:val="00780556"/>
    <w:rsid w:val="00780C21"/>
    <w:rsid w:val="007819A8"/>
    <w:rsid w:val="00785E70"/>
    <w:rsid w:val="00787DF2"/>
    <w:rsid w:val="00790AD5"/>
    <w:rsid w:val="00790F87"/>
    <w:rsid w:val="00791380"/>
    <w:rsid w:val="007927B2"/>
    <w:rsid w:val="00792A8F"/>
    <w:rsid w:val="007932AC"/>
    <w:rsid w:val="00793C98"/>
    <w:rsid w:val="00794348"/>
    <w:rsid w:val="00794966"/>
    <w:rsid w:val="0079563C"/>
    <w:rsid w:val="00795970"/>
    <w:rsid w:val="00796EBF"/>
    <w:rsid w:val="00797510"/>
    <w:rsid w:val="00797F67"/>
    <w:rsid w:val="007A100B"/>
    <w:rsid w:val="007B0FC2"/>
    <w:rsid w:val="007B320D"/>
    <w:rsid w:val="007B38C4"/>
    <w:rsid w:val="007B3E02"/>
    <w:rsid w:val="007B4032"/>
    <w:rsid w:val="007B567C"/>
    <w:rsid w:val="007B6D8F"/>
    <w:rsid w:val="007C0E5E"/>
    <w:rsid w:val="007C24FB"/>
    <w:rsid w:val="007C7BA8"/>
    <w:rsid w:val="007D1074"/>
    <w:rsid w:val="007D1910"/>
    <w:rsid w:val="007D3AE4"/>
    <w:rsid w:val="007D3AE5"/>
    <w:rsid w:val="007D4B1C"/>
    <w:rsid w:val="007D517C"/>
    <w:rsid w:val="007E3A58"/>
    <w:rsid w:val="007E4209"/>
    <w:rsid w:val="007E6FFC"/>
    <w:rsid w:val="007F1749"/>
    <w:rsid w:val="007F1C17"/>
    <w:rsid w:val="007F2106"/>
    <w:rsid w:val="007F3386"/>
    <w:rsid w:val="007F529B"/>
    <w:rsid w:val="007F5A9B"/>
    <w:rsid w:val="007F78A8"/>
    <w:rsid w:val="007F7E98"/>
    <w:rsid w:val="00801BDC"/>
    <w:rsid w:val="008043DF"/>
    <w:rsid w:val="00804E23"/>
    <w:rsid w:val="00807B12"/>
    <w:rsid w:val="008101DD"/>
    <w:rsid w:val="0081437C"/>
    <w:rsid w:val="00816635"/>
    <w:rsid w:val="0081702D"/>
    <w:rsid w:val="00823AC7"/>
    <w:rsid w:val="008253E1"/>
    <w:rsid w:val="00826717"/>
    <w:rsid w:val="0082707A"/>
    <w:rsid w:val="00830B9A"/>
    <w:rsid w:val="00830ECB"/>
    <w:rsid w:val="0083142D"/>
    <w:rsid w:val="008321A9"/>
    <w:rsid w:val="0083341C"/>
    <w:rsid w:val="008337D6"/>
    <w:rsid w:val="00834E92"/>
    <w:rsid w:val="0083577B"/>
    <w:rsid w:val="008401A1"/>
    <w:rsid w:val="008409B4"/>
    <w:rsid w:val="008439CF"/>
    <w:rsid w:val="00843C74"/>
    <w:rsid w:val="00844768"/>
    <w:rsid w:val="00845438"/>
    <w:rsid w:val="00846ED5"/>
    <w:rsid w:val="00847A80"/>
    <w:rsid w:val="00851DA2"/>
    <w:rsid w:val="008520FD"/>
    <w:rsid w:val="0085235D"/>
    <w:rsid w:val="00852EFC"/>
    <w:rsid w:val="008539B6"/>
    <w:rsid w:val="00853E71"/>
    <w:rsid w:val="00854E86"/>
    <w:rsid w:val="00855305"/>
    <w:rsid w:val="0085668C"/>
    <w:rsid w:val="0085792D"/>
    <w:rsid w:val="00857BA7"/>
    <w:rsid w:val="00860409"/>
    <w:rsid w:val="00860D78"/>
    <w:rsid w:val="00862806"/>
    <w:rsid w:val="00864BEB"/>
    <w:rsid w:val="00864C15"/>
    <w:rsid w:val="00866C71"/>
    <w:rsid w:val="00867F85"/>
    <w:rsid w:val="00870780"/>
    <w:rsid w:val="008709FB"/>
    <w:rsid w:val="00870FF4"/>
    <w:rsid w:val="008744DD"/>
    <w:rsid w:val="00874B14"/>
    <w:rsid w:val="00877724"/>
    <w:rsid w:val="0088037E"/>
    <w:rsid w:val="008832AD"/>
    <w:rsid w:val="008854E1"/>
    <w:rsid w:val="008858F7"/>
    <w:rsid w:val="008863A5"/>
    <w:rsid w:val="00890884"/>
    <w:rsid w:val="008914BB"/>
    <w:rsid w:val="00893092"/>
    <w:rsid w:val="008931B7"/>
    <w:rsid w:val="00894A61"/>
    <w:rsid w:val="00897E50"/>
    <w:rsid w:val="008A2721"/>
    <w:rsid w:val="008A4230"/>
    <w:rsid w:val="008A549B"/>
    <w:rsid w:val="008A59C8"/>
    <w:rsid w:val="008A6C1E"/>
    <w:rsid w:val="008B0163"/>
    <w:rsid w:val="008B0F44"/>
    <w:rsid w:val="008B381A"/>
    <w:rsid w:val="008B44DB"/>
    <w:rsid w:val="008B4A87"/>
    <w:rsid w:val="008B4CDC"/>
    <w:rsid w:val="008C0304"/>
    <w:rsid w:val="008C14BB"/>
    <w:rsid w:val="008C1BBA"/>
    <w:rsid w:val="008C1EF3"/>
    <w:rsid w:val="008C351D"/>
    <w:rsid w:val="008C4BB9"/>
    <w:rsid w:val="008C6E38"/>
    <w:rsid w:val="008C7303"/>
    <w:rsid w:val="008C788D"/>
    <w:rsid w:val="008D24F3"/>
    <w:rsid w:val="008D4686"/>
    <w:rsid w:val="008D6660"/>
    <w:rsid w:val="008E0560"/>
    <w:rsid w:val="008E24F8"/>
    <w:rsid w:val="008E6A14"/>
    <w:rsid w:val="008E6E15"/>
    <w:rsid w:val="008E6FB5"/>
    <w:rsid w:val="008E7AE4"/>
    <w:rsid w:val="008F0E7E"/>
    <w:rsid w:val="008F22B0"/>
    <w:rsid w:val="008F3B33"/>
    <w:rsid w:val="008F40B9"/>
    <w:rsid w:val="008F6168"/>
    <w:rsid w:val="008F7FA9"/>
    <w:rsid w:val="00901ACE"/>
    <w:rsid w:val="009062F7"/>
    <w:rsid w:val="00911E6E"/>
    <w:rsid w:val="00912A3E"/>
    <w:rsid w:val="009133D6"/>
    <w:rsid w:val="00913563"/>
    <w:rsid w:val="009150B2"/>
    <w:rsid w:val="00915539"/>
    <w:rsid w:val="00916190"/>
    <w:rsid w:val="0091735B"/>
    <w:rsid w:val="009203F3"/>
    <w:rsid w:val="00920B2A"/>
    <w:rsid w:val="00922702"/>
    <w:rsid w:val="00924416"/>
    <w:rsid w:val="0092456C"/>
    <w:rsid w:val="00927BBA"/>
    <w:rsid w:val="00930729"/>
    <w:rsid w:val="009309A3"/>
    <w:rsid w:val="00931E60"/>
    <w:rsid w:val="00932973"/>
    <w:rsid w:val="00933687"/>
    <w:rsid w:val="00933B1A"/>
    <w:rsid w:val="00933B70"/>
    <w:rsid w:val="00933BFC"/>
    <w:rsid w:val="009354D6"/>
    <w:rsid w:val="00935AAA"/>
    <w:rsid w:val="00936DAC"/>
    <w:rsid w:val="00955562"/>
    <w:rsid w:val="009557AA"/>
    <w:rsid w:val="009564D7"/>
    <w:rsid w:val="009571F5"/>
    <w:rsid w:val="00957BAF"/>
    <w:rsid w:val="00961621"/>
    <w:rsid w:val="00962174"/>
    <w:rsid w:val="00963C4C"/>
    <w:rsid w:val="009640E9"/>
    <w:rsid w:val="00964306"/>
    <w:rsid w:val="009657F5"/>
    <w:rsid w:val="00967354"/>
    <w:rsid w:val="009764E7"/>
    <w:rsid w:val="009765D6"/>
    <w:rsid w:val="00980D9A"/>
    <w:rsid w:val="00981173"/>
    <w:rsid w:val="009822AB"/>
    <w:rsid w:val="00982736"/>
    <w:rsid w:val="009845AF"/>
    <w:rsid w:val="00984CC4"/>
    <w:rsid w:val="009854AA"/>
    <w:rsid w:val="009861F1"/>
    <w:rsid w:val="009865EA"/>
    <w:rsid w:val="00987C92"/>
    <w:rsid w:val="00993045"/>
    <w:rsid w:val="0099352C"/>
    <w:rsid w:val="00993630"/>
    <w:rsid w:val="009943DA"/>
    <w:rsid w:val="009950B0"/>
    <w:rsid w:val="00996875"/>
    <w:rsid w:val="00996876"/>
    <w:rsid w:val="009978AE"/>
    <w:rsid w:val="009A14FD"/>
    <w:rsid w:val="009A24F4"/>
    <w:rsid w:val="009A2D80"/>
    <w:rsid w:val="009A3166"/>
    <w:rsid w:val="009B00FE"/>
    <w:rsid w:val="009B0255"/>
    <w:rsid w:val="009B15EB"/>
    <w:rsid w:val="009B25DC"/>
    <w:rsid w:val="009B2C8A"/>
    <w:rsid w:val="009B335A"/>
    <w:rsid w:val="009B3450"/>
    <w:rsid w:val="009B3771"/>
    <w:rsid w:val="009B3B85"/>
    <w:rsid w:val="009B3E26"/>
    <w:rsid w:val="009B57C6"/>
    <w:rsid w:val="009B66BB"/>
    <w:rsid w:val="009B6D83"/>
    <w:rsid w:val="009B73DE"/>
    <w:rsid w:val="009C0FD1"/>
    <w:rsid w:val="009C132B"/>
    <w:rsid w:val="009C1573"/>
    <w:rsid w:val="009C1FAF"/>
    <w:rsid w:val="009C2034"/>
    <w:rsid w:val="009C2AFA"/>
    <w:rsid w:val="009C3CF7"/>
    <w:rsid w:val="009C3DE2"/>
    <w:rsid w:val="009C3FE8"/>
    <w:rsid w:val="009C51A2"/>
    <w:rsid w:val="009C52E1"/>
    <w:rsid w:val="009C5B01"/>
    <w:rsid w:val="009C5FDE"/>
    <w:rsid w:val="009C755B"/>
    <w:rsid w:val="009D1127"/>
    <w:rsid w:val="009D180C"/>
    <w:rsid w:val="009D1A84"/>
    <w:rsid w:val="009D2053"/>
    <w:rsid w:val="009D22D1"/>
    <w:rsid w:val="009D24CF"/>
    <w:rsid w:val="009D3EE4"/>
    <w:rsid w:val="009D42B5"/>
    <w:rsid w:val="009E0CF3"/>
    <w:rsid w:val="009E19A0"/>
    <w:rsid w:val="009E1DBD"/>
    <w:rsid w:val="009E2046"/>
    <w:rsid w:val="009E2A92"/>
    <w:rsid w:val="009E3A8A"/>
    <w:rsid w:val="009E47A3"/>
    <w:rsid w:val="009E4FBC"/>
    <w:rsid w:val="009E5689"/>
    <w:rsid w:val="009E68E4"/>
    <w:rsid w:val="009E6CC9"/>
    <w:rsid w:val="009F0913"/>
    <w:rsid w:val="009F0CC2"/>
    <w:rsid w:val="009F1E19"/>
    <w:rsid w:val="009F2A29"/>
    <w:rsid w:val="009F3C4E"/>
    <w:rsid w:val="009F4F1C"/>
    <w:rsid w:val="009F5422"/>
    <w:rsid w:val="009F756C"/>
    <w:rsid w:val="00A01339"/>
    <w:rsid w:val="00A02407"/>
    <w:rsid w:val="00A03FFE"/>
    <w:rsid w:val="00A0452C"/>
    <w:rsid w:val="00A045E5"/>
    <w:rsid w:val="00A04E2E"/>
    <w:rsid w:val="00A05E38"/>
    <w:rsid w:val="00A14398"/>
    <w:rsid w:val="00A163AC"/>
    <w:rsid w:val="00A20D29"/>
    <w:rsid w:val="00A2132B"/>
    <w:rsid w:val="00A218F0"/>
    <w:rsid w:val="00A21EBA"/>
    <w:rsid w:val="00A2279A"/>
    <w:rsid w:val="00A24A83"/>
    <w:rsid w:val="00A27F71"/>
    <w:rsid w:val="00A30252"/>
    <w:rsid w:val="00A3126D"/>
    <w:rsid w:val="00A33351"/>
    <w:rsid w:val="00A3421A"/>
    <w:rsid w:val="00A344A1"/>
    <w:rsid w:val="00A35261"/>
    <w:rsid w:val="00A359BF"/>
    <w:rsid w:val="00A375A7"/>
    <w:rsid w:val="00A37A2B"/>
    <w:rsid w:val="00A40808"/>
    <w:rsid w:val="00A41D2B"/>
    <w:rsid w:val="00A44E86"/>
    <w:rsid w:val="00A44FA5"/>
    <w:rsid w:val="00A5138C"/>
    <w:rsid w:val="00A51E0D"/>
    <w:rsid w:val="00A51F2D"/>
    <w:rsid w:val="00A535D3"/>
    <w:rsid w:val="00A55A64"/>
    <w:rsid w:val="00A570D3"/>
    <w:rsid w:val="00A57AAC"/>
    <w:rsid w:val="00A61820"/>
    <w:rsid w:val="00A6194D"/>
    <w:rsid w:val="00A62480"/>
    <w:rsid w:val="00A64448"/>
    <w:rsid w:val="00A65CDE"/>
    <w:rsid w:val="00A66409"/>
    <w:rsid w:val="00A67072"/>
    <w:rsid w:val="00A7233D"/>
    <w:rsid w:val="00A738F0"/>
    <w:rsid w:val="00A744DA"/>
    <w:rsid w:val="00A7574D"/>
    <w:rsid w:val="00A77424"/>
    <w:rsid w:val="00A80F5B"/>
    <w:rsid w:val="00A826FE"/>
    <w:rsid w:val="00A83757"/>
    <w:rsid w:val="00A841A6"/>
    <w:rsid w:val="00A84ADB"/>
    <w:rsid w:val="00A860DC"/>
    <w:rsid w:val="00A92EBF"/>
    <w:rsid w:val="00A94E58"/>
    <w:rsid w:val="00A9548C"/>
    <w:rsid w:val="00A954A0"/>
    <w:rsid w:val="00A967D2"/>
    <w:rsid w:val="00A96F8D"/>
    <w:rsid w:val="00A97B3D"/>
    <w:rsid w:val="00AA0AED"/>
    <w:rsid w:val="00AA1658"/>
    <w:rsid w:val="00AA1A58"/>
    <w:rsid w:val="00AA1D8D"/>
    <w:rsid w:val="00AA2914"/>
    <w:rsid w:val="00AA3921"/>
    <w:rsid w:val="00AA62EA"/>
    <w:rsid w:val="00AA79F8"/>
    <w:rsid w:val="00AA7E18"/>
    <w:rsid w:val="00AB1409"/>
    <w:rsid w:val="00AB201A"/>
    <w:rsid w:val="00AB4374"/>
    <w:rsid w:val="00AB474B"/>
    <w:rsid w:val="00AB489D"/>
    <w:rsid w:val="00AB6564"/>
    <w:rsid w:val="00AB7631"/>
    <w:rsid w:val="00AC0062"/>
    <w:rsid w:val="00AC105F"/>
    <w:rsid w:val="00AC178A"/>
    <w:rsid w:val="00AC2354"/>
    <w:rsid w:val="00AC374B"/>
    <w:rsid w:val="00AC3FA5"/>
    <w:rsid w:val="00AC4437"/>
    <w:rsid w:val="00AC4D68"/>
    <w:rsid w:val="00AC7398"/>
    <w:rsid w:val="00AD2DB8"/>
    <w:rsid w:val="00AD3BDF"/>
    <w:rsid w:val="00AD58CF"/>
    <w:rsid w:val="00AE1B88"/>
    <w:rsid w:val="00AE2BB8"/>
    <w:rsid w:val="00AE5269"/>
    <w:rsid w:val="00AE7B7B"/>
    <w:rsid w:val="00AF1E81"/>
    <w:rsid w:val="00AF33F0"/>
    <w:rsid w:val="00AF3497"/>
    <w:rsid w:val="00AF3DC1"/>
    <w:rsid w:val="00AF3EEC"/>
    <w:rsid w:val="00AF44F5"/>
    <w:rsid w:val="00AF4DD3"/>
    <w:rsid w:val="00AF7290"/>
    <w:rsid w:val="00B01A67"/>
    <w:rsid w:val="00B040F3"/>
    <w:rsid w:val="00B043A9"/>
    <w:rsid w:val="00B0458B"/>
    <w:rsid w:val="00B0573E"/>
    <w:rsid w:val="00B1078B"/>
    <w:rsid w:val="00B11429"/>
    <w:rsid w:val="00B11989"/>
    <w:rsid w:val="00B140ED"/>
    <w:rsid w:val="00B174FA"/>
    <w:rsid w:val="00B20DA9"/>
    <w:rsid w:val="00B21040"/>
    <w:rsid w:val="00B2166D"/>
    <w:rsid w:val="00B21F34"/>
    <w:rsid w:val="00B2330B"/>
    <w:rsid w:val="00B2367E"/>
    <w:rsid w:val="00B23A08"/>
    <w:rsid w:val="00B2412F"/>
    <w:rsid w:val="00B24A8E"/>
    <w:rsid w:val="00B258CB"/>
    <w:rsid w:val="00B25CAA"/>
    <w:rsid w:val="00B25EAB"/>
    <w:rsid w:val="00B26A89"/>
    <w:rsid w:val="00B31638"/>
    <w:rsid w:val="00B31CAB"/>
    <w:rsid w:val="00B34E33"/>
    <w:rsid w:val="00B35500"/>
    <w:rsid w:val="00B37C08"/>
    <w:rsid w:val="00B37EE6"/>
    <w:rsid w:val="00B40DD2"/>
    <w:rsid w:val="00B425FE"/>
    <w:rsid w:val="00B426CA"/>
    <w:rsid w:val="00B456C6"/>
    <w:rsid w:val="00B46F34"/>
    <w:rsid w:val="00B47730"/>
    <w:rsid w:val="00B50822"/>
    <w:rsid w:val="00B50863"/>
    <w:rsid w:val="00B50FF9"/>
    <w:rsid w:val="00B519DD"/>
    <w:rsid w:val="00B51BB1"/>
    <w:rsid w:val="00B5215C"/>
    <w:rsid w:val="00B54DC5"/>
    <w:rsid w:val="00B56100"/>
    <w:rsid w:val="00B564A7"/>
    <w:rsid w:val="00B574FF"/>
    <w:rsid w:val="00B57820"/>
    <w:rsid w:val="00B57BBE"/>
    <w:rsid w:val="00B57E57"/>
    <w:rsid w:val="00B600B0"/>
    <w:rsid w:val="00B60A10"/>
    <w:rsid w:val="00B616E4"/>
    <w:rsid w:val="00B61A08"/>
    <w:rsid w:val="00B62A71"/>
    <w:rsid w:val="00B641C3"/>
    <w:rsid w:val="00B64750"/>
    <w:rsid w:val="00B64A34"/>
    <w:rsid w:val="00B65728"/>
    <w:rsid w:val="00B65A69"/>
    <w:rsid w:val="00B66786"/>
    <w:rsid w:val="00B670B3"/>
    <w:rsid w:val="00B67405"/>
    <w:rsid w:val="00B70F3D"/>
    <w:rsid w:val="00B717EE"/>
    <w:rsid w:val="00B74481"/>
    <w:rsid w:val="00B80476"/>
    <w:rsid w:val="00B81AC8"/>
    <w:rsid w:val="00B823A4"/>
    <w:rsid w:val="00B82EC0"/>
    <w:rsid w:val="00B83578"/>
    <w:rsid w:val="00B842D1"/>
    <w:rsid w:val="00B84AEF"/>
    <w:rsid w:val="00B84FF6"/>
    <w:rsid w:val="00B87120"/>
    <w:rsid w:val="00B90E90"/>
    <w:rsid w:val="00B90FC7"/>
    <w:rsid w:val="00B91C67"/>
    <w:rsid w:val="00B93C6B"/>
    <w:rsid w:val="00B940E2"/>
    <w:rsid w:val="00B9534E"/>
    <w:rsid w:val="00B966DE"/>
    <w:rsid w:val="00B97008"/>
    <w:rsid w:val="00B97B14"/>
    <w:rsid w:val="00BA2139"/>
    <w:rsid w:val="00BA2633"/>
    <w:rsid w:val="00BA386D"/>
    <w:rsid w:val="00BA58BC"/>
    <w:rsid w:val="00BA6B85"/>
    <w:rsid w:val="00BA72C9"/>
    <w:rsid w:val="00BA764D"/>
    <w:rsid w:val="00BB132B"/>
    <w:rsid w:val="00BB1EFA"/>
    <w:rsid w:val="00BB2BDB"/>
    <w:rsid w:val="00BB2C38"/>
    <w:rsid w:val="00BB7E4F"/>
    <w:rsid w:val="00BC1B3D"/>
    <w:rsid w:val="00BC1D7C"/>
    <w:rsid w:val="00BC2A9C"/>
    <w:rsid w:val="00BC3BEC"/>
    <w:rsid w:val="00BC4099"/>
    <w:rsid w:val="00BC4B6A"/>
    <w:rsid w:val="00BC7D71"/>
    <w:rsid w:val="00BD294A"/>
    <w:rsid w:val="00BD2D26"/>
    <w:rsid w:val="00BD3839"/>
    <w:rsid w:val="00BD3935"/>
    <w:rsid w:val="00BD3987"/>
    <w:rsid w:val="00BD3C7C"/>
    <w:rsid w:val="00BD465B"/>
    <w:rsid w:val="00BE4399"/>
    <w:rsid w:val="00BE5D10"/>
    <w:rsid w:val="00BE6DE8"/>
    <w:rsid w:val="00BE73E3"/>
    <w:rsid w:val="00BF07FF"/>
    <w:rsid w:val="00BF159F"/>
    <w:rsid w:val="00BF3DE1"/>
    <w:rsid w:val="00BF3E60"/>
    <w:rsid w:val="00BF4656"/>
    <w:rsid w:val="00BF56FF"/>
    <w:rsid w:val="00BF79FC"/>
    <w:rsid w:val="00C006CD"/>
    <w:rsid w:val="00C0194C"/>
    <w:rsid w:val="00C043E5"/>
    <w:rsid w:val="00C04554"/>
    <w:rsid w:val="00C04DF6"/>
    <w:rsid w:val="00C0608B"/>
    <w:rsid w:val="00C074AE"/>
    <w:rsid w:val="00C1073A"/>
    <w:rsid w:val="00C108AE"/>
    <w:rsid w:val="00C11267"/>
    <w:rsid w:val="00C14503"/>
    <w:rsid w:val="00C161B4"/>
    <w:rsid w:val="00C16B06"/>
    <w:rsid w:val="00C16DBB"/>
    <w:rsid w:val="00C220A2"/>
    <w:rsid w:val="00C2471C"/>
    <w:rsid w:val="00C253AA"/>
    <w:rsid w:val="00C3284F"/>
    <w:rsid w:val="00C341F8"/>
    <w:rsid w:val="00C3556A"/>
    <w:rsid w:val="00C35682"/>
    <w:rsid w:val="00C35F72"/>
    <w:rsid w:val="00C35F90"/>
    <w:rsid w:val="00C35FAD"/>
    <w:rsid w:val="00C378DE"/>
    <w:rsid w:val="00C41B0F"/>
    <w:rsid w:val="00C43343"/>
    <w:rsid w:val="00C512CC"/>
    <w:rsid w:val="00C51454"/>
    <w:rsid w:val="00C5251C"/>
    <w:rsid w:val="00C55ECD"/>
    <w:rsid w:val="00C6023D"/>
    <w:rsid w:val="00C60AE2"/>
    <w:rsid w:val="00C618E0"/>
    <w:rsid w:val="00C630E7"/>
    <w:rsid w:val="00C642F1"/>
    <w:rsid w:val="00C649B4"/>
    <w:rsid w:val="00C66BA1"/>
    <w:rsid w:val="00C71771"/>
    <w:rsid w:val="00C71DC6"/>
    <w:rsid w:val="00C7204D"/>
    <w:rsid w:val="00C77167"/>
    <w:rsid w:val="00C7736C"/>
    <w:rsid w:val="00C77A5B"/>
    <w:rsid w:val="00C806DB"/>
    <w:rsid w:val="00C81B62"/>
    <w:rsid w:val="00C81FA5"/>
    <w:rsid w:val="00C8377B"/>
    <w:rsid w:val="00C837CD"/>
    <w:rsid w:val="00C846DC"/>
    <w:rsid w:val="00C84E21"/>
    <w:rsid w:val="00C85518"/>
    <w:rsid w:val="00C85A1B"/>
    <w:rsid w:val="00C85E87"/>
    <w:rsid w:val="00C90067"/>
    <w:rsid w:val="00C9094B"/>
    <w:rsid w:val="00C90E40"/>
    <w:rsid w:val="00C90E82"/>
    <w:rsid w:val="00C94221"/>
    <w:rsid w:val="00C94FB4"/>
    <w:rsid w:val="00C95580"/>
    <w:rsid w:val="00C96FB4"/>
    <w:rsid w:val="00C97441"/>
    <w:rsid w:val="00CA281A"/>
    <w:rsid w:val="00CA2AC9"/>
    <w:rsid w:val="00CA2EF1"/>
    <w:rsid w:val="00CA3FF7"/>
    <w:rsid w:val="00CA5442"/>
    <w:rsid w:val="00CA5A36"/>
    <w:rsid w:val="00CB0664"/>
    <w:rsid w:val="00CB19A8"/>
    <w:rsid w:val="00CB3238"/>
    <w:rsid w:val="00CB4A17"/>
    <w:rsid w:val="00CB56C5"/>
    <w:rsid w:val="00CB62B9"/>
    <w:rsid w:val="00CB6798"/>
    <w:rsid w:val="00CB736D"/>
    <w:rsid w:val="00CC15E4"/>
    <w:rsid w:val="00CC2D5A"/>
    <w:rsid w:val="00CC775F"/>
    <w:rsid w:val="00CC7860"/>
    <w:rsid w:val="00CD069F"/>
    <w:rsid w:val="00CD1BEE"/>
    <w:rsid w:val="00CD5F1F"/>
    <w:rsid w:val="00CE1B5F"/>
    <w:rsid w:val="00CE3407"/>
    <w:rsid w:val="00CE3FD5"/>
    <w:rsid w:val="00CE44DA"/>
    <w:rsid w:val="00CE593C"/>
    <w:rsid w:val="00CE5AE1"/>
    <w:rsid w:val="00CE6E1D"/>
    <w:rsid w:val="00CE70A4"/>
    <w:rsid w:val="00CF01D1"/>
    <w:rsid w:val="00CF206F"/>
    <w:rsid w:val="00CF30E2"/>
    <w:rsid w:val="00CF5D18"/>
    <w:rsid w:val="00CF6075"/>
    <w:rsid w:val="00D00B8B"/>
    <w:rsid w:val="00D016EB"/>
    <w:rsid w:val="00D019E2"/>
    <w:rsid w:val="00D03075"/>
    <w:rsid w:val="00D034E0"/>
    <w:rsid w:val="00D055DB"/>
    <w:rsid w:val="00D0561D"/>
    <w:rsid w:val="00D062BA"/>
    <w:rsid w:val="00D074A6"/>
    <w:rsid w:val="00D1166B"/>
    <w:rsid w:val="00D16418"/>
    <w:rsid w:val="00D168AE"/>
    <w:rsid w:val="00D1776C"/>
    <w:rsid w:val="00D17F9C"/>
    <w:rsid w:val="00D229DB"/>
    <w:rsid w:val="00D232F8"/>
    <w:rsid w:val="00D23420"/>
    <w:rsid w:val="00D23E34"/>
    <w:rsid w:val="00D24BB5"/>
    <w:rsid w:val="00D24F9C"/>
    <w:rsid w:val="00D26030"/>
    <w:rsid w:val="00D26E13"/>
    <w:rsid w:val="00D279A7"/>
    <w:rsid w:val="00D308A1"/>
    <w:rsid w:val="00D318B1"/>
    <w:rsid w:val="00D31D10"/>
    <w:rsid w:val="00D31D3B"/>
    <w:rsid w:val="00D330F6"/>
    <w:rsid w:val="00D35B52"/>
    <w:rsid w:val="00D37E47"/>
    <w:rsid w:val="00D400D1"/>
    <w:rsid w:val="00D4033E"/>
    <w:rsid w:val="00D4063A"/>
    <w:rsid w:val="00D41059"/>
    <w:rsid w:val="00D41B04"/>
    <w:rsid w:val="00D43610"/>
    <w:rsid w:val="00D44AC4"/>
    <w:rsid w:val="00D530F4"/>
    <w:rsid w:val="00D54479"/>
    <w:rsid w:val="00D55384"/>
    <w:rsid w:val="00D570A9"/>
    <w:rsid w:val="00D57889"/>
    <w:rsid w:val="00D62A21"/>
    <w:rsid w:val="00D62A4B"/>
    <w:rsid w:val="00D631A3"/>
    <w:rsid w:val="00D63695"/>
    <w:rsid w:val="00D65194"/>
    <w:rsid w:val="00D6604D"/>
    <w:rsid w:val="00D66A62"/>
    <w:rsid w:val="00D66EEF"/>
    <w:rsid w:val="00D707E3"/>
    <w:rsid w:val="00D7294D"/>
    <w:rsid w:val="00D72DEA"/>
    <w:rsid w:val="00D74514"/>
    <w:rsid w:val="00D75C90"/>
    <w:rsid w:val="00D77164"/>
    <w:rsid w:val="00D77418"/>
    <w:rsid w:val="00D77BBF"/>
    <w:rsid w:val="00D77C9E"/>
    <w:rsid w:val="00D806FE"/>
    <w:rsid w:val="00D80BA1"/>
    <w:rsid w:val="00D81605"/>
    <w:rsid w:val="00D832E4"/>
    <w:rsid w:val="00D84AA4"/>
    <w:rsid w:val="00D84B26"/>
    <w:rsid w:val="00D85EBB"/>
    <w:rsid w:val="00D85F62"/>
    <w:rsid w:val="00D90BE0"/>
    <w:rsid w:val="00D90E1F"/>
    <w:rsid w:val="00D931E7"/>
    <w:rsid w:val="00D943BC"/>
    <w:rsid w:val="00D9506E"/>
    <w:rsid w:val="00D95B35"/>
    <w:rsid w:val="00DA0331"/>
    <w:rsid w:val="00DA0557"/>
    <w:rsid w:val="00DA109F"/>
    <w:rsid w:val="00DA2335"/>
    <w:rsid w:val="00DA3A2C"/>
    <w:rsid w:val="00DA4E2D"/>
    <w:rsid w:val="00DA661D"/>
    <w:rsid w:val="00DA6923"/>
    <w:rsid w:val="00DA79BA"/>
    <w:rsid w:val="00DA7D3A"/>
    <w:rsid w:val="00DB1364"/>
    <w:rsid w:val="00DB1F88"/>
    <w:rsid w:val="00DB501A"/>
    <w:rsid w:val="00DB7A9D"/>
    <w:rsid w:val="00DB7F67"/>
    <w:rsid w:val="00DC0F4E"/>
    <w:rsid w:val="00DC3543"/>
    <w:rsid w:val="00DC44E8"/>
    <w:rsid w:val="00DC5EA6"/>
    <w:rsid w:val="00DC6FFE"/>
    <w:rsid w:val="00DD0C89"/>
    <w:rsid w:val="00DD0DE5"/>
    <w:rsid w:val="00DD1393"/>
    <w:rsid w:val="00DD2FB7"/>
    <w:rsid w:val="00DD3C05"/>
    <w:rsid w:val="00DD43F6"/>
    <w:rsid w:val="00DD5B3E"/>
    <w:rsid w:val="00DD6BE7"/>
    <w:rsid w:val="00DE00CE"/>
    <w:rsid w:val="00DE474E"/>
    <w:rsid w:val="00DE4FD7"/>
    <w:rsid w:val="00DE6141"/>
    <w:rsid w:val="00DF0890"/>
    <w:rsid w:val="00DF33D2"/>
    <w:rsid w:val="00DF3CB0"/>
    <w:rsid w:val="00DF6F69"/>
    <w:rsid w:val="00E02E07"/>
    <w:rsid w:val="00E0471F"/>
    <w:rsid w:val="00E05243"/>
    <w:rsid w:val="00E0564F"/>
    <w:rsid w:val="00E05ADE"/>
    <w:rsid w:val="00E10370"/>
    <w:rsid w:val="00E104D7"/>
    <w:rsid w:val="00E10B31"/>
    <w:rsid w:val="00E12A47"/>
    <w:rsid w:val="00E12B64"/>
    <w:rsid w:val="00E1316F"/>
    <w:rsid w:val="00E14012"/>
    <w:rsid w:val="00E16421"/>
    <w:rsid w:val="00E177B4"/>
    <w:rsid w:val="00E17E8E"/>
    <w:rsid w:val="00E17FD1"/>
    <w:rsid w:val="00E203A4"/>
    <w:rsid w:val="00E215A8"/>
    <w:rsid w:val="00E21E09"/>
    <w:rsid w:val="00E224B1"/>
    <w:rsid w:val="00E22976"/>
    <w:rsid w:val="00E22D7A"/>
    <w:rsid w:val="00E26556"/>
    <w:rsid w:val="00E27FA7"/>
    <w:rsid w:val="00E30BB9"/>
    <w:rsid w:val="00E3109F"/>
    <w:rsid w:val="00E31BBA"/>
    <w:rsid w:val="00E3221B"/>
    <w:rsid w:val="00E32727"/>
    <w:rsid w:val="00E379E6"/>
    <w:rsid w:val="00E40C3A"/>
    <w:rsid w:val="00E418D0"/>
    <w:rsid w:val="00E42FAB"/>
    <w:rsid w:val="00E43320"/>
    <w:rsid w:val="00E45E0A"/>
    <w:rsid w:val="00E47076"/>
    <w:rsid w:val="00E47F47"/>
    <w:rsid w:val="00E50733"/>
    <w:rsid w:val="00E50E60"/>
    <w:rsid w:val="00E51539"/>
    <w:rsid w:val="00E529E1"/>
    <w:rsid w:val="00E52E22"/>
    <w:rsid w:val="00E53583"/>
    <w:rsid w:val="00E5363E"/>
    <w:rsid w:val="00E5513F"/>
    <w:rsid w:val="00E56D1C"/>
    <w:rsid w:val="00E57334"/>
    <w:rsid w:val="00E6044F"/>
    <w:rsid w:val="00E62309"/>
    <w:rsid w:val="00E62AF2"/>
    <w:rsid w:val="00E64598"/>
    <w:rsid w:val="00E64DC9"/>
    <w:rsid w:val="00E66106"/>
    <w:rsid w:val="00E6633D"/>
    <w:rsid w:val="00E665CC"/>
    <w:rsid w:val="00E67375"/>
    <w:rsid w:val="00E67600"/>
    <w:rsid w:val="00E6798B"/>
    <w:rsid w:val="00E70262"/>
    <w:rsid w:val="00E719BA"/>
    <w:rsid w:val="00E71FBA"/>
    <w:rsid w:val="00E73176"/>
    <w:rsid w:val="00E74909"/>
    <w:rsid w:val="00E74B64"/>
    <w:rsid w:val="00E74BE7"/>
    <w:rsid w:val="00E74DEE"/>
    <w:rsid w:val="00E75C10"/>
    <w:rsid w:val="00E815FD"/>
    <w:rsid w:val="00E81C06"/>
    <w:rsid w:val="00E853A0"/>
    <w:rsid w:val="00E8683D"/>
    <w:rsid w:val="00E86CC9"/>
    <w:rsid w:val="00E924F2"/>
    <w:rsid w:val="00E92D13"/>
    <w:rsid w:val="00E93BAD"/>
    <w:rsid w:val="00E9496E"/>
    <w:rsid w:val="00E95BA1"/>
    <w:rsid w:val="00EA2781"/>
    <w:rsid w:val="00EA51AB"/>
    <w:rsid w:val="00EA609C"/>
    <w:rsid w:val="00EA6328"/>
    <w:rsid w:val="00EA7CB8"/>
    <w:rsid w:val="00EB004A"/>
    <w:rsid w:val="00EB00D8"/>
    <w:rsid w:val="00EB1386"/>
    <w:rsid w:val="00EB2C43"/>
    <w:rsid w:val="00EB2F30"/>
    <w:rsid w:val="00EB43FE"/>
    <w:rsid w:val="00EB4ACE"/>
    <w:rsid w:val="00EB50D4"/>
    <w:rsid w:val="00EB6DA6"/>
    <w:rsid w:val="00EC0E2E"/>
    <w:rsid w:val="00EC163F"/>
    <w:rsid w:val="00EC1D25"/>
    <w:rsid w:val="00EC3AF1"/>
    <w:rsid w:val="00EC50C0"/>
    <w:rsid w:val="00EC5D38"/>
    <w:rsid w:val="00EC7301"/>
    <w:rsid w:val="00ED0672"/>
    <w:rsid w:val="00ED09A5"/>
    <w:rsid w:val="00ED0B29"/>
    <w:rsid w:val="00ED1246"/>
    <w:rsid w:val="00ED4977"/>
    <w:rsid w:val="00ED4A29"/>
    <w:rsid w:val="00ED5975"/>
    <w:rsid w:val="00ED78A8"/>
    <w:rsid w:val="00EE0016"/>
    <w:rsid w:val="00EE036F"/>
    <w:rsid w:val="00EE236D"/>
    <w:rsid w:val="00EE2CBB"/>
    <w:rsid w:val="00EE3019"/>
    <w:rsid w:val="00EE4179"/>
    <w:rsid w:val="00EE6544"/>
    <w:rsid w:val="00EF0745"/>
    <w:rsid w:val="00EF0B9C"/>
    <w:rsid w:val="00EF0C5D"/>
    <w:rsid w:val="00EF111B"/>
    <w:rsid w:val="00EF2A36"/>
    <w:rsid w:val="00EF3448"/>
    <w:rsid w:val="00EF3C9A"/>
    <w:rsid w:val="00EF4024"/>
    <w:rsid w:val="00EF4292"/>
    <w:rsid w:val="00EF44BD"/>
    <w:rsid w:val="00EF72E8"/>
    <w:rsid w:val="00F004FA"/>
    <w:rsid w:val="00F00662"/>
    <w:rsid w:val="00F00D98"/>
    <w:rsid w:val="00F03A5B"/>
    <w:rsid w:val="00F04965"/>
    <w:rsid w:val="00F054F1"/>
    <w:rsid w:val="00F06587"/>
    <w:rsid w:val="00F06805"/>
    <w:rsid w:val="00F124E8"/>
    <w:rsid w:val="00F13F9D"/>
    <w:rsid w:val="00F14BDE"/>
    <w:rsid w:val="00F16F44"/>
    <w:rsid w:val="00F21891"/>
    <w:rsid w:val="00F23CD9"/>
    <w:rsid w:val="00F23E76"/>
    <w:rsid w:val="00F24086"/>
    <w:rsid w:val="00F25224"/>
    <w:rsid w:val="00F25D7B"/>
    <w:rsid w:val="00F304E3"/>
    <w:rsid w:val="00F31183"/>
    <w:rsid w:val="00F3218F"/>
    <w:rsid w:val="00F3278E"/>
    <w:rsid w:val="00F32AA3"/>
    <w:rsid w:val="00F34491"/>
    <w:rsid w:val="00F34B34"/>
    <w:rsid w:val="00F34E72"/>
    <w:rsid w:val="00F35259"/>
    <w:rsid w:val="00F3536E"/>
    <w:rsid w:val="00F368B2"/>
    <w:rsid w:val="00F37421"/>
    <w:rsid w:val="00F406C4"/>
    <w:rsid w:val="00F44889"/>
    <w:rsid w:val="00F456D1"/>
    <w:rsid w:val="00F45B4E"/>
    <w:rsid w:val="00F46534"/>
    <w:rsid w:val="00F476F1"/>
    <w:rsid w:val="00F50878"/>
    <w:rsid w:val="00F515F1"/>
    <w:rsid w:val="00F5296A"/>
    <w:rsid w:val="00F52C35"/>
    <w:rsid w:val="00F53DD3"/>
    <w:rsid w:val="00F55026"/>
    <w:rsid w:val="00F5522E"/>
    <w:rsid w:val="00F5685B"/>
    <w:rsid w:val="00F57C8E"/>
    <w:rsid w:val="00F604C1"/>
    <w:rsid w:val="00F6064C"/>
    <w:rsid w:val="00F60BB4"/>
    <w:rsid w:val="00F61713"/>
    <w:rsid w:val="00F6359C"/>
    <w:rsid w:val="00F678A5"/>
    <w:rsid w:val="00F703CB"/>
    <w:rsid w:val="00F71FEE"/>
    <w:rsid w:val="00F72088"/>
    <w:rsid w:val="00F72A85"/>
    <w:rsid w:val="00F73874"/>
    <w:rsid w:val="00F74448"/>
    <w:rsid w:val="00F767DB"/>
    <w:rsid w:val="00F76A28"/>
    <w:rsid w:val="00F76FF0"/>
    <w:rsid w:val="00F8026C"/>
    <w:rsid w:val="00F804F4"/>
    <w:rsid w:val="00F812F6"/>
    <w:rsid w:val="00F82160"/>
    <w:rsid w:val="00F83023"/>
    <w:rsid w:val="00F849B1"/>
    <w:rsid w:val="00F854C9"/>
    <w:rsid w:val="00F86F6E"/>
    <w:rsid w:val="00F87216"/>
    <w:rsid w:val="00F9201A"/>
    <w:rsid w:val="00F92705"/>
    <w:rsid w:val="00F93AFD"/>
    <w:rsid w:val="00F93CFA"/>
    <w:rsid w:val="00F944E2"/>
    <w:rsid w:val="00F948B3"/>
    <w:rsid w:val="00FA120E"/>
    <w:rsid w:val="00FA1719"/>
    <w:rsid w:val="00FA272E"/>
    <w:rsid w:val="00FA466C"/>
    <w:rsid w:val="00FA75CF"/>
    <w:rsid w:val="00FA7B5F"/>
    <w:rsid w:val="00FB0221"/>
    <w:rsid w:val="00FB18A9"/>
    <w:rsid w:val="00FB1938"/>
    <w:rsid w:val="00FB1DF8"/>
    <w:rsid w:val="00FB4E45"/>
    <w:rsid w:val="00FB662A"/>
    <w:rsid w:val="00FB6FEF"/>
    <w:rsid w:val="00FB7C8F"/>
    <w:rsid w:val="00FC28AC"/>
    <w:rsid w:val="00FC3B4A"/>
    <w:rsid w:val="00FC693F"/>
    <w:rsid w:val="00FD25F1"/>
    <w:rsid w:val="00FD3CAA"/>
    <w:rsid w:val="00FD3DD0"/>
    <w:rsid w:val="00FD47D4"/>
    <w:rsid w:val="00FD50A6"/>
    <w:rsid w:val="00FD69A2"/>
    <w:rsid w:val="00FD69F3"/>
    <w:rsid w:val="00FE0091"/>
    <w:rsid w:val="00FE0CA1"/>
    <w:rsid w:val="00FE0E02"/>
    <w:rsid w:val="00FE104E"/>
    <w:rsid w:val="00FE12F0"/>
    <w:rsid w:val="00FE2D13"/>
    <w:rsid w:val="00FE2EAE"/>
    <w:rsid w:val="00FE385F"/>
    <w:rsid w:val="00FE3C28"/>
    <w:rsid w:val="00FE4498"/>
    <w:rsid w:val="00FE54B7"/>
    <w:rsid w:val="00FE6C5C"/>
    <w:rsid w:val="00FF0FA5"/>
    <w:rsid w:val="00FF103A"/>
    <w:rsid w:val="00FF154D"/>
    <w:rsid w:val="00FF316D"/>
    <w:rsid w:val="00FF4B05"/>
    <w:rsid w:val="00FF7A0C"/>
    <w:rsid w:val="017350F3"/>
    <w:rsid w:val="0245627A"/>
    <w:rsid w:val="03196A3D"/>
    <w:rsid w:val="03AD1D0A"/>
    <w:rsid w:val="03C57688"/>
    <w:rsid w:val="03E302D8"/>
    <w:rsid w:val="04286DCC"/>
    <w:rsid w:val="05953BA2"/>
    <w:rsid w:val="05A615BF"/>
    <w:rsid w:val="08A53E02"/>
    <w:rsid w:val="0B5629AE"/>
    <w:rsid w:val="0D6C4F56"/>
    <w:rsid w:val="0EB168B2"/>
    <w:rsid w:val="109E6AC3"/>
    <w:rsid w:val="111F710B"/>
    <w:rsid w:val="123E7D58"/>
    <w:rsid w:val="133D6077"/>
    <w:rsid w:val="138A33C2"/>
    <w:rsid w:val="13991796"/>
    <w:rsid w:val="147C2CBC"/>
    <w:rsid w:val="161A6779"/>
    <w:rsid w:val="16D22B49"/>
    <w:rsid w:val="176261F1"/>
    <w:rsid w:val="1C7E07FE"/>
    <w:rsid w:val="1F076FBE"/>
    <w:rsid w:val="1F1329EF"/>
    <w:rsid w:val="1FC558EB"/>
    <w:rsid w:val="217F5DFC"/>
    <w:rsid w:val="22372457"/>
    <w:rsid w:val="266142A8"/>
    <w:rsid w:val="2A1650D8"/>
    <w:rsid w:val="310F0C41"/>
    <w:rsid w:val="311F7971"/>
    <w:rsid w:val="32E63798"/>
    <w:rsid w:val="33994466"/>
    <w:rsid w:val="34EC4977"/>
    <w:rsid w:val="361E22E4"/>
    <w:rsid w:val="368264E6"/>
    <w:rsid w:val="375C1DB6"/>
    <w:rsid w:val="38950B00"/>
    <w:rsid w:val="39C54CBB"/>
    <w:rsid w:val="3B0B26EB"/>
    <w:rsid w:val="3C7A0181"/>
    <w:rsid w:val="3C803D1D"/>
    <w:rsid w:val="3CCD419F"/>
    <w:rsid w:val="3E0D3EFE"/>
    <w:rsid w:val="3FEA1AD2"/>
    <w:rsid w:val="4223644D"/>
    <w:rsid w:val="450C726A"/>
    <w:rsid w:val="465B76F9"/>
    <w:rsid w:val="46DE2BAA"/>
    <w:rsid w:val="4C973384"/>
    <w:rsid w:val="4D3D0347"/>
    <w:rsid w:val="50E30D9F"/>
    <w:rsid w:val="51AC5422"/>
    <w:rsid w:val="5254016A"/>
    <w:rsid w:val="53521A44"/>
    <w:rsid w:val="547F1468"/>
    <w:rsid w:val="553312C1"/>
    <w:rsid w:val="56A44EA2"/>
    <w:rsid w:val="59B8676A"/>
    <w:rsid w:val="5A7256A8"/>
    <w:rsid w:val="5C507E11"/>
    <w:rsid w:val="5C686A6C"/>
    <w:rsid w:val="60442C22"/>
    <w:rsid w:val="612016A3"/>
    <w:rsid w:val="6122486E"/>
    <w:rsid w:val="61FB4773"/>
    <w:rsid w:val="63165CE1"/>
    <w:rsid w:val="6454561B"/>
    <w:rsid w:val="664C5EF9"/>
    <w:rsid w:val="66C73661"/>
    <w:rsid w:val="670D7F9F"/>
    <w:rsid w:val="6A9F3D54"/>
    <w:rsid w:val="6C387476"/>
    <w:rsid w:val="6F0E0B33"/>
    <w:rsid w:val="6FB1019D"/>
    <w:rsid w:val="706622E4"/>
    <w:rsid w:val="72E72DF0"/>
    <w:rsid w:val="730F39B5"/>
    <w:rsid w:val="745B2F28"/>
    <w:rsid w:val="755A0559"/>
    <w:rsid w:val="75C411C3"/>
    <w:rsid w:val="7B3D7F6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qFormat="1" w:uiPriority="0"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qFormat="1"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35"/>
    <w:qFormat/>
    <w:uiPriority w:val="9"/>
    <w:pPr>
      <w:keepNext/>
      <w:keepLines/>
      <w:spacing w:before="240" w:afterLines="50" w:line="520" w:lineRule="exact"/>
      <w:ind w:firstLine="720"/>
      <w:jc w:val="center"/>
      <w:outlineLvl w:val="0"/>
    </w:pPr>
    <w:rPr>
      <w:rFonts w:ascii="黑体" w:hAnsi="黑体" w:eastAsia="黑体" w:cstheme="majorBidi"/>
      <w:bCs/>
      <w:sz w:val="36"/>
      <w:szCs w:val="36"/>
      <w:lang w:eastAsia="zh-CN"/>
    </w:rPr>
  </w:style>
  <w:style w:type="paragraph" w:styleId="4">
    <w:name w:val="heading 2"/>
    <w:basedOn w:val="1"/>
    <w:next w:val="1"/>
    <w:link w:val="136"/>
    <w:unhideWhenUsed/>
    <w:qFormat/>
    <w:uiPriority w:val="0"/>
    <w:pPr>
      <w:keepNext/>
      <w:keepLines/>
      <w:spacing w:after="0" w:line="360" w:lineRule="auto"/>
      <w:outlineLvl w:val="1"/>
    </w:pPr>
    <w:rPr>
      <w:rFonts w:ascii="黑体" w:hAnsi="黑体" w:eastAsia="黑体" w:cstheme="majorBidi"/>
      <w:bCs/>
      <w:sz w:val="30"/>
      <w:szCs w:val="30"/>
      <w:lang w:eastAsia="zh-CN"/>
    </w:rPr>
  </w:style>
  <w:style w:type="paragraph" w:styleId="5">
    <w:name w:val="heading 3"/>
    <w:basedOn w:val="1"/>
    <w:next w:val="1"/>
    <w:link w:val="137"/>
    <w:unhideWhenUsed/>
    <w:qFormat/>
    <w:uiPriority w:val="0"/>
    <w:pPr>
      <w:keepNext/>
      <w:keepLines/>
      <w:spacing w:after="0" w:line="360" w:lineRule="auto"/>
      <w:outlineLvl w:val="2"/>
    </w:pPr>
    <w:rPr>
      <w:rFonts w:asciiTheme="majorEastAsia" w:hAnsiTheme="majorEastAsia" w:eastAsiaTheme="majorEastAsia" w:cstheme="majorBidi"/>
      <w:b/>
      <w:bCs/>
      <w:sz w:val="24"/>
      <w:lang w:eastAsia="zh-CN"/>
    </w:rPr>
  </w:style>
  <w:style w:type="paragraph" w:styleId="6">
    <w:name w:val="heading 4"/>
    <w:basedOn w:val="1"/>
    <w:next w:val="1"/>
    <w:link w:val="138"/>
    <w:unhideWhenUsed/>
    <w:qFormat/>
    <w:uiPriority w:val="0"/>
    <w:pPr>
      <w:keepNext/>
      <w:keepLines/>
      <w:spacing w:before="200" w:after="0"/>
      <w:outlineLvl w:val="3"/>
    </w:pPr>
    <w:rPr>
      <w:rFonts w:asciiTheme="majorEastAsia" w:hAnsiTheme="majorEastAsia" w:eastAsiaTheme="majorEastAsia" w:cstheme="majorBidi"/>
      <w:bCs/>
      <w:iCs/>
      <w:sz w:val="24"/>
      <w:szCs w:val="24"/>
    </w:rPr>
  </w:style>
  <w:style w:type="paragraph" w:styleId="7">
    <w:name w:val="heading 5"/>
    <w:basedOn w:val="1"/>
    <w:next w:val="1"/>
    <w:link w:val="139"/>
    <w:semiHidden/>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8">
    <w:name w:val="heading 6"/>
    <w:basedOn w:val="1"/>
    <w:next w:val="1"/>
    <w:link w:val="140"/>
    <w:semiHidden/>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9">
    <w:name w:val="heading 7"/>
    <w:basedOn w:val="1"/>
    <w:next w:val="1"/>
    <w:link w:val="141"/>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10">
    <w:name w:val="heading 8"/>
    <w:basedOn w:val="1"/>
    <w:next w:val="1"/>
    <w:link w:val="142"/>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1">
    <w:name w:val="heading 9"/>
    <w:basedOn w:val="1"/>
    <w:next w:val="1"/>
    <w:link w:val="143"/>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30">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macro"/>
    <w:link w:val="144"/>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lang w:val="en-US" w:eastAsia="en-US" w:bidi="ar-SA"/>
    </w:rPr>
  </w:style>
  <w:style w:type="paragraph" w:styleId="12">
    <w:name w:val="List 3"/>
    <w:basedOn w:val="1"/>
    <w:unhideWhenUsed/>
    <w:qFormat/>
    <w:uiPriority w:val="99"/>
    <w:pPr>
      <w:ind w:left="1080" w:hanging="360"/>
      <w:contextualSpacing/>
    </w:pPr>
  </w:style>
  <w:style w:type="paragraph" w:styleId="13">
    <w:name w:val="toc 7"/>
    <w:basedOn w:val="1"/>
    <w:next w:val="1"/>
    <w:unhideWhenUsed/>
    <w:qFormat/>
    <w:uiPriority w:val="39"/>
    <w:pPr>
      <w:widowControl w:val="0"/>
      <w:spacing w:after="0" w:line="240" w:lineRule="auto"/>
      <w:ind w:left="2520" w:leftChars="1200"/>
      <w:jc w:val="both"/>
    </w:pPr>
    <w:rPr>
      <w:rFonts w:asciiTheme="minorHAnsi" w:hAnsiTheme="minorHAnsi" w:eastAsiaTheme="minorEastAsia"/>
      <w:kern w:val="2"/>
      <w:sz w:val="21"/>
      <w:lang w:eastAsia="zh-CN"/>
    </w:rPr>
  </w:style>
  <w:style w:type="paragraph" w:styleId="14">
    <w:name w:val="List Number 2"/>
    <w:basedOn w:val="1"/>
    <w:unhideWhenUsed/>
    <w:qFormat/>
    <w:uiPriority w:val="99"/>
    <w:pPr>
      <w:numPr>
        <w:ilvl w:val="0"/>
        <w:numId w:val="1"/>
      </w:numPr>
      <w:contextualSpacing/>
    </w:pPr>
  </w:style>
  <w:style w:type="paragraph" w:styleId="15">
    <w:name w:val="List Number"/>
    <w:basedOn w:val="1"/>
    <w:unhideWhenUsed/>
    <w:qFormat/>
    <w:uiPriority w:val="99"/>
    <w:pPr>
      <w:numPr>
        <w:ilvl w:val="0"/>
        <w:numId w:val="2"/>
      </w:numPr>
      <w:contextualSpacing/>
    </w:pPr>
  </w:style>
  <w:style w:type="paragraph" w:styleId="16">
    <w:name w:val="Normal Indent"/>
    <w:basedOn w:val="1"/>
    <w:unhideWhenUsed/>
    <w:qFormat/>
    <w:uiPriority w:val="0"/>
    <w:pPr>
      <w:ind w:firstLine="420" w:firstLineChars="200"/>
    </w:pPr>
  </w:style>
  <w:style w:type="paragraph" w:styleId="17">
    <w:name w:val="caption"/>
    <w:basedOn w:val="1"/>
    <w:next w:val="1"/>
    <w:semiHidden/>
    <w:unhideWhenUsed/>
    <w:qFormat/>
    <w:uiPriority w:val="35"/>
    <w:pPr>
      <w:spacing w:line="240" w:lineRule="auto"/>
    </w:pPr>
    <w:rPr>
      <w:b/>
      <w:bCs/>
      <w:color w:val="4F81BD" w:themeColor="accent1"/>
      <w:sz w:val="18"/>
      <w:szCs w:val="18"/>
    </w:rPr>
  </w:style>
  <w:style w:type="paragraph" w:styleId="18">
    <w:name w:val="List Bullet"/>
    <w:basedOn w:val="1"/>
    <w:unhideWhenUsed/>
    <w:qFormat/>
    <w:uiPriority w:val="99"/>
    <w:pPr>
      <w:numPr>
        <w:ilvl w:val="0"/>
        <w:numId w:val="3"/>
      </w:numPr>
      <w:contextualSpacing/>
    </w:pPr>
  </w:style>
  <w:style w:type="paragraph" w:styleId="19">
    <w:name w:val="Document Map"/>
    <w:basedOn w:val="1"/>
    <w:link w:val="145"/>
    <w:semiHidden/>
    <w:unhideWhenUsed/>
    <w:qFormat/>
    <w:uiPriority w:val="0"/>
    <w:rPr>
      <w:rFonts w:ascii="宋体" w:eastAsia="宋体"/>
      <w:sz w:val="18"/>
      <w:szCs w:val="18"/>
    </w:rPr>
  </w:style>
  <w:style w:type="paragraph" w:styleId="20">
    <w:name w:val="Body Text 3"/>
    <w:basedOn w:val="1"/>
    <w:link w:val="146"/>
    <w:unhideWhenUsed/>
    <w:qFormat/>
    <w:uiPriority w:val="99"/>
    <w:pPr>
      <w:spacing w:after="120"/>
    </w:pPr>
    <w:rPr>
      <w:sz w:val="16"/>
      <w:szCs w:val="16"/>
    </w:rPr>
  </w:style>
  <w:style w:type="paragraph" w:styleId="21">
    <w:name w:val="List Bullet 3"/>
    <w:basedOn w:val="1"/>
    <w:unhideWhenUsed/>
    <w:qFormat/>
    <w:uiPriority w:val="99"/>
    <w:pPr>
      <w:numPr>
        <w:ilvl w:val="0"/>
        <w:numId w:val="4"/>
      </w:numPr>
      <w:contextualSpacing/>
    </w:pPr>
  </w:style>
  <w:style w:type="paragraph" w:styleId="22">
    <w:name w:val="Body Text"/>
    <w:basedOn w:val="1"/>
    <w:link w:val="147"/>
    <w:unhideWhenUsed/>
    <w:qFormat/>
    <w:uiPriority w:val="99"/>
    <w:pPr>
      <w:spacing w:after="120"/>
    </w:pPr>
  </w:style>
  <w:style w:type="paragraph" w:styleId="23">
    <w:name w:val="Body Text Indent"/>
    <w:basedOn w:val="1"/>
    <w:link w:val="148"/>
    <w:qFormat/>
    <w:uiPriority w:val="0"/>
    <w:pPr>
      <w:ind w:firstLine="560" w:firstLineChars="200"/>
    </w:pPr>
    <w:rPr>
      <w:rFonts w:eastAsia="仿宋_GB2312"/>
      <w:sz w:val="28"/>
    </w:rPr>
  </w:style>
  <w:style w:type="paragraph" w:styleId="24">
    <w:name w:val="List Number 3"/>
    <w:basedOn w:val="1"/>
    <w:unhideWhenUsed/>
    <w:qFormat/>
    <w:uiPriority w:val="99"/>
    <w:pPr>
      <w:tabs>
        <w:tab w:val="left" w:pos="1080"/>
      </w:tabs>
      <w:ind w:left="1080" w:hanging="360"/>
      <w:contextualSpacing/>
    </w:pPr>
  </w:style>
  <w:style w:type="paragraph" w:styleId="25">
    <w:name w:val="List 2"/>
    <w:basedOn w:val="1"/>
    <w:unhideWhenUsed/>
    <w:qFormat/>
    <w:uiPriority w:val="99"/>
    <w:pPr>
      <w:ind w:left="720" w:hanging="360"/>
      <w:contextualSpacing/>
    </w:pPr>
  </w:style>
  <w:style w:type="paragraph" w:styleId="26">
    <w:name w:val="List Continue"/>
    <w:basedOn w:val="1"/>
    <w:unhideWhenUsed/>
    <w:qFormat/>
    <w:uiPriority w:val="0"/>
    <w:pPr>
      <w:spacing w:after="120"/>
      <w:ind w:left="360"/>
      <w:contextualSpacing/>
    </w:pPr>
  </w:style>
  <w:style w:type="paragraph" w:styleId="27">
    <w:name w:val="List Bullet 2"/>
    <w:basedOn w:val="1"/>
    <w:unhideWhenUsed/>
    <w:qFormat/>
    <w:uiPriority w:val="99"/>
    <w:pPr>
      <w:tabs>
        <w:tab w:val="left" w:pos="720"/>
      </w:tabs>
      <w:ind w:left="720" w:hanging="360"/>
      <w:contextualSpacing/>
    </w:pPr>
  </w:style>
  <w:style w:type="paragraph" w:styleId="28">
    <w:name w:val="toc 5"/>
    <w:basedOn w:val="1"/>
    <w:next w:val="1"/>
    <w:unhideWhenUsed/>
    <w:qFormat/>
    <w:uiPriority w:val="39"/>
    <w:pPr>
      <w:widowControl w:val="0"/>
      <w:spacing w:after="0" w:line="240" w:lineRule="auto"/>
      <w:ind w:left="1680" w:leftChars="800"/>
      <w:jc w:val="both"/>
    </w:pPr>
    <w:rPr>
      <w:rFonts w:asciiTheme="minorHAnsi" w:hAnsiTheme="minorHAnsi" w:eastAsiaTheme="minorEastAsia"/>
      <w:kern w:val="2"/>
      <w:sz w:val="21"/>
      <w:lang w:eastAsia="zh-CN"/>
    </w:rPr>
  </w:style>
  <w:style w:type="paragraph" w:styleId="29">
    <w:name w:val="toc 3"/>
    <w:basedOn w:val="1"/>
    <w:next w:val="1"/>
    <w:unhideWhenUsed/>
    <w:qFormat/>
    <w:uiPriority w:val="39"/>
    <w:pPr>
      <w:spacing w:after="100"/>
      <w:ind w:left="440"/>
    </w:pPr>
    <w:rPr>
      <w:rFonts w:asciiTheme="minorHAnsi" w:hAnsiTheme="minorHAnsi" w:eastAsiaTheme="minorEastAsia"/>
      <w:lang w:eastAsia="zh-CN"/>
    </w:rPr>
  </w:style>
  <w:style w:type="paragraph" w:styleId="30">
    <w:name w:val="toc 8"/>
    <w:basedOn w:val="1"/>
    <w:next w:val="1"/>
    <w:unhideWhenUsed/>
    <w:qFormat/>
    <w:uiPriority w:val="39"/>
    <w:pPr>
      <w:widowControl w:val="0"/>
      <w:spacing w:after="0" w:line="240" w:lineRule="auto"/>
      <w:ind w:left="2940" w:leftChars="1400"/>
      <w:jc w:val="both"/>
    </w:pPr>
    <w:rPr>
      <w:rFonts w:asciiTheme="minorHAnsi" w:hAnsiTheme="minorHAnsi" w:eastAsiaTheme="minorEastAsia"/>
      <w:kern w:val="2"/>
      <w:sz w:val="21"/>
      <w:lang w:eastAsia="zh-CN"/>
    </w:rPr>
  </w:style>
  <w:style w:type="paragraph" w:styleId="31">
    <w:name w:val="Date"/>
    <w:basedOn w:val="1"/>
    <w:next w:val="1"/>
    <w:link w:val="149"/>
    <w:qFormat/>
    <w:uiPriority w:val="0"/>
    <w:pPr>
      <w:widowControl w:val="0"/>
      <w:spacing w:after="0" w:line="240" w:lineRule="auto"/>
      <w:jc w:val="both"/>
    </w:pPr>
    <w:rPr>
      <w:rFonts w:ascii="Times New Roman" w:hAnsi="Times New Roman" w:eastAsia="楷体_GB2312" w:cs="Times New Roman"/>
      <w:kern w:val="2"/>
      <w:sz w:val="28"/>
      <w:szCs w:val="20"/>
      <w:lang w:eastAsia="zh-CN"/>
    </w:rPr>
  </w:style>
  <w:style w:type="paragraph" w:styleId="32">
    <w:name w:val="Balloon Text"/>
    <w:basedOn w:val="1"/>
    <w:link w:val="150"/>
    <w:semiHidden/>
    <w:unhideWhenUsed/>
    <w:qFormat/>
    <w:uiPriority w:val="99"/>
    <w:pPr>
      <w:spacing w:after="0" w:line="240" w:lineRule="auto"/>
    </w:pPr>
    <w:rPr>
      <w:sz w:val="18"/>
      <w:szCs w:val="18"/>
    </w:rPr>
  </w:style>
  <w:style w:type="paragraph" w:styleId="33">
    <w:name w:val="footer"/>
    <w:basedOn w:val="1"/>
    <w:link w:val="151"/>
    <w:unhideWhenUsed/>
    <w:qFormat/>
    <w:uiPriority w:val="99"/>
    <w:pPr>
      <w:tabs>
        <w:tab w:val="center" w:pos="4680"/>
        <w:tab w:val="right" w:pos="9360"/>
      </w:tabs>
      <w:spacing w:after="0" w:line="240" w:lineRule="auto"/>
    </w:pPr>
  </w:style>
  <w:style w:type="paragraph" w:styleId="34">
    <w:name w:val="header"/>
    <w:basedOn w:val="1"/>
    <w:link w:val="152"/>
    <w:unhideWhenUsed/>
    <w:qFormat/>
    <w:uiPriority w:val="99"/>
    <w:pPr>
      <w:tabs>
        <w:tab w:val="center" w:pos="4680"/>
        <w:tab w:val="right" w:pos="9360"/>
      </w:tabs>
      <w:spacing w:after="0" w:line="240" w:lineRule="auto"/>
    </w:pPr>
  </w:style>
  <w:style w:type="paragraph" w:styleId="35">
    <w:name w:val="toc 1"/>
    <w:basedOn w:val="1"/>
    <w:next w:val="1"/>
    <w:unhideWhenUsed/>
    <w:qFormat/>
    <w:uiPriority w:val="39"/>
    <w:pPr>
      <w:spacing w:after="100"/>
    </w:pPr>
    <w:rPr>
      <w:rFonts w:asciiTheme="minorHAnsi" w:hAnsiTheme="minorHAnsi" w:eastAsiaTheme="minorEastAsia"/>
      <w:lang w:eastAsia="zh-CN"/>
    </w:rPr>
  </w:style>
  <w:style w:type="paragraph" w:styleId="36">
    <w:name w:val="toc 4"/>
    <w:basedOn w:val="1"/>
    <w:next w:val="1"/>
    <w:unhideWhenUsed/>
    <w:qFormat/>
    <w:uiPriority w:val="39"/>
    <w:pPr>
      <w:widowControl w:val="0"/>
      <w:spacing w:after="0" w:line="240" w:lineRule="auto"/>
      <w:ind w:left="1260" w:leftChars="600"/>
      <w:jc w:val="both"/>
    </w:pPr>
    <w:rPr>
      <w:rFonts w:asciiTheme="minorHAnsi" w:hAnsiTheme="minorHAnsi" w:eastAsiaTheme="minorEastAsia"/>
      <w:kern w:val="2"/>
      <w:sz w:val="21"/>
      <w:lang w:eastAsia="zh-CN"/>
    </w:rPr>
  </w:style>
  <w:style w:type="paragraph" w:styleId="37">
    <w:name w:val="Subtitle"/>
    <w:basedOn w:val="1"/>
    <w:next w:val="1"/>
    <w:link w:val="153"/>
    <w:qFormat/>
    <w:uiPriority w:val="11"/>
    <w:rPr>
      <w:rFonts w:asciiTheme="majorHAnsi" w:hAnsiTheme="majorHAnsi" w:eastAsiaTheme="majorEastAsia" w:cstheme="majorBidi"/>
      <w:i/>
      <w:iCs/>
      <w:color w:val="4F81BD" w:themeColor="accent1"/>
      <w:spacing w:val="15"/>
      <w:sz w:val="24"/>
      <w:szCs w:val="24"/>
    </w:rPr>
  </w:style>
  <w:style w:type="paragraph" w:styleId="38">
    <w:name w:val="List"/>
    <w:basedOn w:val="1"/>
    <w:unhideWhenUsed/>
    <w:qFormat/>
    <w:uiPriority w:val="99"/>
    <w:pPr>
      <w:ind w:left="360" w:hanging="360"/>
      <w:contextualSpacing/>
    </w:pPr>
  </w:style>
  <w:style w:type="paragraph" w:styleId="39">
    <w:name w:val="toc 6"/>
    <w:basedOn w:val="1"/>
    <w:next w:val="1"/>
    <w:unhideWhenUsed/>
    <w:qFormat/>
    <w:uiPriority w:val="39"/>
    <w:pPr>
      <w:widowControl w:val="0"/>
      <w:spacing w:after="0" w:line="240" w:lineRule="auto"/>
      <w:ind w:left="2100" w:leftChars="1000"/>
      <w:jc w:val="both"/>
    </w:pPr>
    <w:rPr>
      <w:rFonts w:asciiTheme="minorHAnsi" w:hAnsiTheme="minorHAnsi" w:eastAsiaTheme="minorEastAsia"/>
      <w:kern w:val="2"/>
      <w:sz w:val="21"/>
      <w:lang w:eastAsia="zh-CN"/>
    </w:rPr>
  </w:style>
  <w:style w:type="paragraph" w:styleId="40">
    <w:name w:val="Body Text Indent 3"/>
    <w:basedOn w:val="1"/>
    <w:link w:val="197"/>
    <w:unhideWhenUsed/>
    <w:qFormat/>
    <w:uiPriority w:val="0"/>
    <w:pPr>
      <w:spacing w:after="120"/>
      <w:ind w:left="420" w:leftChars="200"/>
    </w:pPr>
    <w:rPr>
      <w:sz w:val="16"/>
      <w:szCs w:val="16"/>
    </w:rPr>
  </w:style>
  <w:style w:type="paragraph" w:styleId="41">
    <w:name w:val="toc 2"/>
    <w:basedOn w:val="1"/>
    <w:next w:val="1"/>
    <w:unhideWhenUsed/>
    <w:qFormat/>
    <w:uiPriority w:val="39"/>
    <w:pPr>
      <w:spacing w:after="100"/>
      <w:ind w:left="220"/>
    </w:pPr>
    <w:rPr>
      <w:rFonts w:asciiTheme="minorHAnsi" w:hAnsiTheme="minorHAnsi" w:eastAsiaTheme="minorEastAsia"/>
      <w:lang w:eastAsia="zh-CN"/>
    </w:rPr>
  </w:style>
  <w:style w:type="paragraph" w:styleId="42">
    <w:name w:val="toc 9"/>
    <w:basedOn w:val="1"/>
    <w:next w:val="1"/>
    <w:unhideWhenUsed/>
    <w:qFormat/>
    <w:uiPriority w:val="39"/>
    <w:pPr>
      <w:widowControl w:val="0"/>
      <w:spacing w:after="0" w:line="240" w:lineRule="auto"/>
      <w:ind w:left="3360" w:leftChars="1600"/>
      <w:jc w:val="both"/>
    </w:pPr>
    <w:rPr>
      <w:rFonts w:asciiTheme="minorHAnsi" w:hAnsiTheme="minorHAnsi" w:eastAsiaTheme="minorEastAsia"/>
      <w:kern w:val="2"/>
      <w:sz w:val="21"/>
      <w:lang w:eastAsia="zh-CN"/>
    </w:rPr>
  </w:style>
  <w:style w:type="paragraph" w:styleId="43">
    <w:name w:val="Body Text 2"/>
    <w:basedOn w:val="1"/>
    <w:link w:val="154"/>
    <w:unhideWhenUsed/>
    <w:qFormat/>
    <w:uiPriority w:val="99"/>
    <w:pPr>
      <w:spacing w:after="120" w:line="480" w:lineRule="auto"/>
    </w:pPr>
  </w:style>
  <w:style w:type="paragraph" w:styleId="44">
    <w:name w:val="List Continue 2"/>
    <w:basedOn w:val="1"/>
    <w:unhideWhenUsed/>
    <w:qFormat/>
    <w:uiPriority w:val="99"/>
    <w:pPr>
      <w:spacing w:after="120"/>
      <w:ind w:left="720"/>
      <w:contextualSpacing/>
    </w:pPr>
  </w:style>
  <w:style w:type="paragraph" w:styleId="45">
    <w:name w:val="Normal (Web)"/>
    <w:basedOn w:val="1"/>
    <w:qFormat/>
    <w:uiPriority w:val="99"/>
    <w:pPr>
      <w:spacing w:before="100" w:beforeAutospacing="1" w:after="100" w:afterAutospacing="1" w:line="240" w:lineRule="auto"/>
    </w:pPr>
    <w:rPr>
      <w:rFonts w:ascii="Times New Roman" w:hAnsi="Times New Roman" w:eastAsia="宋体" w:cs="Times New Roman"/>
      <w:sz w:val="24"/>
      <w:szCs w:val="24"/>
      <w:lang w:eastAsia="zh-CN"/>
    </w:rPr>
  </w:style>
  <w:style w:type="paragraph" w:styleId="46">
    <w:name w:val="List Continue 3"/>
    <w:basedOn w:val="1"/>
    <w:unhideWhenUsed/>
    <w:qFormat/>
    <w:uiPriority w:val="99"/>
    <w:pPr>
      <w:spacing w:after="120"/>
      <w:ind w:left="1080"/>
      <w:contextualSpacing/>
    </w:pPr>
  </w:style>
  <w:style w:type="paragraph" w:styleId="47">
    <w:name w:val="Title"/>
    <w:basedOn w:val="1"/>
    <w:next w:val="1"/>
    <w:link w:val="155"/>
    <w:qFormat/>
    <w:uiPriority w:val="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paragraph" w:styleId="48">
    <w:name w:val="Body Text First Indent"/>
    <w:basedOn w:val="22"/>
    <w:link w:val="218"/>
    <w:semiHidden/>
    <w:unhideWhenUsed/>
    <w:qFormat/>
    <w:uiPriority w:val="99"/>
    <w:pPr>
      <w:ind w:firstLine="420" w:firstLineChars="100"/>
    </w:pPr>
  </w:style>
  <w:style w:type="paragraph" w:styleId="49">
    <w:name w:val="Body Text First Indent 2"/>
    <w:basedOn w:val="23"/>
    <w:link w:val="217"/>
    <w:semiHidden/>
    <w:unhideWhenUsed/>
    <w:qFormat/>
    <w:uiPriority w:val="99"/>
    <w:pPr>
      <w:spacing w:after="120"/>
      <w:ind w:left="420" w:leftChars="200" w:firstLine="420"/>
    </w:pPr>
    <w:rPr>
      <w:rFonts w:eastAsia="微软雅黑"/>
      <w:sz w:val="22"/>
    </w:r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Light Shading Accent 2"/>
    <w:basedOn w:val="50"/>
    <w:qFormat/>
    <w:uiPriority w:val="60"/>
    <w:rPr>
      <w:color w:val="943734"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53">
    <w:name w:val="Light Shading Accent 3"/>
    <w:basedOn w:val="50"/>
    <w:qFormat/>
    <w:uiPriority w:val="60"/>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4">
    <w:name w:val="Light Shading Accent 4"/>
    <w:basedOn w:val="50"/>
    <w:qFormat/>
    <w:uiPriority w:val="60"/>
    <w:rPr>
      <w:color w:val="5F497A"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50"/>
    <w:qFormat/>
    <w:uiPriority w:val="60"/>
    <w:rPr>
      <w:color w:val="31849B"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56">
    <w:name w:val="Light Shading Accent 6"/>
    <w:basedOn w:val="50"/>
    <w:qFormat/>
    <w:uiPriority w:val="60"/>
    <w:rPr>
      <w:color w:val="E36C09"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57">
    <w:name w:val="Light List Accent 2"/>
    <w:basedOn w:val="50"/>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58">
    <w:name w:val="Light List Accent 3"/>
    <w:basedOn w:val="50"/>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59">
    <w:name w:val="Light List Accent 4"/>
    <w:basedOn w:val="50"/>
    <w:qFormat/>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60">
    <w:name w:val="Light List Accent 5"/>
    <w:basedOn w:val="50"/>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61">
    <w:name w:val="Light List Accent 6"/>
    <w:basedOn w:val="50"/>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62">
    <w:name w:val="Light Grid Accent 2"/>
    <w:basedOn w:val="50"/>
    <w:qFormat/>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63">
    <w:name w:val="Light Grid Accent 3"/>
    <w:basedOn w:val="50"/>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64">
    <w:name w:val="Light Grid Accent 4"/>
    <w:basedOn w:val="50"/>
    <w:qFormat/>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65">
    <w:name w:val="Light Grid Accent 5"/>
    <w:basedOn w:val="50"/>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66">
    <w:name w:val="Light Grid Accent 6"/>
    <w:basedOn w:val="50"/>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67">
    <w:name w:val="Medium Shading 1 Accent 2"/>
    <w:basedOn w:val="50"/>
    <w:qFormat/>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8">
    <w:name w:val="Medium Shading 1 Accent 3"/>
    <w:basedOn w:val="50"/>
    <w:qFormat/>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9">
    <w:name w:val="Medium Shading 1 Accent 4"/>
    <w:basedOn w:val="50"/>
    <w:qFormat/>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70">
    <w:name w:val="Medium Shading 1 Accent 5"/>
    <w:basedOn w:val="50"/>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71">
    <w:name w:val="Medium Shading 1 Accent 6"/>
    <w:basedOn w:val="50"/>
    <w:qFormat/>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72">
    <w:name w:val="Medium Shading 2 Accent 2"/>
    <w:basedOn w:val="50"/>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73">
    <w:name w:val="Medium Shading 2 Accent 3"/>
    <w:basedOn w:val="50"/>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74">
    <w:name w:val="Medium Shading 2 Accent 4"/>
    <w:basedOn w:val="50"/>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75">
    <w:name w:val="Medium Shading 2 Accent 5"/>
    <w:basedOn w:val="50"/>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76">
    <w:name w:val="Medium Shading 2 Accent 6"/>
    <w:basedOn w:val="50"/>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77">
    <w:name w:val="Medium List 1 Accent 2"/>
    <w:basedOn w:val="50"/>
    <w:qFormat/>
    <w:uiPriority w:val="65"/>
    <w:rPr>
      <w:color w:val="000000" w:themeColor="text1"/>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8">
    <w:name w:val="Medium List 1 Accent 3"/>
    <w:basedOn w:val="50"/>
    <w:qFormat/>
    <w:uiPriority w:val="65"/>
    <w:rPr>
      <w:color w:val="000000" w:themeColor="text1"/>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9">
    <w:name w:val="Medium List 1 Accent 4"/>
    <w:basedOn w:val="50"/>
    <w:qFormat/>
    <w:uiPriority w:val="65"/>
    <w:rPr>
      <w:color w:val="000000" w:themeColor="text1"/>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80">
    <w:name w:val="Medium List 1 Accent 5"/>
    <w:basedOn w:val="50"/>
    <w:qFormat/>
    <w:uiPriority w:val="65"/>
    <w:rPr>
      <w:color w:val="000000" w:themeColor="text1"/>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81">
    <w:name w:val="Medium List 1 Accent 6"/>
    <w:basedOn w:val="50"/>
    <w:qFormat/>
    <w:uiPriority w:val="65"/>
    <w:rPr>
      <w:color w:val="000000" w:themeColor="text1"/>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82">
    <w:name w:val="Medium List 2 Accent 1"/>
    <w:basedOn w:val="50"/>
    <w:qFormat/>
    <w:uiPriority w:val="66"/>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2"/>
    <w:basedOn w:val="50"/>
    <w:qFormat/>
    <w:uiPriority w:val="66"/>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3"/>
    <w:basedOn w:val="50"/>
    <w:qFormat/>
    <w:uiPriority w:val="66"/>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List 2 Accent 4"/>
    <w:basedOn w:val="50"/>
    <w:qFormat/>
    <w:uiPriority w:val="66"/>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List 2 Accent 5"/>
    <w:basedOn w:val="50"/>
    <w:qFormat/>
    <w:uiPriority w:val="66"/>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List 2 Accent 6"/>
    <w:basedOn w:val="50"/>
    <w:qFormat/>
    <w:uiPriority w:val="66"/>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Grid 1 Accent 1"/>
    <w:basedOn w:val="50"/>
    <w:qFormat/>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9">
    <w:name w:val="Medium Grid 1 Accent 2"/>
    <w:basedOn w:val="50"/>
    <w:qFormat/>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90">
    <w:name w:val="Medium Grid 1 Accent 3"/>
    <w:basedOn w:val="50"/>
    <w:qFormat/>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91">
    <w:name w:val="Medium Grid 1 Accent 4"/>
    <w:basedOn w:val="50"/>
    <w:qFormat/>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2">
    <w:name w:val="Medium Grid 1 Accent 5"/>
    <w:basedOn w:val="50"/>
    <w:qFormat/>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3">
    <w:name w:val="Medium Grid 1 Accent 6"/>
    <w:basedOn w:val="50"/>
    <w:qFormat/>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4">
    <w:name w:val="Medium Grid 2 Accent 1"/>
    <w:basedOn w:val="50"/>
    <w:qFormat/>
    <w:uiPriority w:val="68"/>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5">
    <w:name w:val="Medium Grid 2 Accent 2"/>
    <w:basedOn w:val="50"/>
    <w:qFormat/>
    <w:uiPriority w:val="68"/>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6">
    <w:name w:val="Medium Grid 2 Accent 3"/>
    <w:basedOn w:val="50"/>
    <w:qFormat/>
    <w:uiPriority w:val="68"/>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7">
    <w:name w:val="Medium Grid 2 Accent 4"/>
    <w:basedOn w:val="50"/>
    <w:qFormat/>
    <w:uiPriority w:val="68"/>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8">
    <w:name w:val="Medium Grid 2 Accent 5"/>
    <w:basedOn w:val="50"/>
    <w:qFormat/>
    <w:uiPriority w:val="68"/>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9">
    <w:name w:val="Medium Grid 2 Accent 6"/>
    <w:basedOn w:val="50"/>
    <w:qFormat/>
    <w:uiPriority w:val="68"/>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100">
    <w:name w:val="Medium Grid 3 Accent 1"/>
    <w:basedOn w:val="50"/>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1">
    <w:name w:val="Medium Grid 3 Accent 2"/>
    <w:basedOn w:val="50"/>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2">
    <w:name w:val="Medium Grid 3 Accent 3"/>
    <w:basedOn w:val="50"/>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3">
    <w:name w:val="Medium Grid 3 Accent 4"/>
    <w:basedOn w:val="50"/>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4">
    <w:name w:val="Medium Grid 3 Accent 5"/>
    <w:basedOn w:val="50"/>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5">
    <w:name w:val="Medium Grid 3 Accent 6"/>
    <w:basedOn w:val="50"/>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6">
    <w:name w:val="Dark List Accent 1"/>
    <w:basedOn w:val="50"/>
    <w:qFormat/>
    <w:uiPriority w:val="70"/>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7">
    <w:name w:val="Dark List Accent 2"/>
    <w:basedOn w:val="50"/>
    <w:qFormat/>
    <w:uiPriority w:val="70"/>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8">
    <w:name w:val="Dark List Accent 3"/>
    <w:basedOn w:val="50"/>
    <w:qFormat/>
    <w:uiPriority w:val="70"/>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9">
    <w:name w:val="Dark List Accent 4"/>
    <w:basedOn w:val="50"/>
    <w:qFormat/>
    <w:uiPriority w:val="70"/>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0">
    <w:name w:val="Dark List Accent 5"/>
    <w:basedOn w:val="50"/>
    <w:qFormat/>
    <w:uiPriority w:val="70"/>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1">
    <w:name w:val="Dark List Accent 6"/>
    <w:basedOn w:val="50"/>
    <w:qFormat/>
    <w:uiPriority w:val="70"/>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2">
    <w:name w:val="Colorful Shading Accent 1"/>
    <w:basedOn w:val="50"/>
    <w:qFormat/>
    <w:uiPriority w:val="71"/>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B4D74" w:themeFill="accen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113">
    <w:name w:val="Colorful Shading Accent 2"/>
    <w:basedOn w:val="50"/>
    <w:qFormat/>
    <w:uiPriority w:val="71"/>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14">
    <w:name w:val="Colorful Shading Accent 3"/>
    <w:basedOn w:val="50"/>
    <w:qFormat/>
    <w:uiPriority w:val="71"/>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50"/>
    <w:qFormat/>
    <w:uiPriority w:val="71"/>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A62" w:themeFill="accent4"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16">
    <w:name w:val="Colorful Shading Accent 5"/>
    <w:basedOn w:val="50"/>
    <w:qFormat/>
    <w:uiPriority w:val="71"/>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17">
    <w:name w:val="Colorful Shading Accent 6"/>
    <w:basedOn w:val="50"/>
    <w:qFormat/>
    <w:uiPriority w:val="71"/>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7" w:themeFill="accent6"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18">
    <w:name w:val="Colorful List Accent 1"/>
    <w:basedOn w:val="50"/>
    <w:qFormat/>
    <w:uiPriority w:val="72"/>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9">
    <w:name w:val="Colorful List Accent 2"/>
    <w:basedOn w:val="50"/>
    <w:qFormat/>
    <w:uiPriority w:val="72"/>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0">
    <w:name w:val="Colorful List Accent 3"/>
    <w:basedOn w:val="50"/>
    <w:qFormat/>
    <w:uiPriority w:val="72"/>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1">
    <w:name w:val="Colorful List Accent 4"/>
    <w:basedOn w:val="50"/>
    <w:qFormat/>
    <w:uiPriority w:val="72"/>
    <w:rPr>
      <w:color w:val="000000" w:themeColor="text1"/>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2">
    <w:name w:val="Colorful List Accent 5"/>
    <w:basedOn w:val="50"/>
    <w:qFormat/>
    <w:uiPriority w:val="72"/>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3">
    <w:name w:val="Colorful List Accent 6"/>
    <w:basedOn w:val="50"/>
    <w:qFormat/>
    <w:uiPriority w:val="72"/>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4">
    <w:name w:val="Colorful Grid Accent 1"/>
    <w:basedOn w:val="50"/>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6091" w:themeFill="accent1" w:themeFillShade="BF"/>
      </w:tcPr>
    </w:tblStylePr>
    <w:tblStylePr w:type="lastCol">
      <w:rPr>
        <w:color w:val="FFFFFF" w:themeColor="background1"/>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50"/>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734" w:themeFill="accent2" w:themeFillShade="BF"/>
      </w:tcPr>
    </w:tblStylePr>
    <w:tblStylePr w:type="lastCol">
      <w:rPr>
        <w:color w:val="FFFFFF" w:themeColor="background1"/>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50"/>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50"/>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50"/>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50"/>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9" w:themeFill="accent6" w:themeFillShade="BF"/>
      </w:tcPr>
    </w:tblStylePr>
    <w:tblStylePr w:type="lastCol">
      <w:rPr>
        <w:color w:val="FFFFFF" w:themeColor="background1"/>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page number"/>
    <w:basedOn w:val="130"/>
    <w:qFormat/>
    <w:uiPriority w:val="0"/>
  </w:style>
  <w:style w:type="character" w:styleId="133">
    <w:name w:val="Emphasis"/>
    <w:basedOn w:val="130"/>
    <w:qFormat/>
    <w:uiPriority w:val="20"/>
    <w:rPr>
      <w:i/>
      <w:iCs/>
    </w:rPr>
  </w:style>
  <w:style w:type="character" w:styleId="134">
    <w:name w:val="Hyperlink"/>
    <w:basedOn w:val="130"/>
    <w:unhideWhenUsed/>
    <w:qFormat/>
    <w:uiPriority w:val="99"/>
    <w:rPr>
      <w:color w:val="0000FF" w:themeColor="hyperlink"/>
      <w:u w:val="single"/>
    </w:rPr>
  </w:style>
  <w:style w:type="character" w:customStyle="1" w:styleId="135">
    <w:name w:val="标题 1 Char"/>
    <w:basedOn w:val="130"/>
    <w:link w:val="3"/>
    <w:qFormat/>
    <w:uiPriority w:val="9"/>
    <w:rPr>
      <w:rFonts w:ascii="黑体" w:hAnsi="黑体" w:eastAsia="黑体" w:cstheme="majorBidi"/>
      <w:bCs/>
      <w:sz w:val="36"/>
      <w:szCs w:val="36"/>
    </w:rPr>
  </w:style>
  <w:style w:type="character" w:customStyle="1" w:styleId="136">
    <w:name w:val="标题 2 Char"/>
    <w:basedOn w:val="130"/>
    <w:link w:val="4"/>
    <w:qFormat/>
    <w:uiPriority w:val="0"/>
    <w:rPr>
      <w:rFonts w:ascii="黑体" w:hAnsi="黑体" w:eastAsia="黑体" w:cstheme="majorBidi"/>
      <w:bCs/>
      <w:sz w:val="30"/>
      <w:szCs w:val="30"/>
    </w:rPr>
  </w:style>
  <w:style w:type="character" w:customStyle="1" w:styleId="137">
    <w:name w:val="标题 3 Char"/>
    <w:basedOn w:val="130"/>
    <w:link w:val="5"/>
    <w:qFormat/>
    <w:uiPriority w:val="0"/>
    <w:rPr>
      <w:rFonts w:asciiTheme="majorEastAsia" w:hAnsiTheme="majorEastAsia" w:eastAsiaTheme="majorEastAsia" w:cstheme="majorBidi"/>
      <w:b/>
      <w:bCs/>
      <w:sz w:val="24"/>
      <w:szCs w:val="22"/>
    </w:rPr>
  </w:style>
  <w:style w:type="character" w:customStyle="1" w:styleId="138">
    <w:name w:val="标题 4 Char"/>
    <w:basedOn w:val="130"/>
    <w:link w:val="6"/>
    <w:qFormat/>
    <w:uiPriority w:val="9"/>
    <w:rPr>
      <w:rFonts w:asciiTheme="majorEastAsia" w:hAnsiTheme="majorEastAsia" w:eastAsiaTheme="majorEastAsia" w:cstheme="majorBidi"/>
      <w:bCs/>
      <w:iCs/>
      <w:sz w:val="24"/>
      <w:szCs w:val="24"/>
    </w:rPr>
  </w:style>
  <w:style w:type="character" w:customStyle="1" w:styleId="139">
    <w:name w:val="标题 5 Char"/>
    <w:basedOn w:val="130"/>
    <w:link w:val="7"/>
    <w:semiHidden/>
    <w:qFormat/>
    <w:uiPriority w:val="9"/>
    <w:rPr>
      <w:rFonts w:asciiTheme="majorHAnsi" w:hAnsiTheme="majorHAnsi" w:eastAsiaTheme="majorEastAsia" w:cstheme="majorBidi"/>
      <w:color w:val="243F61" w:themeColor="accent1" w:themeShade="7F"/>
    </w:rPr>
  </w:style>
  <w:style w:type="character" w:customStyle="1" w:styleId="140">
    <w:name w:val="标题 6 Char"/>
    <w:basedOn w:val="130"/>
    <w:link w:val="8"/>
    <w:semiHidden/>
    <w:qFormat/>
    <w:uiPriority w:val="9"/>
    <w:rPr>
      <w:rFonts w:asciiTheme="majorHAnsi" w:hAnsiTheme="majorHAnsi" w:eastAsiaTheme="majorEastAsia" w:cstheme="majorBidi"/>
      <w:i/>
      <w:iCs/>
      <w:color w:val="243F61" w:themeColor="accent1" w:themeShade="7F"/>
    </w:rPr>
  </w:style>
  <w:style w:type="character" w:customStyle="1" w:styleId="141">
    <w:name w:val="标题 7 Char"/>
    <w:basedOn w:val="130"/>
    <w:link w:val="9"/>
    <w:semiHidden/>
    <w:qFormat/>
    <w:uiPriority w:val="9"/>
    <w:rPr>
      <w:rFonts w:asciiTheme="majorHAnsi" w:hAnsiTheme="majorHAnsi" w:eastAsiaTheme="majorEastAsia" w:cstheme="majorBidi"/>
      <w:i/>
      <w:iCs/>
      <w:color w:val="3F3F3F" w:themeColor="text1" w:themeTint="BF"/>
    </w:rPr>
  </w:style>
  <w:style w:type="character" w:customStyle="1" w:styleId="142">
    <w:name w:val="标题 8 Char"/>
    <w:basedOn w:val="130"/>
    <w:link w:val="10"/>
    <w:semiHidden/>
    <w:qFormat/>
    <w:uiPriority w:val="9"/>
    <w:rPr>
      <w:rFonts w:asciiTheme="majorHAnsi" w:hAnsiTheme="majorHAnsi" w:eastAsiaTheme="majorEastAsia" w:cstheme="majorBidi"/>
      <w:color w:val="4F81BD" w:themeColor="accent1"/>
      <w:sz w:val="20"/>
      <w:szCs w:val="20"/>
    </w:rPr>
  </w:style>
  <w:style w:type="character" w:customStyle="1" w:styleId="143">
    <w:name w:val="标题 9 Char"/>
    <w:basedOn w:val="130"/>
    <w:link w:val="11"/>
    <w:semiHidden/>
    <w:qFormat/>
    <w:uiPriority w:val="9"/>
    <w:rPr>
      <w:rFonts w:asciiTheme="majorHAnsi" w:hAnsiTheme="majorHAnsi" w:eastAsiaTheme="majorEastAsia" w:cstheme="majorBidi"/>
      <w:i/>
      <w:iCs/>
      <w:color w:val="3F3F3F" w:themeColor="text1" w:themeTint="BF"/>
      <w:sz w:val="20"/>
      <w:szCs w:val="20"/>
    </w:rPr>
  </w:style>
  <w:style w:type="character" w:customStyle="1" w:styleId="144">
    <w:name w:val="宏文本 Char"/>
    <w:basedOn w:val="130"/>
    <w:link w:val="2"/>
    <w:qFormat/>
    <w:uiPriority w:val="99"/>
    <w:rPr>
      <w:rFonts w:ascii="Courier" w:hAnsi="Courier"/>
      <w:sz w:val="20"/>
      <w:szCs w:val="20"/>
    </w:rPr>
  </w:style>
  <w:style w:type="character" w:customStyle="1" w:styleId="145">
    <w:name w:val="文档结构图 Char"/>
    <w:basedOn w:val="130"/>
    <w:link w:val="19"/>
    <w:semiHidden/>
    <w:qFormat/>
    <w:uiPriority w:val="99"/>
    <w:rPr>
      <w:rFonts w:ascii="宋体" w:hAnsi="微软雅黑" w:eastAsia="宋体"/>
      <w:sz w:val="18"/>
      <w:szCs w:val="18"/>
    </w:rPr>
  </w:style>
  <w:style w:type="character" w:customStyle="1" w:styleId="146">
    <w:name w:val="正文文本 3 Char"/>
    <w:basedOn w:val="130"/>
    <w:link w:val="20"/>
    <w:qFormat/>
    <w:uiPriority w:val="99"/>
    <w:rPr>
      <w:sz w:val="16"/>
      <w:szCs w:val="16"/>
    </w:rPr>
  </w:style>
  <w:style w:type="character" w:customStyle="1" w:styleId="147">
    <w:name w:val="正文文本 Char"/>
    <w:basedOn w:val="130"/>
    <w:link w:val="22"/>
    <w:qFormat/>
    <w:uiPriority w:val="99"/>
  </w:style>
  <w:style w:type="character" w:customStyle="1" w:styleId="148">
    <w:name w:val="正文文本缩进 Char"/>
    <w:basedOn w:val="130"/>
    <w:link w:val="23"/>
    <w:qFormat/>
    <w:uiPriority w:val="0"/>
    <w:rPr>
      <w:rFonts w:ascii="微软雅黑" w:hAnsi="微软雅黑" w:eastAsia="仿宋_GB2312"/>
      <w:sz w:val="28"/>
      <w:szCs w:val="22"/>
      <w:lang w:eastAsia="en-US"/>
    </w:rPr>
  </w:style>
  <w:style w:type="character" w:customStyle="1" w:styleId="149">
    <w:name w:val="日期 Char"/>
    <w:basedOn w:val="130"/>
    <w:link w:val="31"/>
    <w:qFormat/>
    <w:uiPriority w:val="0"/>
    <w:rPr>
      <w:rFonts w:ascii="Times New Roman" w:hAnsi="Times New Roman" w:eastAsia="楷体_GB2312" w:cs="Times New Roman"/>
      <w:kern w:val="2"/>
      <w:sz w:val="28"/>
      <w:szCs w:val="20"/>
      <w:lang w:eastAsia="zh-CN"/>
    </w:rPr>
  </w:style>
  <w:style w:type="character" w:customStyle="1" w:styleId="150">
    <w:name w:val="批注框文本 Char"/>
    <w:basedOn w:val="130"/>
    <w:link w:val="32"/>
    <w:semiHidden/>
    <w:qFormat/>
    <w:uiPriority w:val="99"/>
    <w:rPr>
      <w:rFonts w:ascii="微软雅黑" w:hAnsi="微软雅黑" w:eastAsia="微软雅黑"/>
      <w:sz w:val="18"/>
      <w:szCs w:val="18"/>
    </w:rPr>
  </w:style>
  <w:style w:type="character" w:customStyle="1" w:styleId="151">
    <w:name w:val="页脚 Char"/>
    <w:basedOn w:val="130"/>
    <w:link w:val="33"/>
    <w:qFormat/>
    <w:uiPriority w:val="99"/>
  </w:style>
  <w:style w:type="character" w:customStyle="1" w:styleId="152">
    <w:name w:val="页眉 Char"/>
    <w:basedOn w:val="130"/>
    <w:link w:val="34"/>
    <w:qFormat/>
    <w:uiPriority w:val="99"/>
  </w:style>
  <w:style w:type="character" w:customStyle="1" w:styleId="153">
    <w:name w:val="副标题 Char"/>
    <w:basedOn w:val="130"/>
    <w:link w:val="37"/>
    <w:qFormat/>
    <w:uiPriority w:val="11"/>
    <w:rPr>
      <w:rFonts w:asciiTheme="majorHAnsi" w:hAnsiTheme="majorHAnsi" w:eastAsiaTheme="majorEastAsia" w:cstheme="majorBidi"/>
      <w:i/>
      <w:iCs/>
      <w:color w:val="4F81BD" w:themeColor="accent1"/>
      <w:spacing w:val="15"/>
      <w:sz w:val="24"/>
      <w:szCs w:val="24"/>
    </w:rPr>
  </w:style>
  <w:style w:type="character" w:customStyle="1" w:styleId="154">
    <w:name w:val="正文文本 2 Char"/>
    <w:basedOn w:val="130"/>
    <w:link w:val="43"/>
    <w:qFormat/>
    <w:uiPriority w:val="99"/>
  </w:style>
  <w:style w:type="character" w:customStyle="1" w:styleId="155">
    <w:name w:val="标题 Char"/>
    <w:basedOn w:val="130"/>
    <w:link w:val="47"/>
    <w:qFormat/>
    <w:uiPriority w:val="10"/>
    <w:rPr>
      <w:rFonts w:asciiTheme="majorHAnsi" w:hAnsiTheme="majorHAnsi" w:eastAsiaTheme="majorEastAsia" w:cstheme="majorBidi"/>
      <w:color w:val="17365D" w:themeColor="text2" w:themeShade="BF"/>
      <w:spacing w:val="5"/>
      <w:kern w:val="28"/>
      <w:sz w:val="52"/>
      <w:szCs w:val="52"/>
    </w:rPr>
  </w:style>
  <w:style w:type="paragraph" w:styleId="156">
    <w:name w:val="No Spacing"/>
    <w:qFormat/>
    <w:uiPriority w:val="1"/>
    <w:rPr>
      <w:rFonts w:asciiTheme="minorHAnsi" w:hAnsiTheme="minorHAnsi" w:eastAsiaTheme="minorEastAsia" w:cstheme="minorBidi"/>
      <w:sz w:val="22"/>
      <w:szCs w:val="22"/>
      <w:lang w:val="en-US" w:eastAsia="en-US" w:bidi="ar-SA"/>
    </w:rPr>
  </w:style>
  <w:style w:type="paragraph" w:styleId="157">
    <w:name w:val="List Paragraph"/>
    <w:basedOn w:val="1"/>
    <w:qFormat/>
    <w:uiPriority w:val="34"/>
    <w:pPr>
      <w:ind w:left="720"/>
      <w:contextualSpacing/>
    </w:pPr>
  </w:style>
  <w:style w:type="paragraph" w:styleId="158">
    <w:name w:val="Quote"/>
    <w:basedOn w:val="1"/>
    <w:next w:val="1"/>
    <w:link w:val="159"/>
    <w:qFormat/>
    <w:uiPriority w:val="29"/>
    <w:rPr>
      <w:i/>
      <w:iCs/>
      <w:color w:val="000000" w:themeColor="text1"/>
    </w:rPr>
  </w:style>
  <w:style w:type="character" w:customStyle="1" w:styleId="159">
    <w:name w:val="引用 Char"/>
    <w:basedOn w:val="130"/>
    <w:link w:val="158"/>
    <w:qFormat/>
    <w:uiPriority w:val="29"/>
    <w:rPr>
      <w:i/>
      <w:iCs/>
      <w:color w:val="000000" w:themeColor="text1"/>
    </w:rPr>
  </w:style>
  <w:style w:type="paragraph" w:styleId="160">
    <w:name w:val="Intense Quote"/>
    <w:basedOn w:val="1"/>
    <w:next w:val="1"/>
    <w:link w:val="161"/>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61">
    <w:name w:val="明显引用 Char"/>
    <w:basedOn w:val="130"/>
    <w:link w:val="160"/>
    <w:qFormat/>
    <w:uiPriority w:val="30"/>
    <w:rPr>
      <w:b/>
      <w:bCs/>
      <w:i/>
      <w:iCs/>
      <w:color w:val="4F81BD" w:themeColor="accent1"/>
    </w:rPr>
  </w:style>
  <w:style w:type="character" w:customStyle="1" w:styleId="162">
    <w:name w:val="不明显强调1"/>
    <w:basedOn w:val="130"/>
    <w:qFormat/>
    <w:uiPriority w:val="19"/>
    <w:rPr>
      <w:i/>
      <w:iCs/>
      <w:color w:val="7F7F7F" w:themeColor="text1" w:themeTint="7F"/>
    </w:rPr>
  </w:style>
  <w:style w:type="character" w:customStyle="1" w:styleId="163">
    <w:name w:val="明显强调1"/>
    <w:basedOn w:val="130"/>
    <w:qFormat/>
    <w:uiPriority w:val="21"/>
    <w:rPr>
      <w:b/>
      <w:bCs/>
      <w:i/>
      <w:iCs/>
      <w:color w:val="4F81BD" w:themeColor="accent1"/>
    </w:rPr>
  </w:style>
  <w:style w:type="character" w:customStyle="1" w:styleId="164">
    <w:name w:val="不明显参考1"/>
    <w:basedOn w:val="130"/>
    <w:qFormat/>
    <w:uiPriority w:val="31"/>
    <w:rPr>
      <w:smallCaps/>
      <w:color w:val="C0504D" w:themeColor="accent2"/>
      <w:u w:val="single"/>
    </w:rPr>
  </w:style>
  <w:style w:type="character" w:customStyle="1" w:styleId="165">
    <w:name w:val="明显参考1"/>
    <w:basedOn w:val="130"/>
    <w:qFormat/>
    <w:uiPriority w:val="32"/>
    <w:rPr>
      <w:b/>
      <w:bCs/>
      <w:smallCaps/>
      <w:color w:val="C0504D" w:themeColor="accent2"/>
      <w:spacing w:val="5"/>
      <w:u w:val="single"/>
    </w:rPr>
  </w:style>
  <w:style w:type="character" w:customStyle="1" w:styleId="166">
    <w:name w:val="书籍标题1"/>
    <w:basedOn w:val="130"/>
    <w:qFormat/>
    <w:uiPriority w:val="33"/>
    <w:rPr>
      <w:b/>
      <w:bCs/>
      <w:smallCaps/>
      <w:spacing w:val="5"/>
    </w:rPr>
  </w:style>
  <w:style w:type="paragraph" w:customStyle="1" w:styleId="167">
    <w:name w:val="TOC 标题1"/>
    <w:basedOn w:val="3"/>
    <w:next w:val="1"/>
    <w:unhideWhenUsed/>
    <w:qFormat/>
    <w:uiPriority w:val="39"/>
    <w:pPr>
      <w:outlineLvl w:val="9"/>
    </w:pPr>
  </w:style>
  <w:style w:type="table" w:customStyle="1" w:styleId="168">
    <w:name w:val="浅色底纹1"/>
    <w:basedOn w:val="50"/>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169">
    <w:name w:val="浅色底纹 - 强调文字颜色 11"/>
    <w:basedOn w:val="50"/>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170">
    <w:name w:val="浅色列表1"/>
    <w:basedOn w:val="50"/>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171">
    <w:name w:val="浅色列表 - 强调文字颜色 11"/>
    <w:basedOn w:val="50"/>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172">
    <w:name w:val="浅色网格1"/>
    <w:basedOn w:val="50"/>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customStyle="1" w:styleId="173">
    <w:name w:val="浅色网格 - 强调文字颜色 11"/>
    <w:basedOn w:val="50"/>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customStyle="1" w:styleId="174">
    <w:name w:val="中等深浅底纹 11"/>
    <w:basedOn w:val="50"/>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175">
    <w:name w:val="中等深浅底纹 1 - 强调文字颜色 11"/>
    <w:basedOn w:val="50"/>
    <w:qFormat/>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table" w:customStyle="1" w:styleId="176">
    <w:name w:val="中等深浅底纹 21"/>
    <w:basedOn w:val="50"/>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rPr>
      <w:tcPr>
        <w:tcBorders>
          <w:top w:val="single" w:color="auto" w:sz="18" w:space="0"/>
          <w:left w:val="nil"/>
          <w:bottom w:val="single" w:color="auto" w:sz="18" w:space="0"/>
          <w:right w:val="nil"/>
          <w:insideH w:val="nil"/>
          <w:insideV w:val="nil"/>
        </w:tcBorders>
      </w:tcPr>
    </w:tblStylePr>
  </w:style>
  <w:style w:type="table" w:customStyle="1" w:styleId="177">
    <w:name w:val="中等深浅底纹 2 - 强调文字颜色 11"/>
    <w:basedOn w:val="50"/>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cPr>
        <w:tcBorders>
          <w:left w:val="nil"/>
          <w:right w:val="nil"/>
          <w:insideH w:val="nil"/>
          <w:insideV w:val="nil"/>
        </w:tcBorders>
        <w:shd w:val="clear" w:color="auto" w:fill="4F81BD"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rPr>
      <w:tcPr>
        <w:tcBorders>
          <w:top w:val="single" w:color="auto" w:sz="18" w:space="0"/>
          <w:left w:val="nil"/>
          <w:bottom w:val="single" w:color="auto" w:sz="18" w:space="0"/>
          <w:right w:val="nil"/>
          <w:insideH w:val="nil"/>
          <w:insideV w:val="nil"/>
        </w:tcBorders>
      </w:tcPr>
    </w:tblStylePr>
  </w:style>
  <w:style w:type="table" w:customStyle="1" w:styleId="178">
    <w:name w:val="中等深浅列表 11"/>
    <w:basedOn w:val="50"/>
    <w:qFormat/>
    <w:uiPriority w:val="65"/>
    <w:rPr>
      <w:color w:val="000000" w:themeColor="text1"/>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1F497D" w:themeColor="text2"/>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179">
    <w:name w:val="中等深浅列表 1 - 强调文字颜色 11"/>
    <w:basedOn w:val="50"/>
    <w:qFormat/>
    <w:uiPriority w:val="65"/>
    <w:rPr>
      <w:color w:val="000000" w:themeColor="text1"/>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F81BD" w:themeColor="accent1" w:sz="8" w:space="0"/>
        </w:tcBorders>
      </w:tcPr>
    </w:tblStylePr>
    <w:tblStylePr w:type="lastRow">
      <w:rPr>
        <w:b/>
        <w:bCs/>
        <w:color w:val="1F497D" w:themeColor="text2"/>
      </w:rPr>
      <w:tcPr>
        <w:tcBorders>
          <w:top w:val="single" w:color="4F81BD" w:themeColor="accent1" w:sz="8" w:space="0"/>
          <w:bottom w:val="single" w:color="4F81BD" w:themeColor="accent1" w:sz="8" w:space="0"/>
        </w:tcBorders>
      </w:tcPr>
    </w:tblStylePr>
    <w:tblStylePr w:type="firstCol">
      <w:rPr>
        <w:b/>
        <w:bCs/>
      </w:rPr>
    </w:tblStylePr>
    <w:tblStylePr w:type="lastCol">
      <w:rPr>
        <w:b/>
        <w:bCs/>
      </w:rPr>
      <w:tcPr>
        <w:tcBorders>
          <w:top w:val="single" w:color="4F81BD" w:themeColor="accent1" w:sz="8" w:space="0"/>
          <w:bottom w:val="single" w:color="4F81BD" w:themeColor="accent1" w:sz="8" w:space="0"/>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table" w:customStyle="1" w:styleId="180">
    <w:name w:val="中等深浅列表 21"/>
    <w:basedOn w:val="50"/>
    <w:qFormat/>
    <w:uiPriority w:val="66"/>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181">
    <w:name w:val="中等深浅网格 11"/>
    <w:basedOn w:val="50"/>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182">
    <w:name w:val="中等深浅网格 21"/>
    <w:basedOn w:val="50"/>
    <w:qFormat/>
    <w:uiPriority w:val="68"/>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cPr>
        <w:shd w:val="clear" w:color="auto" w:fill="E5E5E5" w:themeFill="text1" w:themeFillTint="19"/>
      </w:tcPr>
    </w:tblStylePr>
    <w:tblStylePr w:type="lastRow">
      <w:rPr>
        <w:b/>
        <w:bCs/>
        <w:color w:val="000000" w:themeColor="text1"/>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183">
    <w:name w:val="中等深浅网格 31"/>
    <w:basedOn w:val="50"/>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184">
    <w:name w:val="深色列表1"/>
    <w:basedOn w:val="50"/>
    <w:qFormat/>
    <w:uiPriority w:val="70"/>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185">
    <w:name w:val="彩色底纹1"/>
    <w:basedOn w:val="50"/>
    <w:qFormat/>
    <w:uiPriority w:val="71"/>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cPr>
        <w:tcBorders>
          <w:top w:val="single" w:color="FFFFFF" w:themeColor="background1" w:sz="6" w:space="0"/>
        </w:tcBorders>
        <w:shd w:val="clear" w:color="auto" w:fill="000000" w:themeFill="text1" w:themeFillShade="99"/>
      </w:tcPr>
    </w:tblStylePr>
    <w:tblStylePr w:type="firstCol">
      <w:rPr>
        <w:color w:val="FFFFFF" w:themeColor="background1"/>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186">
    <w:name w:val="彩色列表1"/>
    <w:basedOn w:val="50"/>
    <w:qFormat/>
    <w:uiPriority w:val="72"/>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187">
    <w:name w:val="彩色网格1"/>
    <w:basedOn w:val="50"/>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rPr>
      <w:tcPr>
        <w:shd w:val="clear" w:color="auto" w:fill="999999" w:themeFill="text1" w:themeFillTint="66"/>
      </w:tcPr>
    </w:tblStylePr>
    <w:tblStylePr w:type="firstCol">
      <w:rPr>
        <w:color w:val="FFFFFF" w:themeColor="background1"/>
      </w:rPr>
      <w:tcPr>
        <w:shd w:val="clear" w:color="auto" w:fill="000000" w:themeFill="text1" w:themeFillShade="BF"/>
      </w:tcPr>
    </w:tblStylePr>
    <w:tblStylePr w:type="lastCol">
      <w:rPr>
        <w:color w:val="FFFFFF" w:themeColor="background1"/>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styleId="188">
    <w:name w:val="Placeholder Text"/>
    <w:basedOn w:val="130"/>
    <w:semiHidden/>
    <w:qFormat/>
    <w:uiPriority w:val="99"/>
    <w:rPr>
      <w:color w:val="808080"/>
    </w:rPr>
  </w:style>
  <w:style w:type="paragraph" w:customStyle="1" w:styleId="189">
    <w:name w:val="标题1"/>
    <w:basedOn w:val="4"/>
    <w:link w:val="190"/>
    <w:qFormat/>
    <w:uiPriority w:val="0"/>
    <w:pPr>
      <w:widowControl w:val="0"/>
      <w:spacing w:before="100" w:beforeAutospacing="1" w:after="100" w:afterAutospacing="1" w:line="640" w:lineRule="exact"/>
      <w:jc w:val="center"/>
      <w:outlineLvl w:val="0"/>
    </w:pPr>
    <w:rPr>
      <w:rFonts w:hAnsi="Arial" w:cs="Times New Roman"/>
      <w:bCs w:val="0"/>
      <w:kern w:val="2"/>
      <w:szCs w:val="24"/>
    </w:rPr>
  </w:style>
  <w:style w:type="character" w:customStyle="1" w:styleId="190">
    <w:name w:val="标题1 Char"/>
    <w:link w:val="189"/>
    <w:qFormat/>
    <w:uiPriority w:val="0"/>
    <w:rPr>
      <w:rFonts w:ascii="黑体" w:hAnsi="Arial" w:eastAsia="黑体" w:cs="Times New Roman"/>
      <w:kern w:val="2"/>
      <w:sz w:val="30"/>
      <w:szCs w:val="24"/>
    </w:rPr>
  </w:style>
  <w:style w:type="paragraph" w:customStyle="1" w:styleId="191">
    <w:name w:val="正文1"/>
    <w:qFormat/>
    <w:uiPriority w:val="0"/>
    <w:pPr>
      <w:spacing w:line="500" w:lineRule="exact"/>
    </w:pPr>
    <w:rPr>
      <w:rFonts w:ascii="宋体" w:hAnsi="宋体" w:eastAsia="宋体" w:cs="宋体"/>
      <w:sz w:val="24"/>
      <w:szCs w:val="24"/>
      <w:lang w:val="en-US" w:eastAsia="zh-CN" w:bidi="ar-SA"/>
    </w:rPr>
  </w:style>
  <w:style w:type="paragraph" w:customStyle="1" w:styleId="192">
    <w:name w:val="5E8A942B92774C978FFC2A16BCB09EA4"/>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customStyle="1" w:styleId="193">
    <w:name w:val="doc-header-title"/>
    <w:basedOn w:val="130"/>
    <w:qFormat/>
    <w:uiPriority w:val="0"/>
  </w:style>
  <w:style w:type="character" w:customStyle="1" w:styleId="194">
    <w:name w:val="标题 4 Char1"/>
    <w:basedOn w:val="130"/>
    <w:qFormat/>
    <w:uiPriority w:val="0"/>
    <w:rPr>
      <w:rFonts w:ascii="Arial" w:hAnsi="Arial" w:eastAsia="黑体" w:cs="Times New Roman"/>
      <w:b/>
      <w:bCs/>
      <w:sz w:val="28"/>
      <w:szCs w:val="28"/>
    </w:rPr>
  </w:style>
  <w:style w:type="paragraph" w:customStyle="1" w:styleId="195">
    <w:name w:val="正文宋 + 首行缩进:  2 字符 + 首行缩进:  2 字符"/>
    <w:basedOn w:val="1"/>
    <w:link w:val="196"/>
    <w:qFormat/>
    <w:uiPriority w:val="0"/>
    <w:pPr>
      <w:widowControl w:val="0"/>
      <w:spacing w:after="0" w:line="240" w:lineRule="auto"/>
      <w:ind w:firstLine="560" w:firstLineChars="200"/>
      <w:jc w:val="both"/>
    </w:pPr>
    <w:rPr>
      <w:rFonts w:ascii="Times New Roman" w:hAnsi="Times New Roman" w:eastAsia="宋体" w:cs="宋体"/>
      <w:kern w:val="2"/>
      <w:sz w:val="28"/>
      <w:szCs w:val="20"/>
      <w:lang w:eastAsia="zh-CN"/>
    </w:rPr>
  </w:style>
  <w:style w:type="character" w:customStyle="1" w:styleId="196">
    <w:name w:val="正文宋 + 首行缩进:  2 字符 + 首行缩进:  2 字符 Char"/>
    <w:basedOn w:val="130"/>
    <w:link w:val="195"/>
    <w:qFormat/>
    <w:uiPriority w:val="0"/>
    <w:rPr>
      <w:rFonts w:ascii="Times New Roman" w:hAnsi="Times New Roman" w:eastAsia="宋体" w:cs="宋体"/>
      <w:kern w:val="2"/>
      <w:sz w:val="28"/>
    </w:rPr>
  </w:style>
  <w:style w:type="character" w:customStyle="1" w:styleId="197">
    <w:name w:val="正文文本缩进 3 Char"/>
    <w:basedOn w:val="130"/>
    <w:link w:val="40"/>
    <w:qFormat/>
    <w:uiPriority w:val="0"/>
    <w:rPr>
      <w:rFonts w:ascii="微软雅黑" w:hAnsi="微软雅黑" w:eastAsia="微软雅黑"/>
      <w:sz w:val="16"/>
      <w:szCs w:val="16"/>
      <w:lang w:eastAsia="en-US"/>
    </w:rPr>
  </w:style>
  <w:style w:type="character" w:customStyle="1" w:styleId="198">
    <w:name w:val="页脚 Char1"/>
    <w:basedOn w:val="130"/>
    <w:qFormat/>
    <w:uiPriority w:val="0"/>
    <w:rPr>
      <w:rFonts w:eastAsia="宋体"/>
      <w:kern w:val="2"/>
      <w:sz w:val="18"/>
      <w:szCs w:val="18"/>
      <w:lang w:val="en-US" w:eastAsia="zh-CN" w:bidi="ar-SA"/>
    </w:rPr>
  </w:style>
  <w:style w:type="paragraph" w:customStyle="1" w:styleId="199">
    <w:name w:val="样式4"/>
    <w:basedOn w:val="157"/>
    <w:qFormat/>
    <w:uiPriority w:val="0"/>
    <w:pPr>
      <w:adjustRightInd w:val="0"/>
      <w:snapToGrid w:val="0"/>
      <w:spacing w:line="520" w:lineRule="exact"/>
      <w:ind w:left="0"/>
    </w:pPr>
    <w:rPr>
      <w:rFonts w:ascii="宋体" w:hAnsi="宋体" w:eastAsia="宋体" w:cs="Times New Roman"/>
      <w:color w:val="000000"/>
      <w:kern w:val="2"/>
      <w:sz w:val="24"/>
      <w:szCs w:val="24"/>
      <w:lang w:eastAsia="zh-CN"/>
    </w:rPr>
  </w:style>
  <w:style w:type="character" w:customStyle="1" w:styleId="200">
    <w:name w:val="正文文本 + Batang3"/>
    <w:qFormat/>
    <w:uiPriority w:val="0"/>
    <w:rPr>
      <w:rFonts w:ascii="宋体" w:hAnsi="宋体" w:eastAsia="宋体"/>
      <w:sz w:val="24"/>
      <w:lang w:eastAsia="zh-CN"/>
    </w:rPr>
  </w:style>
  <w:style w:type="character" w:customStyle="1" w:styleId="201">
    <w:name w:val="表格标题 (4) + Batang"/>
    <w:basedOn w:val="130"/>
    <w:qFormat/>
    <w:uiPriority w:val="0"/>
    <w:rPr>
      <w:rFonts w:ascii="Batang" w:hAnsi="Batang" w:eastAsia="Batang" w:cs="Batang"/>
      <w:color w:val="000000"/>
      <w:spacing w:val="0"/>
      <w:w w:val="100"/>
      <w:position w:val="0"/>
      <w:sz w:val="17"/>
      <w:szCs w:val="17"/>
      <w:u w:val="none"/>
    </w:rPr>
  </w:style>
  <w:style w:type="paragraph" w:customStyle="1" w:styleId="202">
    <w:name w:val="xl37"/>
    <w:basedOn w:val="1"/>
    <w:qFormat/>
    <w:uiPriority w:val="0"/>
    <w:pPr>
      <w:pBdr>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Times New Roman"/>
      <w:sz w:val="21"/>
      <w:szCs w:val="21"/>
      <w:lang w:eastAsia="zh-CN"/>
    </w:rPr>
  </w:style>
  <w:style w:type="character" w:customStyle="1" w:styleId="203">
    <w:name w:val="样式 样式 样式 正文文本正文文字 Char + 首行缩进:  2 字符1 Char + Times New Roman + 黑色 Char"/>
    <w:basedOn w:val="130"/>
    <w:qFormat/>
    <w:uiPriority w:val="0"/>
    <w:rPr>
      <w:rFonts w:ascii="宋体" w:hAnsi="宋体" w:eastAsia="仿宋_GB2312"/>
      <w:color w:val="000000"/>
      <w:kern w:val="2"/>
      <w:sz w:val="28"/>
      <w:szCs w:val="28"/>
      <w:lang w:val="en-US" w:eastAsia="zh-CN" w:bidi="ar-SA"/>
    </w:rPr>
  </w:style>
  <w:style w:type="paragraph" w:customStyle="1" w:styleId="204">
    <w:name w:val="公标题2"/>
    <w:basedOn w:val="1"/>
    <w:qFormat/>
    <w:uiPriority w:val="0"/>
    <w:pPr>
      <w:widowControl w:val="0"/>
      <w:adjustRightInd w:val="0"/>
      <w:snapToGrid w:val="0"/>
      <w:spacing w:beforeLines="50" w:afterLines="50" w:line="353" w:lineRule="auto"/>
      <w:jc w:val="both"/>
      <w:outlineLvl w:val="1"/>
    </w:pPr>
    <w:rPr>
      <w:rFonts w:ascii="黑体" w:hAnsi="宋体" w:eastAsia="黑体" w:cs="Times New Roman"/>
      <w:kern w:val="2"/>
      <w:sz w:val="32"/>
      <w:szCs w:val="24"/>
      <w:lang w:eastAsia="zh-CN"/>
    </w:rPr>
  </w:style>
  <w:style w:type="paragraph" w:customStyle="1" w:styleId="205">
    <w:name w:val="样式 样式 样式 正文文本正文文字 Char + 首行缩进:  2 字符1 Char + Times New Roman + 黑色"/>
    <w:basedOn w:val="1"/>
    <w:qFormat/>
    <w:uiPriority w:val="0"/>
    <w:pPr>
      <w:widowControl w:val="0"/>
      <w:spacing w:after="0" w:line="560" w:lineRule="exact"/>
      <w:ind w:firstLine="200" w:firstLineChars="200"/>
      <w:jc w:val="both"/>
    </w:pPr>
    <w:rPr>
      <w:rFonts w:ascii="宋体" w:hAnsi="宋体" w:eastAsia="仿宋_GB2312" w:cs="Times New Roman"/>
      <w:color w:val="000000"/>
      <w:kern w:val="2"/>
      <w:sz w:val="28"/>
      <w:szCs w:val="28"/>
      <w:lang w:eastAsia="zh-CN"/>
    </w:rPr>
  </w:style>
  <w:style w:type="paragraph" w:customStyle="1" w:styleId="206">
    <w:name w:val="公标题3"/>
    <w:basedOn w:val="204"/>
    <w:qFormat/>
    <w:uiPriority w:val="0"/>
    <w:pPr>
      <w:spacing w:beforeLines="30" w:afterLines="30"/>
      <w:outlineLvl w:val="2"/>
    </w:pPr>
    <w:rPr>
      <w:rFonts w:ascii="宋体" w:eastAsia="方正小标宋简体"/>
      <w:sz w:val="28"/>
    </w:rPr>
  </w:style>
  <w:style w:type="paragraph" w:customStyle="1" w:styleId="207">
    <w:name w:val="公正文"/>
    <w:basedOn w:val="16"/>
    <w:qFormat/>
    <w:uiPriority w:val="0"/>
    <w:pPr>
      <w:widowControl w:val="0"/>
      <w:adjustRightInd w:val="0"/>
      <w:snapToGrid w:val="0"/>
      <w:spacing w:after="0" w:line="353" w:lineRule="auto"/>
      <w:ind w:firstLine="200"/>
      <w:jc w:val="both"/>
    </w:pPr>
    <w:rPr>
      <w:rFonts w:ascii="宋体" w:hAnsi="宋体" w:eastAsia="仿宋_GB2312" w:cs="Times New Roman"/>
      <w:kern w:val="2"/>
      <w:sz w:val="28"/>
      <w:szCs w:val="24"/>
      <w:lang w:eastAsia="zh-CN"/>
    </w:rPr>
  </w:style>
  <w:style w:type="paragraph" w:customStyle="1" w:styleId="208">
    <w:name w:val="公标题4"/>
    <w:basedOn w:val="206"/>
    <w:qFormat/>
    <w:uiPriority w:val="0"/>
    <w:pPr>
      <w:spacing w:beforeLines="0" w:afterLines="0"/>
      <w:outlineLvl w:val="3"/>
    </w:pPr>
    <w:rPr>
      <w:rFonts w:eastAsia="仿宋_GB2312"/>
    </w:rPr>
  </w:style>
  <w:style w:type="character" w:customStyle="1" w:styleId="209">
    <w:name w:val="doc_title"/>
    <w:basedOn w:val="130"/>
    <w:qFormat/>
    <w:uiPriority w:val="0"/>
  </w:style>
  <w:style w:type="character" w:customStyle="1" w:styleId="210">
    <w:name w:val="fw2"/>
    <w:basedOn w:val="130"/>
    <w:qFormat/>
    <w:uiPriority w:val="0"/>
  </w:style>
  <w:style w:type="paragraph" w:customStyle="1" w:styleId="211">
    <w:name w:val="公表文"/>
    <w:basedOn w:val="212"/>
    <w:qFormat/>
    <w:uiPriority w:val="0"/>
    <w:pPr>
      <w:spacing w:beforeLines="30" w:afterLines="30"/>
      <w:ind w:firstLine="0" w:firstLineChars="0"/>
      <w:jc w:val="center"/>
    </w:pPr>
  </w:style>
  <w:style w:type="paragraph" w:customStyle="1" w:styleId="212">
    <w:name w:val="公表注"/>
    <w:basedOn w:val="1"/>
    <w:qFormat/>
    <w:uiPriority w:val="0"/>
    <w:pPr>
      <w:widowControl w:val="0"/>
      <w:adjustRightInd w:val="0"/>
      <w:snapToGrid w:val="0"/>
      <w:spacing w:after="0" w:line="240" w:lineRule="auto"/>
      <w:ind w:firstLine="200" w:firstLineChars="200"/>
      <w:jc w:val="both"/>
    </w:pPr>
    <w:rPr>
      <w:rFonts w:ascii="宋体" w:hAnsi="宋体" w:eastAsia="楷体_GB2312" w:cs="Times New Roman"/>
      <w:kern w:val="2"/>
      <w:sz w:val="21"/>
      <w:szCs w:val="24"/>
      <w:lang w:eastAsia="zh-CN"/>
    </w:rPr>
  </w:style>
  <w:style w:type="paragraph" w:customStyle="1" w:styleId="213">
    <w:name w:val="公表序"/>
    <w:basedOn w:val="208"/>
    <w:qFormat/>
    <w:uiPriority w:val="0"/>
    <w:pPr>
      <w:spacing w:line="300" w:lineRule="auto"/>
      <w:ind w:firstLine="150" w:firstLineChars="150"/>
      <w:outlineLvl w:val="9"/>
    </w:pPr>
    <w:rPr>
      <w:rFonts w:ascii="黑体" w:eastAsia="黑体"/>
      <w:sz w:val="24"/>
    </w:rPr>
  </w:style>
  <w:style w:type="paragraph" w:customStyle="1" w:styleId="214">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宋体" w:cs="Times New Roman"/>
      <w:sz w:val="20"/>
      <w:szCs w:val="20"/>
      <w:lang w:eastAsia="zh-CN"/>
    </w:rPr>
  </w:style>
  <w:style w:type="paragraph" w:customStyle="1" w:styleId="215">
    <w:name w:val="样式"/>
    <w:basedOn w:val="1"/>
    <w:next w:val="16"/>
    <w:qFormat/>
    <w:uiPriority w:val="0"/>
    <w:pPr>
      <w:widowControl w:val="0"/>
      <w:spacing w:after="0" w:line="240" w:lineRule="auto"/>
      <w:ind w:firstLine="420" w:firstLineChars="200"/>
      <w:jc w:val="both"/>
    </w:pPr>
    <w:rPr>
      <w:rFonts w:ascii="宋体" w:hAnsi="Times New Roman" w:eastAsia="宋体" w:cs="Times New Roman"/>
      <w:kern w:val="2"/>
      <w:sz w:val="24"/>
      <w:szCs w:val="21"/>
      <w:lang w:eastAsia="zh-CN"/>
    </w:rPr>
  </w:style>
  <w:style w:type="paragraph" w:customStyle="1" w:styleId="216">
    <w:name w:val="标题2"/>
    <w:basedOn w:val="1"/>
    <w:next w:val="1"/>
    <w:qFormat/>
    <w:uiPriority w:val="0"/>
    <w:pPr>
      <w:widowControl w:val="0"/>
      <w:spacing w:after="0" w:line="560" w:lineRule="exact"/>
      <w:outlineLvl w:val="1"/>
    </w:pPr>
    <w:rPr>
      <w:rFonts w:ascii="Times New Roman" w:hAnsi="Times New Roman" w:eastAsia="宋体" w:cs="Courier New"/>
      <w:b/>
      <w:color w:val="000000"/>
      <w:sz w:val="28"/>
      <w:szCs w:val="24"/>
      <w:lang w:val="zh-CN" w:eastAsia="zh-CN"/>
    </w:rPr>
  </w:style>
  <w:style w:type="character" w:customStyle="1" w:styleId="217">
    <w:name w:val="正文首行缩进 2 Char"/>
    <w:basedOn w:val="148"/>
    <w:link w:val="49"/>
    <w:semiHidden/>
    <w:qFormat/>
    <w:uiPriority w:val="99"/>
    <w:rPr>
      <w:rFonts w:ascii="微软雅黑" w:hAnsi="微软雅黑" w:eastAsia="微软雅黑"/>
      <w:sz w:val="22"/>
      <w:szCs w:val="22"/>
      <w:lang w:eastAsia="en-US"/>
    </w:rPr>
  </w:style>
  <w:style w:type="character" w:customStyle="1" w:styleId="218">
    <w:name w:val="正文首行缩进 Char"/>
    <w:basedOn w:val="147"/>
    <w:link w:val="48"/>
    <w:semiHidden/>
    <w:qFormat/>
    <w:uiPriority w:val="99"/>
    <w:rPr>
      <w:rFonts w:ascii="微软雅黑" w:hAnsi="微软雅黑" w:eastAsia="微软雅黑"/>
      <w:sz w:val="22"/>
      <w:szCs w:val="22"/>
      <w:lang w:eastAsia="en-US"/>
    </w:rPr>
  </w:style>
  <w:style w:type="paragraph" w:customStyle="1" w:styleId="219">
    <w:name w:val="正文2"/>
    <w:basedOn w:val="1"/>
    <w:link w:val="220"/>
    <w:qFormat/>
    <w:uiPriority w:val="0"/>
    <w:pPr>
      <w:spacing w:after="0" w:line="360" w:lineRule="auto"/>
      <w:ind w:firstLine="480" w:firstLineChars="200"/>
    </w:pPr>
    <w:rPr>
      <w:rFonts w:ascii="宋体" w:hAnsi="宋体" w:eastAsia="宋体"/>
      <w:sz w:val="24"/>
    </w:rPr>
  </w:style>
  <w:style w:type="character" w:customStyle="1" w:styleId="220">
    <w:name w:val="正文2 Char"/>
    <w:basedOn w:val="130"/>
    <w:link w:val="219"/>
    <w:qFormat/>
    <w:uiPriority w:val="0"/>
    <w:rPr>
      <w:rFonts w:ascii="宋体" w:hAnsi="宋体" w:eastAsia="宋体"/>
      <w:sz w:val="24"/>
      <w:szCs w:val="22"/>
      <w:lang w:eastAsia="en-US"/>
    </w:rPr>
  </w:style>
  <w:style w:type="paragraph" w:customStyle="1" w:styleId="221">
    <w:name w:val="默认段落字体 Para Char"/>
    <w:basedOn w:val="1"/>
    <w:qFormat/>
    <w:uiPriority w:val="0"/>
    <w:pPr>
      <w:widowControl w:val="0"/>
      <w:spacing w:after="0" w:line="360" w:lineRule="auto"/>
      <w:ind w:firstLine="200" w:firstLineChars="200"/>
      <w:jc w:val="both"/>
    </w:pPr>
    <w:rPr>
      <w:rFonts w:ascii="宋体" w:hAnsi="宋体" w:eastAsia="宋体" w:cs="宋体"/>
      <w:kern w:val="2"/>
      <w:sz w:val="24"/>
      <w:szCs w:val="24"/>
      <w:lang w:eastAsia="zh-CN"/>
    </w:rPr>
  </w:style>
  <w:style w:type="paragraph" w:customStyle="1" w:styleId="222">
    <w:name w:val="正文01"/>
    <w:basedOn w:val="1"/>
    <w:next w:val="1"/>
    <w:link w:val="223"/>
    <w:qFormat/>
    <w:uiPriority w:val="0"/>
    <w:pPr>
      <w:widowControl w:val="0"/>
      <w:spacing w:after="0" w:line="600" w:lineRule="exact"/>
      <w:ind w:firstLine="469" w:firstLineChars="200"/>
      <w:jc w:val="both"/>
    </w:pPr>
    <w:rPr>
      <w:rFonts w:ascii="宋体" w:hAnsi="宋体" w:eastAsia="宋体" w:cs="Times New Roman"/>
      <w:kern w:val="2"/>
      <w:sz w:val="24"/>
      <w:szCs w:val="28"/>
      <w:lang w:eastAsia="zh-CN"/>
    </w:rPr>
  </w:style>
  <w:style w:type="character" w:customStyle="1" w:styleId="223">
    <w:name w:val="正文01 Char"/>
    <w:basedOn w:val="130"/>
    <w:link w:val="222"/>
    <w:qFormat/>
    <w:uiPriority w:val="0"/>
    <w:rPr>
      <w:rFonts w:ascii="宋体" w:hAnsi="宋体" w:eastAsia="宋体" w:cs="Times New Roman"/>
      <w:kern w:val="2"/>
      <w:sz w:val="24"/>
      <w:szCs w:val="28"/>
    </w:rPr>
  </w:style>
  <w:style w:type="paragraph" w:customStyle="1" w:styleId="224">
    <w:name w:val="TOC Heading"/>
    <w:basedOn w:val="3"/>
    <w:next w:val="1"/>
    <w:semiHidden/>
    <w:unhideWhenUsed/>
    <w:qFormat/>
    <w:uiPriority w:val="39"/>
    <w:pPr>
      <w:spacing w:before="480" w:afterLines="0" w:line="276" w:lineRule="auto"/>
      <w:ind w:firstLine="0"/>
      <w:jc w:val="left"/>
      <w:outlineLvl w:val="9"/>
    </w:pPr>
    <w:rPr>
      <w:rFonts w:asciiTheme="majorHAnsi" w:hAnsiTheme="majorHAnsi" w:eastAsiaTheme="majorEastAsia"/>
      <w:b/>
      <w:color w:val="366091" w:themeColor="accent1" w:themeShade="BF"/>
      <w:sz w:val="28"/>
      <w:szCs w:val="28"/>
    </w:rPr>
  </w:style>
  <w:style w:type="paragraph" w:customStyle="1" w:styleId="225">
    <w:name w:val="列出段落1"/>
    <w:basedOn w:val="1"/>
    <w:qFormat/>
    <w:uiPriority w:val="34"/>
    <w:pPr>
      <w:ind w:firstLine="420" w:firstLineChars="200"/>
    </w:pPr>
  </w:style>
  <w:style w:type="character" w:customStyle="1" w:styleId="226">
    <w:name w:val="font31"/>
    <w:basedOn w:val="130"/>
    <w:qFormat/>
    <w:uiPriority w:val="0"/>
    <w:rPr>
      <w:rFonts w:hint="eastAsia" w:ascii="宋体" w:hAnsi="宋体" w:eastAsia="宋体" w:cs="宋体"/>
      <w:b/>
      <w:color w:val="000000"/>
      <w:sz w:val="22"/>
      <w:szCs w:val="22"/>
      <w:u w:val="none"/>
    </w:rPr>
  </w:style>
  <w:style w:type="paragraph" w:customStyle="1" w:styleId="227">
    <w:name w:val="WPSOffice手动目录 1"/>
    <w:qFormat/>
    <w:uiPriority w:val="0"/>
    <w:pPr>
      <w:ind w:leftChars="0"/>
    </w:pPr>
    <w:rPr>
      <w:rFonts w:ascii="Times New Roman" w:hAnsi="Times New Roman" w:eastAsia="宋体" w:cs="Times New Roman"/>
      <w:sz w:val="20"/>
      <w:szCs w:val="20"/>
    </w:rPr>
  </w:style>
  <w:style w:type="paragraph" w:customStyle="1" w:styleId="22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CoverPageProperties xmlns="http://schemas.microsoft.com/office/2006/coverPageProps">
  <PublishDate>2021-07-01T00:00:00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BF4EC577-E98B-4D8D-9FE2-0F11F660CD6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8772</Words>
  <Characters>9801</Characters>
  <Lines>89</Lines>
  <Paragraphs>25</Paragraphs>
  <TotalTime>0</TotalTime>
  <ScaleCrop>false</ScaleCrop>
  <LinksUpToDate>false</LinksUpToDate>
  <CharactersWithSpaces>9998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cp:lastModifiedBy>叶</cp:lastModifiedBy>
  <cp:lastPrinted>2021-11-03T08:00:00Z</cp:lastPrinted>
  <dcterms:modified xsi:type="dcterms:W3CDTF">2022-06-27T08:29:49Z</dcterms:modified>
  <dc:title>邵阳市神滩排涝泵站工程可行性研究报告</dc:title>
  <cp:revision>4425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C9B8B970798646B8A81DDCD78A12E1B3</vt:lpwstr>
  </property>
</Properties>
</file>