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42" w:firstLineChars="316"/>
        <w:jc w:val="center"/>
        <w:rPr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双清区汽车站街道办事处202</w:t>
      </w:r>
      <w:r>
        <w:rPr>
          <w:rFonts w:hint="eastAsia"/>
          <w:b/>
          <w:bCs/>
          <w:sz w:val="36"/>
          <w:szCs w:val="44"/>
          <w:lang w:val="en-US" w:eastAsia="zh-CN"/>
        </w:rPr>
        <w:t>2</w:t>
      </w:r>
      <w:r>
        <w:rPr>
          <w:rFonts w:hint="eastAsia"/>
          <w:b/>
          <w:bCs/>
          <w:sz w:val="36"/>
          <w:szCs w:val="44"/>
        </w:rPr>
        <w:t>年度</w:t>
      </w:r>
    </w:p>
    <w:p>
      <w:pPr>
        <w:ind w:firstLine="723" w:firstLineChars="200"/>
        <w:jc w:val="center"/>
        <w:rPr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部门整体支出绩效评价报告</w:t>
      </w:r>
    </w:p>
    <w:p>
      <w:pPr>
        <w:rPr>
          <w:b/>
          <w:sz w:val="20"/>
        </w:rPr>
      </w:pPr>
      <w:r>
        <w:rPr>
          <w:rFonts w:hint="eastAsia"/>
          <w:b/>
          <w:sz w:val="20"/>
        </w:rPr>
        <w:t>一、部门（单位）情况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（一）基本情况。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（一）贯彻执行党和国家的路线方针、政策以及市、区关于街道工作方面的指示，制订具体的管理办法并组织实施。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（二）指导、搞好辖区内村（居）委会的工作，支持、帮助村（居）民委员会加强思想、组织、制度建设，向区人民政府和有关部门及时反映村（居）民的意见、建议和要求。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（三）抓好村（社区）主化建设，开展文明街道、文明单位、文明小区建设活动，组织村（居）民开展经常性的文化、娱乐、体育活动。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（四）负责在辖区开展普法教育工作，做好民事调解，开展法律咨询、服务等工作，维护居民的合法权益，搞好辖区内社会管理综合治理工作。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（五）协助有关部门做好辖区拥军优属、优抚安置、社会救济、殡葬改革、残疾人就业等工作；积极开展便民利民的村（社区）服务和教育工作。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（六）6、会同有关部门做好辖区内常住和流动人口的计划生育工作，完成下达的各项计划生育指标任务。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（七）6、会同有关部门做好辖区内常住和流动人口的计划生育工作，完成下达的各项计划生育指标任务。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（八）协助武装部门做好辖区民兵训练和公民服兵役工作。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（九）协助武装部门做好辖区民兵训练和公民服兵役工作。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（十）负责在辖区开展普法教育工作，做好民事调解，开展法律咨询、服务等工作，维护居民的合法权益，搞好辖区内社会管理综合治理工作。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（十一）负责在辖区开展普法教育工作，做好民事调解，开展法律咨询、服务等工作，维护居民的合法权益，搞好辖区内社会管理综合治理工作。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（十二）负责本辖区的城市管理工作，发动群众开展爱国卫生运动，绿化、美化、净化城市环境，协助有关部门做好环境卫生、环境保护工作。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（十三）负责本辖区的城市管理工作，发动群众开展爱国卫生运动，绿化、美化、净化城市环境，协助有关部门做好环境卫生、环境保护工作。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（十四）负责本辖区的综合执法工作，维护辖区的良好秩序。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（十五）负责研究辖区经济发展的规划，协助有关部门抓好安全生产工作。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（十六）配合有关部门做好辖区内的三防、抢险救灾、安全生产检查、居民迁移等工作。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（十七）承办区委、区政府交办的其他工作。</w:t>
      </w:r>
    </w:p>
    <w:p>
      <w:pPr>
        <w:ind w:firstLine="361" w:firstLineChars="200"/>
        <w:rPr>
          <w:b/>
          <w:sz w:val="18"/>
        </w:rPr>
      </w:pPr>
      <w:r>
        <w:rPr>
          <w:rFonts w:hint="eastAsia"/>
          <w:b/>
          <w:sz w:val="18"/>
        </w:rPr>
        <w:t>二、机构设置及决算单位构成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  （一）内设机构设置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   邵阳市双清区汽车站街道办事处内设股室12个，分别为：党政综合办公室、财税所、基层党建办公室、经济发展办公室、城市管理办公室、公共服务办公室、公共安全办公室、街道文化综合服务中心、网格化综合服务中心、综合行政执法大队、街道政务服务中心、退役军人服务站。202</w:t>
      </w:r>
      <w:r>
        <w:rPr>
          <w:rFonts w:hint="eastAsia"/>
          <w:sz w:val="18"/>
          <w:lang w:val="en-US" w:eastAsia="zh-CN"/>
        </w:rPr>
        <w:t>2</w:t>
      </w:r>
      <w:r>
        <w:rPr>
          <w:rFonts w:hint="eastAsia"/>
          <w:sz w:val="18"/>
        </w:rPr>
        <w:t>年我单位共有编制人数</w:t>
      </w:r>
      <w:r>
        <w:rPr>
          <w:rFonts w:hint="eastAsia"/>
          <w:sz w:val="18"/>
          <w:lang w:val="en-US" w:eastAsia="zh-CN"/>
        </w:rPr>
        <w:t>67</w:t>
      </w:r>
      <w:r>
        <w:rPr>
          <w:rFonts w:hint="eastAsia"/>
          <w:sz w:val="18"/>
        </w:rPr>
        <w:t>人，年末实有在职人数</w:t>
      </w:r>
      <w:r>
        <w:rPr>
          <w:rFonts w:hint="eastAsia"/>
          <w:sz w:val="18"/>
          <w:lang w:val="en-US" w:eastAsia="zh-CN"/>
        </w:rPr>
        <w:t>64</w:t>
      </w:r>
      <w:bookmarkStart w:id="0" w:name="_GoBack"/>
      <w:bookmarkEnd w:id="0"/>
      <w:r>
        <w:rPr>
          <w:rFonts w:hint="eastAsia"/>
          <w:sz w:val="18"/>
        </w:rPr>
        <w:t>人，退休人数</w:t>
      </w:r>
      <w:r>
        <w:rPr>
          <w:rFonts w:hint="eastAsia"/>
          <w:sz w:val="18"/>
          <w:lang w:val="en-US" w:eastAsia="zh-CN"/>
        </w:rPr>
        <w:t>131</w:t>
      </w:r>
      <w:r>
        <w:rPr>
          <w:rFonts w:hint="eastAsia"/>
          <w:sz w:val="18"/>
        </w:rPr>
        <w:t>人，离休人数0人。</w:t>
      </w:r>
    </w:p>
    <w:p>
      <w:pPr>
        <w:ind w:firstLine="361" w:firstLineChars="200"/>
        <w:rPr>
          <w:sz w:val="18"/>
        </w:rPr>
      </w:pPr>
      <w:r>
        <w:rPr>
          <w:rFonts w:hint="eastAsia"/>
          <w:b/>
          <w:sz w:val="18"/>
        </w:rPr>
        <w:t>三、 部门内部控制及厉行节约制度建设情况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 xml:space="preserve">  1、高度重视预算支出绩效评价工作， 建立了机关整体支出管理方面的内控制度，并不断进行完善和修订。如：制定了《汽车站办事处财务管理办法》等办法，对招待费、公务用车等支出进行了有效管控。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2、 严格制度执行，特别是“三公”经费的预算控制。加强对公务租用车辆的管理，严格招待费用审核审批程序，“三公”经费较好地控制在预算范围之内。</w:t>
      </w:r>
    </w:p>
    <w:p>
      <w:pPr>
        <w:ind w:firstLine="361" w:firstLineChars="200"/>
        <w:rPr>
          <w:sz w:val="18"/>
        </w:rPr>
      </w:pPr>
      <w:r>
        <w:rPr>
          <w:rFonts w:hint="eastAsia"/>
          <w:b/>
          <w:sz w:val="18"/>
        </w:rPr>
        <w:t>四、内部控制部门整体支出规模及使用方向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基本支出的范围和主要用途:办事处的人员经费和日常公用经费。</w:t>
      </w:r>
    </w:p>
    <w:p>
      <w:pPr>
        <w:ind w:firstLine="361" w:firstLineChars="200"/>
        <w:rPr>
          <w:sz w:val="18"/>
        </w:rPr>
      </w:pPr>
      <w:r>
        <w:rPr>
          <w:rFonts w:hint="eastAsia"/>
          <w:b/>
          <w:sz w:val="18"/>
        </w:rPr>
        <w:t>五、收入支出预算执行情况分析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（一）收入支出预算安排情况</w:t>
      </w:r>
    </w:p>
    <w:p>
      <w:pPr>
        <w:ind w:firstLine="270" w:firstLineChars="150"/>
        <w:rPr>
          <w:rFonts w:hint="eastAsia"/>
          <w:sz w:val="18"/>
        </w:rPr>
      </w:pPr>
      <w:r>
        <w:rPr>
          <w:rFonts w:hint="eastAsia"/>
          <w:sz w:val="18"/>
        </w:rPr>
        <w:t>2022年度财政拨款支出1,734.91万元，主要用于以下方面：一般公共服务支出843.96万元，占48.66%；文化旅游体育与传媒支出8万元，占0.46%；社会保障和就业支出409.12万元，占23.58%；卫生健康支出75.34万元，占4.34%；城乡社区支出219.06万元，占12.63%；农林水支出15万元，占0.86%；住房保障支出51.26万元，占2.95%；灾害防治及应急管理支出28.16万元，占1.62%；其他支出85万元，占4.9%。202</w:t>
      </w:r>
      <w:r>
        <w:rPr>
          <w:rFonts w:hint="eastAsia"/>
          <w:sz w:val="18"/>
          <w:lang w:val="en-US" w:eastAsia="zh-CN"/>
        </w:rPr>
        <w:t>2</w:t>
      </w:r>
      <w:r>
        <w:rPr>
          <w:rFonts w:hint="eastAsia"/>
          <w:sz w:val="18"/>
        </w:rPr>
        <w:t>年收入                                                               金额单位：万元</w:t>
      </w:r>
    </w:p>
    <w:tbl>
      <w:tblPr>
        <w:tblStyle w:val="4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28"/>
        <w:gridCol w:w="1184"/>
        <w:gridCol w:w="1183"/>
        <w:gridCol w:w="1184"/>
        <w:gridCol w:w="1184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225" w:type="dxa"/>
            <w:vAlign w:val="center"/>
          </w:tcPr>
          <w:p>
            <w:pPr>
              <w:ind w:firstLine="320" w:firstLineChars="2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经费</w:t>
            </w:r>
          </w:p>
        </w:tc>
        <w:tc>
          <w:tcPr>
            <w:tcW w:w="1225" w:type="dxa"/>
            <w:vAlign w:val="center"/>
          </w:tcPr>
          <w:p>
            <w:pPr>
              <w:ind w:firstLine="320" w:firstLineChars="2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财政拨款基本收入</w:t>
            </w:r>
          </w:p>
        </w:tc>
        <w:tc>
          <w:tcPr>
            <w:tcW w:w="1225" w:type="dxa"/>
            <w:vAlign w:val="center"/>
          </w:tcPr>
          <w:p>
            <w:pPr>
              <w:ind w:firstLine="320" w:firstLineChars="2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其他收入</w:t>
            </w:r>
          </w:p>
        </w:tc>
        <w:tc>
          <w:tcPr>
            <w:tcW w:w="1225" w:type="dxa"/>
            <w:vAlign w:val="center"/>
          </w:tcPr>
          <w:p>
            <w:pPr>
              <w:ind w:firstLine="320" w:firstLineChars="2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政府性基金收入</w:t>
            </w:r>
          </w:p>
        </w:tc>
        <w:tc>
          <w:tcPr>
            <w:tcW w:w="1226" w:type="dxa"/>
            <w:vAlign w:val="center"/>
          </w:tcPr>
          <w:p>
            <w:pPr>
              <w:ind w:firstLine="320" w:firstLineChars="2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专项经费收入</w:t>
            </w:r>
          </w:p>
        </w:tc>
        <w:tc>
          <w:tcPr>
            <w:tcW w:w="1226" w:type="dxa"/>
            <w:vAlign w:val="center"/>
          </w:tcPr>
          <w:p>
            <w:pPr>
              <w:ind w:firstLine="320" w:firstLineChars="2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利息收入</w:t>
            </w:r>
          </w:p>
        </w:tc>
        <w:tc>
          <w:tcPr>
            <w:tcW w:w="1226" w:type="dxa"/>
            <w:vAlign w:val="center"/>
          </w:tcPr>
          <w:p>
            <w:pPr>
              <w:ind w:firstLine="320" w:firstLineChars="2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25" w:type="dxa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金额</w:t>
            </w:r>
          </w:p>
        </w:tc>
        <w:tc>
          <w:tcPr>
            <w:tcW w:w="1225" w:type="dxa"/>
            <w:vAlign w:val="center"/>
          </w:tcPr>
          <w:p>
            <w:pPr>
              <w:ind w:firstLine="420" w:firstLineChars="200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1408.44</w:t>
            </w:r>
          </w:p>
        </w:tc>
        <w:tc>
          <w:tcPr>
            <w:tcW w:w="1225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690.32</w:t>
            </w:r>
          </w:p>
        </w:tc>
        <w:tc>
          <w:tcPr>
            <w:tcW w:w="1225" w:type="dxa"/>
            <w:vAlign w:val="center"/>
          </w:tcPr>
          <w:p>
            <w:pPr>
              <w:ind w:firstLine="280" w:firstLineChars="200"/>
              <w:rPr>
                <w:rFonts w:hint="default" w:ascii="Tahoma" w:hAnsi="Tahoma" w:eastAsia="宋体" w:cs="Tahoma"/>
                <w:color w:val="000000"/>
                <w:sz w:val="14"/>
                <w:szCs w:val="14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ind w:firstLine="420" w:firstLineChars="200"/>
            </w:pPr>
          </w:p>
        </w:tc>
        <w:tc>
          <w:tcPr>
            <w:tcW w:w="1226" w:type="dxa"/>
            <w:vAlign w:val="center"/>
          </w:tcPr>
          <w:p>
            <w:pPr>
              <w:ind w:firstLine="420" w:firstLineChars="200"/>
            </w:pPr>
          </w:p>
        </w:tc>
        <w:tc>
          <w:tcPr>
            <w:tcW w:w="1226" w:type="dxa"/>
            <w:vAlign w:val="center"/>
          </w:tcPr>
          <w:p>
            <w:pPr>
              <w:ind w:firstLine="420" w:firstLineChars="2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2098.76</w:t>
            </w:r>
          </w:p>
        </w:tc>
      </w:tr>
    </w:tbl>
    <w:p>
      <w:pPr>
        <w:ind w:firstLine="360" w:firstLineChars="200"/>
        <w:rPr>
          <w:rFonts w:hint="eastAsia"/>
          <w:sz w:val="18"/>
        </w:rPr>
      </w:pPr>
    </w:p>
    <w:p>
      <w:pPr>
        <w:ind w:firstLine="360" w:firstLineChars="200"/>
        <w:rPr>
          <w:rFonts w:hint="eastAsia"/>
          <w:sz w:val="18"/>
        </w:rPr>
      </w:pPr>
      <w:r>
        <w:rPr>
          <w:rFonts w:hint="eastAsia"/>
          <w:sz w:val="18"/>
        </w:rPr>
        <w:t>202</w:t>
      </w:r>
      <w:r>
        <w:rPr>
          <w:rFonts w:hint="eastAsia"/>
          <w:sz w:val="18"/>
          <w:lang w:val="en-US" w:eastAsia="zh-CN"/>
        </w:rPr>
        <w:t>2</w:t>
      </w:r>
      <w:r>
        <w:rPr>
          <w:rFonts w:hint="eastAsia"/>
          <w:sz w:val="18"/>
        </w:rPr>
        <w:t>年支出                                                             金额单位：万元</w:t>
      </w:r>
    </w:p>
    <w:tbl>
      <w:tblPr>
        <w:tblStyle w:val="4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26"/>
        <w:gridCol w:w="1226"/>
        <w:gridCol w:w="1226"/>
        <w:gridCol w:w="1227"/>
        <w:gridCol w:w="1227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26" w:type="dxa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经费</w:t>
            </w:r>
          </w:p>
        </w:tc>
        <w:tc>
          <w:tcPr>
            <w:tcW w:w="122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财政拨款基本支出</w:t>
            </w:r>
          </w:p>
        </w:tc>
        <w:tc>
          <w:tcPr>
            <w:tcW w:w="1226" w:type="dxa"/>
            <w:vAlign w:val="center"/>
          </w:tcPr>
          <w:p>
            <w:r>
              <w:rPr>
                <w:rFonts w:hint="eastAsia"/>
              </w:rPr>
              <w:t>财政拨款项目支出</w:t>
            </w:r>
          </w:p>
        </w:tc>
        <w:tc>
          <w:tcPr>
            <w:tcW w:w="1226" w:type="dxa"/>
            <w:vAlign w:val="center"/>
          </w:tcPr>
          <w:p>
            <w:r>
              <w:rPr>
                <w:rFonts w:hint="eastAsia"/>
              </w:rPr>
              <w:t>基建支出</w:t>
            </w:r>
          </w:p>
        </w:tc>
        <w:tc>
          <w:tcPr>
            <w:tcW w:w="1227" w:type="dxa"/>
            <w:vAlign w:val="center"/>
          </w:tcPr>
          <w:p>
            <w:r>
              <w:rPr>
                <w:rFonts w:hint="eastAsia"/>
              </w:rPr>
              <w:t>专项支出</w:t>
            </w:r>
          </w:p>
        </w:tc>
        <w:tc>
          <w:tcPr>
            <w:tcW w:w="1227" w:type="dxa"/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>合计</w:t>
            </w:r>
          </w:p>
        </w:tc>
        <w:tc>
          <w:tcPr>
            <w:tcW w:w="1227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26" w:type="dxa"/>
          </w:tcPr>
          <w:p>
            <w:pPr>
              <w:ind w:firstLine="360" w:firstLineChars="200"/>
              <w:rPr>
                <w:sz w:val="18"/>
              </w:rPr>
            </w:pPr>
            <w:r>
              <w:rPr>
                <w:rFonts w:hint="eastAsia"/>
                <w:sz w:val="18"/>
              </w:rPr>
              <w:t>金额</w:t>
            </w:r>
          </w:p>
        </w:tc>
        <w:tc>
          <w:tcPr>
            <w:tcW w:w="1226" w:type="dxa"/>
          </w:tcPr>
          <w:p>
            <w:pPr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1786.51</w:t>
            </w:r>
          </w:p>
        </w:tc>
        <w:tc>
          <w:tcPr>
            <w:tcW w:w="1226" w:type="dxa"/>
          </w:tcPr>
          <w:p>
            <w:pPr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655.58</w:t>
            </w:r>
          </w:p>
        </w:tc>
        <w:tc>
          <w:tcPr>
            <w:tcW w:w="1226" w:type="dxa"/>
          </w:tcPr>
          <w:p>
            <w:pPr>
              <w:rPr>
                <w:sz w:val="18"/>
              </w:rPr>
            </w:pPr>
          </w:p>
        </w:tc>
        <w:tc>
          <w:tcPr>
            <w:tcW w:w="1227" w:type="dxa"/>
          </w:tcPr>
          <w:p>
            <w:pPr>
              <w:rPr>
                <w:sz w:val="18"/>
              </w:rPr>
            </w:pPr>
          </w:p>
        </w:tc>
        <w:tc>
          <w:tcPr>
            <w:tcW w:w="1227" w:type="dxa"/>
          </w:tcPr>
          <w:p>
            <w:pPr>
              <w:rPr>
                <w:sz w:val="18"/>
              </w:rPr>
            </w:pPr>
          </w:p>
        </w:tc>
        <w:tc>
          <w:tcPr>
            <w:tcW w:w="1227" w:type="dxa"/>
          </w:tcPr>
          <w:p>
            <w:pPr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2442.09</w:t>
            </w:r>
          </w:p>
        </w:tc>
      </w:tr>
    </w:tbl>
    <w:p>
      <w:pPr>
        <w:ind w:firstLine="361" w:firstLineChars="200"/>
        <w:rPr>
          <w:b/>
          <w:sz w:val="18"/>
        </w:rPr>
      </w:pPr>
      <w:r>
        <w:rPr>
          <w:rFonts w:hint="eastAsia"/>
          <w:b/>
          <w:sz w:val="18"/>
        </w:rPr>
        <w:t>六、政府性基金预算收入支出决算情况</w:t>
      </w:r>
    </w:p>
    <w:p>
      <w:pPr>
        <w:ind w:firstLine="360" w:firstLineChars="200"/>
        <w:rPr>
          <w:rFonts w:hint="eastAsia"/>
          <w:sz w:val="18"/>
        </w:rPr>
      </w:pPr>
      <w:r>
        <w:rPr>
          <w:rFonts w:hint="eastAsia"/>
          <w:sz w:val="18"/>
        </w:rPr>
        <w:t>2022年度政府性基金预算财政拨款收入5万元；年初结转和结余0万元；支出5万元，其中基本支出5万元，项目支出0万元；年末结转和结余0万元。</w:t>
      </w:r>
    </w:p>
    <w:p>
      <w:pPr>
        <w:ind w:firstLine="181" w:firstLineChars="100"/>
        <w:rPr>
          <w:b/>
          <w:sz w:val="18"/>
        </w:rPr>
      </w:pPr>
      <w:r>
        <w:rPr>
          <w:rFonts w:hint="eastAsia"/>
          <w:b/>
          <w:sz w:val="18"/>
        </w:rPr>
        <w:t>七、一般公共预算财政拨款三公经费支出决算情况说明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（一）“三公”经费财政拨款支出决算总体情况说明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2022年度“三公”经费财政拨款支出预算为1.11万元，支出决算为1.11万元，完成预算的100%，其中：</w:t>
      </w:r>
    </w:p>
    <w:p>
      <w:pPr>
        <w:ind w:firstLine="360" w:firstLineChars="200"/>
        <w:rPr>
          <w:rFonts w:hint="default"/>
          <w:sz w:val="18"/>
        </w:rPr>
      </w:pPr>
      <w:r>
        <w:rPr>
          <w:rFonts w:hint="eastAsia"/>
          <w:sz w:val="18"/>
        </w:rPr>
        <w:t>因公出国（境）费支出预算为0万元，支出决算为0万元，决算数与预算数一致，我单位严格按预算执行决算，因公出国（境）费支出与上年持平。</w:t>
      </w:r>
    </w:p>
    <w:p>
      <w:pPr>
        <w:ind w:firstLine="360" w:firstLineChars="200"/>
        <w:rPr>
          <w:rFonts w:hint="default"/>
          <w:sz w:val="18"/>
        </w:rPr>
      </w:pPr>
      <w:r>
        <w:rPr>
          <w:rFonts w:hint="eastAsia"/>
          <w:sz w:val="18"/>
        </w:rPr>
        <w:t>公务接待费支出预算为0万元，支出决算为0万元，决算数与预算数一致，我单位严格按预算执行决算，公务接待费支出与上年持平。</w:t>
      </w:r>
    </w:p>
    <w:p>
      <w:pPr>
        <w:ind w:firstLine="360" w:firstLineChars="200"/>
        <w:rPr>
          <w:rFonts w:hint="default"/>
          <w:sz w:val="18"/>
        </w:rPr>
      </w:pPr>
      <w:r>
        <w:rPr>
          <w:rFonts w:hint="eastAsia"/>
          <w:sz w:val="18"/>
        </w:rPr>
        <w:t>公务用车购置费支出预算为0万元，支出决算为0万元，决算数与预算数一致，我单位严格按预算执行决算，公务用车购置费支出与上年持平。</w:t>
      </w:r>
    </w:p>
    <w:p>
      <w:pPr>
        <w:ind w:firstLine="360" w:firstLineChars="200"/>
        <w:rPr>
          <w:rFonts w:hint="default"/>
          <w:sz w:val="18"/>
        </w:rPr>
      </w:pPr>
      <w:r>
        <w:rPr>
          <w:rFonts w:hint="eastAsia"/>
          <w:sz w:val="18"/>
        </w:rPr>
        <w:t>公务用车运行维护费支出预算为1.11万元，支出决算为1.11万元，决算数与预算数一致，我单位严格按预算执行决算，与上年相比增加0.11万元，增长11%，增长的主要原因是实际工作需要增加。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（二）“三公”经费财政拨款支出决算具体情况说明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2022年度“三公”经费财政拨款支出决算中，公务接待费支出决算0万元，因公出国（境）费支出决算0万元，公务用车购置费及运行维护费支出决算1.11万元，占100%。其中：</w:t>
      </w:r>
    </w:p>
    <w:p>
      <w:pPr>
        <w:ind w:firstLine="360" w:firstLineChars="200"/>
        <w:rPr>
          <w:rFonts w:hint="default"/>
          <w:sz w:val="18"/>
        </w:rPr>
      </w:pPr>
      <w:r>
        <w:rPr>
          <w:rFonts w:hint="eastAsia"/>
          <w:sz w:val="18"/>
        </w:rPr>
        <w:t>1、因公出国（境）费支出决算为0万元，全年安排因公出国（境）团组0个，累计0人次，我单位2022年度无因公出国（境）费支出。</w:t>
      </w:r>
    </w:p>
    <w:p>
      <w:pPr>
        <w:ind w:firstLine="360" w:firstLineChars="200"/>
        <w:rPr>
          <w:rFonts w:hint="default"/>
          <w:sz w:val="18"/>
        </w:rPr>
      </w:pPr>
      <w:r>
        <w:rPr>
          <w:rFonts w:hint="eastAsia"/>
          <w:sz w:val="18"/>
        </w:rPr>
        <w:t>2、公务接待费支出决算为0万元，全年共接待来访团组0个、来宾0人次，我单位2022年度无公务接待费支出。</w:t>
      </w:r>
    </w:p>
    <w:p>
      <w:pPr>
        <w:ind w:firstLine="360" w:firstLineChars="200"/>
        <w:rPr>
          <w:rFonts w:hint="default"/>
          <w:sz w:val="18"/>
        </w:rPr>
      </w:pPr>
      <w:r>
        <w:rPr>
          <w:rFonts w:hint="eastAsia"/>
          <w:sz w:val="18"/>
        </w:rPr>
        <w:t>3、公务用车购置费及运行维护费支出决算为1.11万元，其中：公务用车购置费0万元，邵阳市双清区汽车站街道办事处更新公务用车0辆。公务用车运行维护费1.11万元，主要是工作支出，截至2022年12月31日，我单位开支财政拨款的公务用车保有量为1辆。</w:t>
      </w:r>
    </w:p>
    <w:p>
      <w:pPr>
        <w:ind w:firstLine="181" w:firstLineChars="100"/>
        <w:rPr>
          <w:b/>
          <w:sz w:val="18"/>
        </w:rPr>
      </w:pPr>
      <w:r>
        <w:rPr>
          <w:rFonts w:hint="eastAsia"/>
          <w:b/>
          <w:sz w:val="18"/>
        </w:rPr>
        <w:t>八、</w:t>
      </w:r>
      <w:r>
        <w:rPr>
          <w:b/>
          <w:sz w:val="18"/>
        </w:rPr>
        <w:t>评价结论及自评得分情况</w:t>
      </w:r>
    </w:p>
    <w:p>
      <w:pPr>
        <w:ind w:firstLine="420" w:firstLineChars="200"/>
      </w:pPr>
      <w:r>
        <w:t>整体绩效评价总分100分，自评得分95.40分。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（一）预算编制总分30分，自评得分29.87分。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1.“目标填报”总分4分，自评得分4分。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2.“目标完整具体”总分8分，自评得分8分。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3.“目标量化”总分8分，自评得分8分。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4.“预算编制准确性”总分5分，自评得分4.87分。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改进措施：加强沟通，仔细筹划，争取将预算工作做得更细更准。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5.“项目分类”总分3分，自评得分3分。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6.“预算编制报送时效和质量”总分2分，自评得分2分。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（二）预算管理总分55分，自评得分50.77分。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1.“预算调整”总分2分，自评得分1.91分。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改进措施：做好工作统筹，加强工作的计划性，减少预算调整事项。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2.“结余结转”总分2分，自评得分1.88分。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改进措施：提前做好工作开展的各项准备，资金到位后迅速展开工作，避免工作跨年。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3.“部门总体执行进度”总分7分，自评得分7分。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4.“政府采购预算执行”总分2分，自评得分1.98分。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5.“三公经费控制”总分2分，自评得分2分。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6.“管理制度健全性”总分2分，自评得分2分。</w:t>
      </w:r>
    </w:p>
    <w:p>
      <w:pPr>
        <w:ind w:firstLine="360" w:firstLineChars="200"/>
        <w:rPr>
          <w:sz w:val="18"/>
        </w:rPr>
      </w:pPr>
      <w:r>
        <w:rPr>
          <w:sz w:val="18"/>
        </w:rPr>
        <w:t>7.“资金使用合规性”总分3分，自评得分3分。</w:t>
      </w:r>
    </w:p>
    <w:p>
      <w:pPr>
        <w:ind w:firstLine="360" w:firstLineChars="200"/>
        <w:rPr>
          <w:sz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YjUzZDYzZmZlZDM4OWY2NTA4NmI4ZDJiOWNjYTkifQ=="/>
  </w:docVars>
  <w:rsids>
    <w:rsidRoot w:val="00AF5491"/>
    <w:rsid w:val="004E1F94"/>
    <w:rsid w:val="00AD0225"/>
    <w:rsid w:val="00AF5491"/>
    <w:rsid w:val="0DB02729"/>
    <w:rsid w:val="245A7921"/>
    <w:rsid w:val="289364C7"/>
    <w:rsid w:val="4C487B00"/>
    <w:rsid w:val="6E3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rPr>
      <w:sz w:val="24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1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peoplefilling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2747</Words>
  <Characters>2982</Characters>
  <Lines>23</Lines>
  <Paragraphs>6</Paragraphs>
  <TotalTime>67</TotalTime>
  <ScaleCrop>false</ScaleCrop>
  <LinksUpToDate>false</LinksUpToDate>
  <CharactersWithSpaces>3116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2022-11-18T02:06:00Z</dcterms:created>
  <dc:creator>Administrator</dc:creator>
  <cp:lastModifiedBy>Administrator</cp:lastModifiedBy>
  <dcterms:modified xsi:type="dcterms:W3CDTF">2023-09-18T03:12:18Z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BB23061BA5B642B5BD0551CE2F06FED7</vt:lpwstr>
  </property>
</Properties>
</file>