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color w:val="333333"/>
        </w:rPr>
      </w:pPr>
      <w:r>
        <w:rPr>
          <w:rFonts w:hint="eastAsia" w:ascii="黑体" w:hAnsi="黑体" w:eastAsia="黑体" w:cs="Times New Roman"/>
          <w:color w:val="333333"/>
          <w:sz w:val="32"/>
          <w:szCs w:val="32"/>
        </w:rPr>
        <w:t>部门整体支出绩效情况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b/>
          <w:bCs/>
          <w:color w:val="333333"/>
          <w:sz w:val="32"/>
          <w:szCs w:val="32"/>
        </w:rPr>
        <w:t>（一）经济效益评价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1、202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年全年单位的日常性工作开支按预算执行，有效发挥了财政资金的使用效率。其中：公务接待费0万元，培训费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0.03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万元，我局人员经费支出公共支出严格执行政府的各项制度，严格落实厉行节约的原则全部控制在厉行节约指标数内。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2、资产管理方面，建立了资产管理制度，定期进行了盘点和资产清理，总体执行较好。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b/>
          <w:bCs/>
          <w:color w:val="333333"/>
          <w:sz w:val="32"/>
          <w:szCs w:val="32"/>
        </w:rPr>
        <w:t>（二）部门整体支出绩效情况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20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，基本完成市、区绩效评估指标任务，全年无因信访问题处置不当、引发规模集访和恶性事件的发生等情况；无因信访工作责任落实不力，被国家、省、市通报批评的情况；无中央、省、市交（督）办件到期未办结的情况；无对规模集访，迟报、误报、漏报、瞒报信息等的情况。主要从以下几个方面开展了工作：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1．开展矛盾纠纷排查，做好群众的日常接待工作，圆满完成各类特护期的信访维稳劝返工作。坚持领导轮流带班接访制度，实行信访矛盾排查化解机制，建立重点对象台账，按“五包一”责任层层落实包保责任；全力做好群众到区到市、赴省、进京的接待、调度和劝返等工作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2.夯实基层基础，建立完善“以村为主”的群众信访工作机制。进一步压实乡镇（街道）、村（社区）信访第一道“防线”责任，全区72个村（社区）按照“一村一信访员、一村一调解委员会、一村一群众来访接待中心”完善信访平台建设。建立完善乡（镇、街道）、村（社区）领导班子接访下访、矛盾纠纷排查化解、信访事项代理代办、情报信息预警等长效工作机制，做到“小矛盾不出社区，大矛盾不出街道”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3.加强业务培训，规范网上信访办理流程。202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，双清区信访局对11个乡镇街道和34个区直部门开展过信访业务培训，主要学习《湖南省信访条例》、《信访事项网上办理工作规程（试行）》、《依法分类处理信访诉求工作规则》等业务知识，进一步规范信访业务办理流程，提升业务能力和工作水平。202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年，所有的上级交办件均按要求办结，信访件的及时受理率、按期办结率、群众满意率均达到100%，网信占比率达到了全市平均水平。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4.打造“互联网+信访”工作模式。202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，完成“一网一微”网络信息化建设。湖南省信访信息系统联通运行顺畅，双清信访微信公众号全面开通，群众可以通过微信平台反映诉求、跟踪查询、解决问题等。同时，双清区信访局牵头建成区、乡两级远程视频会议系统，实现上级会议可接收、下级会议能传达、领导坐班可督查等目标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5.大力开展越级访重复访专项整治。202</w:t>
      </w:r>
      <w:r>
        <w:rPr>
          <w:rFonts w:hint="eastAsia" w:ascii="仿宋" w:hAnsi="仿宋" w:eastAsia="仿宋" w:cs="Times New Roman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年上半年，双清区进京越级访、越级重复访总量较大，形势严峻。结合工作实际，双清区通过推行“最多访一次”、领导接访下访、包案化解、“一月一通报”和依法打击等工作措施，严格按照习近平总书记关于“三到位一处理”原则，全力调处化解信访矛盾。通过半年的专项整治行动，群众到非接待场所上访实现“零登记”，全区群众进京越级访、越级重复访总量较上半年显著下降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五、存在的问题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bookmarkStart w:id="0" w:name="_GoBack"/>
      <w:r>
        <w:rPr>
          <w:rFonts w:hint="eastAsia" w:ascii="仿宋" w:hAnsi="仿宋" w:eastAsia="仿宋" w:cs="Times New Roman"/>
          <w:color w:val="333333"/>
          <w:sz w:val="32"/>
          <w:szCs w:val="32"/>
        </w:rPr>
        <w:t>预算编制工作有待细化，预算调整过大，资金预算额不够准确。</w:t>
      </w:r>
    </w:p>
    <w:bookmarkEnd w:id="0"/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六、有关建议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</w:rPr>
        <w:t>针对上述存在的问题及我局整体支出管理工作的需要，拟实施的改进措施如下：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b/>
          <w:bCs/>
          <w:color w:val="333333"/>
          <w:sz w:val="32"/>
          <w:szCs w:val="32"/>
        </w:rPr>
        <w:t>1、科学合理编制预算，严格执行预算。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建议按照《预算法》及其实施条例的相关规定，参考上一年的预算执行情况和年度的收支预测科学编制预算，避免年中大幅追加以及超预算。在预算执行中，严格按照预算科目支出，避免预算科目间的预算资金调剂，确需调剂的，按规定程序报经批准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b/>
          <w:bCs/>
          <w:color w:val="333333"/>
          <w:sz w:val="32"/>
          <w:szCs w:val="32"/>
        </w:rPr>
        <w:t>2、规范账务处理，提高财务信息质量。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严格按照《会计法》、《行政单位会计制度》、《行政单位财务规则》等规定，结合实际情况，科学设置支出科目，规范财务核算，完整披露相关信息。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rPr>
          <w:rFonts w:ascii="Times New Roman" w:hAnsi="Times New Roman" w:cs="Times New Roman"/>
          <w:color w:val="333333"/>
        </w:rPr>
      </w:pPr>
      <w:r>
        <w:rPr>
          <w:rFonts w:hint="eastAsia" w:ascii="仿宋" w:hAnsi="仿宋" w:eastAsia="仿宋" w:cs="Times New Roman"/>
          <w:b/>
          <w:bCs/>
          <w:color w:val="333333"/>
          <w:sz w:val="32"/>
          <w:szCs w:val="32"/>
        </w:rPr>
        <w:t>3、持续抓好“三公”经费控制管理。</w:t>
      </w:r>
      <w:r>
        <w:rPr>
          <w:rFonts w:hint="eastAsia" w:ascii="仿宋" w:hAnsi="仿宋" w:eastAsia="仿宋" w:cs="Times New Roman"/>
          <w:color w:val="333333"/>
          <w:sz w:val="32"/>
          <w:szCs w:val="32"/>
        </w:rPr>
        <w:t>严格控制“三公”经费的规模和比例，把关“三公”经费支出的审核、审批，杜绝挪用和挤占其他预算资金行为；进一步细化“三公”经费的管理，合理压缩“三公”经费支出。 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FAED0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1351</Characters>
  <Lines>11</Lines>
  <Paragraphs>3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2022-06-30T17:47:00Z</dcterms:created>
  <dc:creator>webUser</dc:creator>
  <cp:lastModifiedBy>kylin</cp:lastModifiedBy>
  <dcterms:modified xsi:type="dcterms:W3CDTF">2023-09-19T16:41:51Z</dcterms:modified>
  <dc:title>部门整体支出绩效情况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