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sz w:val="44"/>
          <w:szCs w:val="44"/>
          <w:highlight w:val="none"/>
          <w:lang w:eastAsia="zh-CN"/>
        </w:rPr>
      </w:pPr>
      <w:r>
        <w:rPr>
          <w:rFonts w:hint="eastAsia" w:ascii="宋体" w:hAnsi="宋体" w:eastAsia="宋体" w:cs="宋体"/>
          <w:b/>
          <w:bCs/>
          <w:sz w:val="44"/>
          <w:szCs w:val="44"/>
          <w:highlight w:val="none"/>
          <w:lang w:eastAsia="zh-CN"/>
        </w:rPr>
        <w:t xml:space="preserve"> </w:t>
      </w:r>
      <w:bookmarkStart w:id="0" w:name="_GoBack"/>
      <w:r>
        <w:rPr>
          <w:rFonts w:hint="eastAsia" w:ascii="宋体" w:hAnsi="宋体" w:cs="宋体"/>
          <w:b/>
          <w:bCs/>
          <w:sz w:val="44"/>
          <w:szCs w:val="44"/>
          <w:highlight w:val="none"/>
          <w:lang w:eastAsia="zh-CN"/>
        </w:rPr>
        <w:t>邵阳市双清区专项债券永庆街片区棚户区改造项目绩效目标设定情况</w:t>
      </w:r>
      <w:bookmarkEnd w:id="0"/>
    </w:p>
    <w:p>
      <w:pPr>
        <w:keepNext w:val="0"/>
        <w:keepLines w:val="0"/>
        <w:pageBreakBefore w:val="0"/>
        <w:kinsoku/>
        <w:wordWrap/>
        <w:overflowPunct/>
        <w:topLinePunct w:val="0"/>
        <w:autoSpaceDE/>
        <w:autoSpaceDN/>
        <w:bidi w:val="0"/>
        <w:adjustRightInd w:val="0"/>
        <w:snapToGrid w:val="0"/>
        <w:spacing w:before="313" w:beforeLines="100" w:line="360" w:lineRule="auto"/>
        <w:ind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为贯彻落实中央关于全面实施预算绩效管理的决策部署，加强政府专项债券项目资金管理，提高专项债券资金使用效益，有效防范政府债务风险，按照</w:t>
      </w:r>
      <w:r>
        <w:rPr>
          <w:rFonts w:eastAsia="仿宋_GB2312"/>
          <w:sz w:val="32"/>
          <w:szCs w:val="32"/>
        </w:rPr>
        <w:t>《地方政府专项债务预算管理办法》（财预〔2016〕155号）、《地方政府专项债券项目资金绩效管理办法》（财预〔2021〕61 号）</w:t>
      </w:r>
      <w:r>
        <w:rPr>
          <w:rFonts w:hint="eastAsia" w:eastAsia="仿宋_GB2312"/>
          <w:sz w:val="32"/>
          <w:szCs w:val="32"/>
          <w:lang w:eastAsia="zh-CN"/>
        </w:rPr>
        <w:t>、</w:t>
      </w:r>
      <w:r>
        <w:rPr>
          <w:rFonts w:eastAsia="仿宋_GB2312"/>
          <w:sz w:val="32"/>
          <w:szCs w:val="32"/>
        </w:rPr>
        <w:t>《湖南省政府债务项目绩效管理暂行办法》（湘财绩〔2020〕12号）</w:t>
      </w:r>
      <w:r>
        <w:rPr>
          <w:rFonts w:hint="eastAsia" w:eastAsia="仿宋_GB2312"/>
          <w:sz w:val="32"/>
          <w:szCs w:val="32"/>
          <w:lang w:eastAsia="zh-CN"/>
        </w:rPr>
        <w:t>和《湖南省财政厅关于开展</w:t>
      </w:r>
      <w:r>
        <w:rPr>
          <w:rFonts w:hint="eastAsia" w:eastAsia="仿宋_GB2312"/>
          <w:sz w:val="32"/>
          <w:szCs w:val="32"/>
          <w:lang w:val="en-US" w:eastAsia="zh-CN"/>
        </w:rPr>
        <w:t>2018-2020年度市县政府专项债券项目资金绩效评价的通知</w:t>
      </w:r>
      <w:r>
        <w:rPr>
          <w:rFonts w:hint="eastAsia" w:eastAsia="仿宋_GB2312"/>
          <w:sz w:val="32"/>
          <w:szCs w:val="32"/>
          <w:lang w:eastAsia="zh-CN"/>
        </w:rPr>
        <w:t>》文件</w:t>
      </w:r>
      <w:r>
        <w:rPr>
          <w:rFonts w:hint="eastAsia" w:ascii="Times New Roman" w:hAnsi="Times New Roman" w:eastAsia="仿宋_GB2312" w:cs="Times New Roman"/>
          <w:sz w:val="32"/>
          <w:szCs w:val="32"/>
          <w:highlight w:val="none"/>
          <w:lang w:eastAsia="zh-CN"/>
        </w:rPr>
        <w:t>要求，现将</w:t>
      </w:r>
      <w:r>
        <w:rPr>
          <w:rFonts w:hint="eastAsia" w:eastAsia="仿宋_GB2312" w:cs="Times New Roman"/>
          <w:sz w:val="32"/>
          <w:szCs w:val="32"/>
          <w:highlight w:val="none"/>
          <w:lang w:eastAsia="zh-CN"/>
        </w:rPr>
        <w:t>该项目</w:t>
      </w:r>
      <w:r>
        <w:rPr>
          <w:rFonts w:hint="eastAsia" w:ascii="Times New Roman" w:hAnsi="Times New Roman" w:eastAsia="仿宋_GB2312" w:cs="Times New Roman"/>
          <w:sz w:val="32"/>
          <w:szCs w:val="32"/>
          <w:highlight w:val="none"/>
          <w:lang w:eastAsia="zh-CN"/>
        </w:rPr>
        <w:t>绩效</w:t>
      </w:r>
      <w:r>
        <w:rPr>
          <w:rFonts w:hint="eastAsia" w:eastAsia="仿宋_GB2312" w:cs="Times New Roman"/>
          <w:sz w:val="32"/>
          <w:szCs w:val="32"/>
          <w:highlight w:val="none"/>
          <w:lang w:eastAsia="zh-CN"/>
        </w:rPr>
        <w:t>目标设定</w:t>
      </w:r>
      <w:r>
        <w:rPr>
          <w:rFonts w:hint="eastAsia" w:ascii="Times New Roman" w:hAnsi="Times New Roman" w:eastAsia="仿宋_GB2312" w:cs="Times New Roman"/>
          <w:sz w:val="32"/>
          <w:szCs w:val="32"/>
          <w:highlight w:val="none"/>
          <w:lang w:eastAsia="zh-CN"/>
        </w:rPr>
        <w:t>情况</w:t>
      </w:r>
      <w:r>
        <w:rPr>
          <w:rFonts w:hint="eastAsia" w:eastAsia="仿宋_GB2312" w:cs="Times New Roman"/>
          <w:sz w:val="32"/>
          <w:szCs w:val="32"/>
          <w:highlight w:val="none"/>
          <w:lang w:eastAsia="zh-CN"/>
        </w:rPr>
        <w:t>公开</w:t>
      </w:r>
      <w:r>
        <w:rPr>
          <w:rFonts w:hint="eastAsia" w:ascii="Times New Roman" w:hAnsi="Times New Roman" w:eastAsia="仿宋_GB2312" w:cs="Times New Roman"/>
          <w:sz w:val="32"/>
          <w:szCs w:val="32"/>
          <w:highlight w:val="none"/>
          <w:lang w:eastAsia="zh-CN"/>
        </w:rPr>
        <w:t>如下</w:t>
      </w:r>
      <w:r>
        <w:rPr>
          <w:rFonts w:hint="eastAsia"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bCs/>
          <w:sz w:val="36"/>
          <w:szCs w:val="32"/>
          <w:lang w:val="en-US" w:eastAsia="zh-CN"/>
        </w:rPr>
      </w:pPr>
    </w:p>
    <w:p>
      <w:pPr>
        <w:keepNext w:val="0"/>
        <w:keepLines w:val="0"/>
        <w:pageBreakBefore w:val="0"/>
        <w:widowControl w:val="0"/>
        <w:kinsoku/>
        <w:wordWrap/>
        <w:overflowPunct/>
        <w:topLinePunct w:val="0"/>
        <w:autoSpaceDE/>
        <w:autoSpaceDN/>
        <w:bidi w:val="0"/>
        <w:spacing w:line="360" w:lineRule="auto"/>
        <w:jc w:val="center"/>
        <w:rPr>
          <w:rFonts w:hint="eastAsia" w:eastAsia="方正小标宋_GBK"/>
          <w:color w:val="000000"/>
          <w:sz w:val="36"/>
          <w:szCs w:val="20"/>
          <w:lang w:eastAsia="zh-CN"/>
        </w:rPr>
      </w:pPr>
      <w:r>
        <w:rPr>
          <w:rFonts w:hint="eastAsia" w:eastAsia="方正小标宋_GBK"/>
          <w:bCs/>
          <w:sz w:val="36"/>
          <w:szCs w:val="32"/>
          <w:lang w:val="en-US" w:eastAsia="zh-CN"/>
        </w:rPr>
        <w:t>邵阳市双清区永庆街片区棚户区改造项目绩效目标设定情况</w:t>
      </w:r>
      <w:r>
        <w:rPr>
          <w:rFonts w:hint="eastAsia" w:eastAsia="方正小标宋_GBK"/>
          <w:bCs/>
          <w:sz w:val="36"/>
          <w:szCs w:val="32"/>
          <w:lang w:eastAsia="zh-CN"/>
        </w:rPr>
        <w:t>表</w:t>
      </w:r>
    </w:p>
    <w:tbl>
      <w:tblPr>
        <w:tblStyle w:val="9"/>
        <w:tblW w:w="14287" w:type="dxa"/>
        <w:jc w:val="center"/>
        <w:tblLayout w:type="fixed"/>
        <w:tblCellMar>
          <w:top w:w="0" w:type="dxa"/>
          <w:left w:w="108" w:type="dxa"/>
          <w:bottom w:w="0" w:type="dxa"/>
          <w:right w:w="108" w:type="dxa"/>
        </w:tblCellMar>
      </w:tblPr>
      <w:tblGrid>
        <w:gridCol w:w="722"/>
        <w:gridCol w:w="778"/>
        <w:gridCol w:w="914"/>
        <w:gridCol w:w="710"/>
        <w:gridCol w:w="3349"/>
        <w:gridCol w:w="5749"/>
        <w:gridCol w:w="2065"/>
      </w:tblGrid>
      <w:tr>
        <w:tblPrEx>
          <w:tblCellMar>
            <w:top w:w="0" w:type="dxa"/>
            <w:left w:w="108" w:type="dxa"/>
            <w:bottom w:w="0" w:type="dxa"/>
            <w:right w:w="108" w:type="dxa"/>
          </w:tblCellMar>
        </w:tblPrEx>
        <w:trPr>
          <w:trHeight w:val="671" w:hRule="atLeast"/>
          <w:tblHeader/>
          <w:jc w:val="center"/>
        </w:trPr>
        <w:tc>
          <w:tcPr>
            <w:tcW w:w="72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一级指标</w:t>
            </w:r>
          </w:p>
        </w:tc>
        <w:tc>
          <w:tcPr>
            <w:tcW w:w="7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二级指标</w:t>
            </w:r>
          </w:p>
        </w:tc>
        <w:tc>
          <w:tcPr>
            <w:tcW w:w="914"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三级</w:t>
            </w:r>
            <w:r>
              <w:rPr>
                <w:rFonts w:hint="eastAsia" w:eastAsia="仿宋_GB2312"/>
                <w:b/>
                <w:color w:val="000000"/>
                <w:kern w:val="0"/>
                <w:szCs w:val="21"/>
                <w:lang w:val="en-US" w:eastAsia="zh-CN"/>
              </w:rPr>
              <w:t xml:space="preserve"> </w:t>
            </w:r>
            <w:r>
              <w:rPr>
                <w:rFonts w:eastAsia="仿宋_GB2312"/>
                <w:b/>
                <w:color w:val="000000"/>
                <w:kern w:val="0"/>
                <w:szCs w:val="21"/>
              </w:rPr>
              <w:t>指标</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hint="eastAsia" w:eastAsia="仿宋_GB2312"/>
                <w:b/>
                <w:color w:val="000000"/>
                <w:kern w:val="0"/>
                <w:szCs w:val="21"/>
                <w:lang w:eastAsia="zh-CN"/>
              </w:rPr>
            </w:pPr>
            <w:r>
              <w:rPr>
                <w:rFonts w:hint="eastAsia" w:eastAsia="仿宋_GB2312"/>
                <w:b/>
                <w:color w:val="000000"/>
                <w:kern w:val="0"/>
                <w:szCs w:val="21"/>
                <w:lang w:eastAsia="zh-CN"/>
              </w:rPr>
              <w:t>分值</w:t>
            </w:r>
          </w:p>
        </w:tc>
        <w:tc>
          <w:tcPr>
            <w:tcW w:w="3349" w:type="dxa"/>
            <w:tcBorders>
              <w:top w:val="single" w:color="auto" w:sz="4" w:space="0"/>
              <w:left w:val="nil"/>
              <w:bottom w:val="single" w:color="auto" w:sz="4" w:space="0"/>
              <w:right w:val="single" w:color="auto"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指标解释</w:t>
            </w:r>
          </w:p>
        </w:tc>
        <w:tc>
          <w:tcPr>
            <w:tcW w:w="5749" w:type="dxa"/>
            <w:tcBorders>
              <w:top w:val="single" w:color="auto" w:sz="4" w:space="0"/>
              <w:left w:val="single" w:color="auto" w:sz="4" w:space="0"/>
              <w:bottom w:val="single" w:color="auto" w:sz="4" w:space="0"/>
              <w:right w:val="single" w:color="000000" w:sz="4" w:space="0"/>
            </w:tcBorders>
            <w:noWrap/>
            <w:vAlign w:val="center"/>
          </w:tcPr>
          <w:p>
            <w:pPr>
              <w:widowControl/>
              <w:jc w:val="center"/>
              <w:rPr>
                <w:rFonts w:eastAsia="仿宋_GB2312"/>
                <w:b/>
                <w:color w:val="000000"/>
                <w:kern w:val="0"/>
                <w:szCs w:val="21"/>
              </w:rPr>
            </w:pPr>
            <w:r>
              <w:rPr>
                <w:rFonts w:eastAsia="仿宋_GB2312"/>
                <w:b/>
                <w:color w:val="000000"/>
                <w:kern w:val="0"/>
                <w:szCs w:val="21"/>
              </w:rPr>
              <w:t>指标说明</w:t>
            </w:r>
          </w:p>
        </w:tc>
        <w:tc>
          <w:tcPr>
            <w:tcW w:w="2065" w:type="dxa"/>
            <w:tcBorders>
              <w:top w:val="single" w:color="auto" w:sz="4" w:space="0"/>
              <w:left w:val="single" w:color="auto" w:sz="4" w:space="0"/>
              <w:bottom w:val="single" w:color="auto" w:sz="4" w:space="0"/>
              <w:right w:val="single" w:color="000000" w:sz="4" w:space="0"/>
            </w:tcBorders>
            <w:noWrap/>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b/>
                <w:color w:val="000000"/>
                <w:kern w:val="0"/>
                <w:szCs w:val="21"/>
                <w:lang w:eastAsia="zh-CN"/>
              </w:rPr>
            </w:pPr>
            <w:r>
              <w:rPr>
                <w:rFonts w:hint="eastAsia" w:eastAsia="仿宋_GB2312"/>
                <w:b/>
                <w:color w:val="000000"/>
                <w:kern w:val="0"/>
                <w:szCs w:val="21"/>
                <w:lang w:eastAsia="zh-CN"/>
              </w:rPr>
              <w:t>说明</w:t>
            </w:r>
          </w:p>
        </w:tc>
      </w:tr>
      <w:tr>
        <w:tblPrEx>
          <w:tblCellMar>
            <w:top w:w="0" w:type="dxa"/>
            <w:left w:w="108" w:type="dxa"/>
            <w:bottom w:w="0" w:type="dxa"/>
            <w:right w:w="108" w:type="dxa"/>
          </w:tblCellMar>
        </w:tblPrEx>
        <w:trPr>
          <w:trHeight w:val="454" w:hRule="atLeast"/>
          <w:jc w:val="center"/>
        </w:trPr>
        <w:tc>
          <w:tcPr>
            <w:tcW w:w="722"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决策</w:t>
            </w:r>
          </w:p>
        </w:tc>
        <w:tc>
          <w:tcPr>
            <w:tcW w:w="778" w:type="dxa"/>
            <w:vMerge w:val="restart"/>
            <w:tcBorders>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项目决策过程</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依据</w:t>
            </w:r>
          </w:p>
          <w:p>
            <w:pPr>
              <w:widowControl/>
              <w:jc w:val="center"/>
              <w:rPr>
                <w:rFonts w:eastAsia="仿宋_GB2312"/>
                <w:color w:val="000000"/>
                <w:kern w:val="0"/>
                <w:szCs w:val="21"/>
              </w:rPr>
            </w:pPr>
            <w:r>
              <w:rPr>
                <w:rFonts w:eastAsia="仿宋_GB2312"/>
                <w:color w:val="000000"/>
                <w:kern w:val="0"/>
                <w:szCs w:val="21"/>
              </w:rPr>
              <w:t>充分性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项目立项是否符合法律法规、相关政策；是否符合专项债券支持领域和方向等，用以反映和考核项目立项依据情况。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 xml:space="preserve">项目立项是否符合国家法律法规、行业发展政策、省委省政府决策部署； </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项目是否与部门职责范围相符，属于部门履职所需；</w:t>
            </w:r>
          </w:p>
          <w:p>
            <w:pPr>
              <w:widowControl/>
              <w:jc w:val="left"/>
              <w:rPr>
                <w:rFonts w:hint="default" w:eastAsia="仿宋_GB2312"/>
                <w:color w:val="000000"/>
                <w:kern w:val="0"/>
                <w:szCs w:val="21"/>
                <w:lang w:val="en-US" w:eastAsia="zh-CN"/>
              </w:rPr>
            </w:pPr>
            <w:r>
              <w:rPr>
                <w:rFonts w:hint="eastAsia" w:ascii="宋体" w:hAnsi="宋体" w:cs="宋体"/>
                <w:szCs w:val="21"/>
              </w:rPr>
              <w:t>③</w:t>
            </w:r>
            <w:r>
              <w:rPr>
                <w:rFonts w:eastAsia="仿宋_GB2312"/>
                <w:szCs w:val="21"/>
              </w:rPr>
              <w:t>项目是否与相关部门同类预算支出或部门内部相关预算支出重复</w:t>
            </w:r>
            <w:r>
              <w:rPr>
                <w:rFonts w:eastAsia="仿宋_GB2312"/>
                <w:color w:val="000000"/>
                <w:kern w:val="0"/>
                <w:szCs w:val="21"/>
              </w:rPr>
              <w:t>；</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立项</w:t>
            </w:r>
            <w:r>
              <w:rPr>
                <w:rFonts w:hint="eastAsia" w:eastAsia="仿宋_GB2312"/>
                <w:color w:val="000000"/>
                <w:kern w:val="0"/>
                <w:szCs w:val="21"/>
                <w:lang w:val="en-US" w:eastAsia="zh-CN"/>
              </w:rPr>
              <w:t xml:space="preserve"> </w:t>
            </w:r>
            <w:r>
              <w:rPr>
                <w:rFonts w:eastAsia="仿宋_GB2312"/>
                <w:color w:val="000000"/>
                <w:kern w:val="0"/>
                <w:szCs w:val="21"/>
              </w:rPr>
              <w:t>程序</w:t>
            </w:r>
          </w:p>
          <w:p>
            <w:pPr>
              <w:widowControl/>
              <w:jc w:val="center"/>
              <w:rPr>
                <w:rFonts w:eastAsia="仿宋_GB2312"/>
                <w:color w:val="000000"/>
                <w:kern w:val="0"/>
                <w:szCs w:val="21"/>
              </w:rPr>
            </w:pPr>
            <w:r>
              <w:rPr>
                <w:rFonts w:eastAsia="仿宋_GB2312"/>
                <w:color w:val="000000"/>
                <w:kern w:val="0"/>
                <w:szCs w:val="21"/>
              </w:rPr>
              <w:t>规范性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项目申请、设立过程是否符合相关规定和要求，用以反映和考核项目立项的规范情况。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项目是否按规定完成勘察、设计、用地、环评、开工许可等前期批复程序；</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项目审批文件、手续是否符合相关要求；</w:t>
            </w:r>
          </w:p>
          <w:p>
            <w:pPr>
              <w:widowControl/>
              <w:jc w:val="left"/>
              <w:rPr>
                <w:rFonts w:eastAsia="仿宋_GB2312"/>
                <w:color w:val="000000"/>
                <w:kern w:val="0"/>
                <w:szCs w:val="21"/>
              </w:rPr>
            </w:pPr>
            <w:r>
              <w:rPr>
                <w:rFonts w:hint="eastAsia" w:ascii="宋体" w:hAnsi="宋体" w:cs="宋体"/>
                <w:szCs w:val="21"/>
              </w:rPr>
              <w:t>③</w:t>
            </w:r>
            <w:r>
              <w:rPr>
                <w:rFonts w:eastAsia="仿宋_GB2312"/>
                <w:szCs w:val="21"/>
              </w:rPr>
              <w:t>事前是否已经过必要的可行性研究、专家论证、风险评估、绩效评估、集体决策</w:t>
            </w:r>
            <w:r>
              <w:rPr>
                <w:rFonts w:eastAsia="仿宋_GB2312"/>
                <w:color w:val="000000"/>
                <w:kern w:val="0"/>
                <w:szCs w:val="21"/>
              </w:rPr>
              <w:t>。</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符合性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项目是否符合专项债券支持领域和方向，项目“一案两书”编制情况，用于反映项目是否符合专项债券发行条件。</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是否属于有一定收益的公益性项目；</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项目是否属于专项债券项目负面清单的范围；</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项目“一案两书”编制情况。</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绩效目标</w:t>
            </w:r>
          </w:p>
        </w:tc>
        <w:tc>
          <w:tcPr>
            <w:tcW w:w="914" w:type="dxa"/>
            <w:tcBorders>
              <w:top w:val="nil"/>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目标</w:t>
            </w:r>
          </w:p>
          <w:p>
            <w:pPr>
              <w:widowControl/>
              <w:jc w:val="center"/>
              <w:rPr>
                <w:rFonts w:eastAsia="仿宋_GB2312"/>
                <w:color w:val="000000"/>
                <w:kern w:val="0"/>
                <w:szCs w:val="21"/>
              </w:rPr>
            </w:pPr>
            <w:r>
              <w:rPr>
                <w:rFonts w:eastAsia="仿宋_GB2312"/>
                <w:color w:val="000000"/>
                <w:kern w:val="0"/>
                <w:szCs w:val="21"/>
              </w:rPr>
              <w:t>合理性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项目所设定的绩效目标是否依据充分，是否符合客观实际，用以反映和考核项目绩效目标与项目实施的相符情况。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项目是否有绩效目标；</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项目绩效目标与实际工作内容是否具有相关性；</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项目预期产出和效益是否符合正常的业绩水平；</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是否与预算确定的项目投资额或资金量相匹配。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决策</w:t>
            </w: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绩效</w:t>
            </w:r>
            <w:r>
              <w:rPr>
                <w:rFonts w:hint="eastAsia" w:eastAsia="仿宋_GB2312"/>
                <w:color w:val="000000"/>
                <w:kern w:val="0"/>
                <w:szCs w:val="21"/>
                <w:lang w:val="en-US" w:eastAsia="zh-CN"/>
              </w:rPr>
              <w:t xml:space="preserve"> </w:t>
            </w: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明确性</w:t>
            </w:r>
          </w:p>
        </w:tc>
        <w:tc>
          <w:tcPr>
            <w:tcW w:w="710" w:type="dxa"/>
            <w:tcBorders>
              <w:top w:val="nil"/>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依据绩效目标设定的绩效指标是否清晰、细化、可衡量等，用以反映和考核项目绩效目标的明细化情况。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评价要点：</w:t>
            </w:r>
          </w:p>
          <w:p>
            <w:pPr>
              <w:widowControl/>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是否将项目绩效目标细化分解为具体的绩效指标；</w:t>
            </w:r>
          </w:p>
          <w:p>
            <w:pPr>
              <w:widowControl/>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是否通过清晰、可衡量的指标值予以体现；</w:t>
            </w:r>
          </w:p>
          <w:p>
            <w:pPr>
              <w:widowControl/>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是否与项目目标任务数或计划数相对应。</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eastAsia="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资金投入</w:t>
            </w:r>
          </w:p>
        </w:tc>
        <w:tc>
          <w:tcPr>
            <w:tcW w:w="914" w:type="dxa"/>
            <w:tcBorders>
              <w:top w:val="single" w:color="auto" w:sz="4" w:space="0"/>
              <w:left w:val="single" w:color="auto" w:sz="4" w:space="0"/>
              <w:bottom w:val="single" w:color="auto" w:sz="4" w:space="0"/>
              <w:right w:val="single" w:color="auto" w:sz="4" w:space="0"/>
            </w:tcBorders>
            <w:noWrap w:val="0"/>
            <w:vAlign w:val="center"/>
          </w:tcPr>
          <w:p>
            <w:pPr>
              <w:ind w:right="105" w:rightChars="50"/>
              <w:jc w:val="center"/>
              <w:rPr>
                <w:rFonts w:hint="eastAsia" w:eastAsia="仿宋_GB2312"/>
                <w:szCs w:val="21"/>
                <w:lang w:eastAsia="zh-CN"/>
              </w:rPr>
            </w:pPr>
            <w:r>
              <w:rPr>
                <w:rFonts w:eastAsia="仿宋_GB2312"/>
                <w:color w:val="000000"/>
                <w:kern w:val="0"/>
                <w:szCs w:val="21"/>
              </w:rPr>
              <w:t>预算编制科学</w:t>
            </w:r>
            <w:r>
              <w:rPr>
                <w:rFonts w:hint="eastAsia" w:eastAsia="仿宋_GB2312"/>
                <w:color w:val="000000"/>
                <w:kern w:val="0"/>
                <w:szCs w:val="21"/>
                <w:lang w:eastAsia="zh-CN"/>
              </w:rPr>
              <w:t>性</w:t>
            </w:r>
          </w:p>
        </w:tc>
        <w:tc>
          <w:tcPr>
            <w:tcW w:w="710" w:type="dxa"/>
            <w:tcBorders>
              <w:top w:val="nil"/>
              <w:left w:val="single" w:color="auto" w:sz="4" w:space="0"/>
              <w:bottom w:val="single" w:color="auto" w:sz="4" w:space="0"/>
              <w:right w:val="single" w:color="auto" w:sz="4" w:space="0"/>
            </w:tcBorders>
            <w:noWrap/>
            <w:vAlign w:val="center"/>
          </w:tcPr>
          <w:p>
            <w:pPr>
              <w:ind w:right="105" w:rightChars="50"/>
              <w:jc w:val="both"/>
              <w:rPr>
                <w:rFonts w:eastAsia="仿宋_GB2312"/>
                <w:szCs w:val="21"/>
              </w:rPr>
            </w:pPr>
            <w:r>
              <w:rPr>
                <w:rFonts w:hint="eastAsia" w:eastAsia="仿宋_GB2312"/>
                <w:color w:val="000000"/>
                <w:kern w:val="0"/>
                <w:szCs w:val="21"/>
                <w:lang w:val="en-US" w:eastAsia="zh-CN"/>
              </w:rPr>
              <w:t>3分</w:t>
            </w:r>
          </w:p>
        </w:tc>
        <w:tc>
          <w:tcPr>
            <w:tcW w:w="3349" w:type="dxa"/>
            <w:tcBorders>
              <w:top w:val="nil"/>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预算编制是否经过科学论证、有明确标准，专项债券申请额度与项目目标是否相适应，用以反映和考核预算编制科学性、合理性情况。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评价要点：</w:t>
            </w:r>
          </w:p>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专项债务收入、安排的支出、还本付息、发行费用等纳入政府性基金预算管理；</w:t>
            </w:r>
          </w:p>
          <w:p>
            <w:pPr>
              <w:widowControl/>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预算编制是否经过科学论证</w:t>
            </w:r>
            <w:r>
              <w:rPr>
                <w:color w:val="000000"/>
                <w:kern w:val="0"/>
                <w:szCs w:val="21"/>
              </w:rPr>
              <w:t>，</w:t>
            </w:r>
            <w:r>
              <w:rPr>
                <w:rFonts w:eastAsia="仿宋_GB2312"/>
                <w:color w:val="000000"/>
                <w:kern w:val="0"/>
                <w:szCs w:val="21"/>
              </w:rPr>
              <w:t>做到总体收支平衡和年度收支平衡；；</w:t>
            </w:r>
          </w:p>
          <w:p>
            <w:pPr>
              <w:widowControl/>
              <w:rPr>
                <w:rFonts w:hint="eastAsia" w:eastAsia="仿宋_GB2312"/>
                <w:szCs w:val="21"/>
                <w:lang w:eastAsia="zh-CN"/>
              </w:rPr>
            </w:pPr>
            <w:r>
              <w:rPr>
                <w:rFonts w:hint="eastAsia" w:ascii="宋体" w:hAnsi="宋体" w:cs="宋体"/>
                <w:color w:val="000000"/>
                <w:kern w:val="0"/>
                <w:szCs w:val="21"/>
              </w:rPr>
              <w:t>③</w:t>
            </w:r>
            <w:r>
              <w:rPr>
                <w:rFonts w:eastAsia="仿宋_GB2312"/>
                <w:szCs w:val="21"/>
              </w:rPr>
              <w:t>预算额度测算依据是否充分，是否按照标准编制；</w:t>
            </w:r>
          </w:p>
          <w:p>
            <w:pPr>
              <w:widowControl/>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项目申请专项债券额度是否与实际需要匹配。</w:t>
            </w:r>
          </w:p>
          <w:p>
            <w:pPr>
              <w:widowControl/>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1289" w:hRule="atLeast"/>
          <w:jc w:val="center"/>
        </w:trPr>
        <w:tc>
          <w:tcPr>
            <w:tcW w:w="722"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r>
              <w:rPr>
                <w:rFonts w:eastAsia="仿宋_GB2312"/>
                <w:color w:val="000000"/>
                <w:kern w:val="0"/>
                <w:szCs w:val="21"/>
              </w:rPr>
              <w:t>资金管理</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p>
          <w:p>
            <w:pPr>
              <w:widowControl/>
              <w:jc w:val="center"/>
              <w:rPr>
                <w:rFonts w:eastAsia="仿宋_GB2312"/>
                <w:color w:val="000000"/>
                <w:kern w:val="0"/>
                <w:szCs w:val="21"/>
              </w:rPr>
            </w:pPr>
            <w:r>
              <w:rPr>
                <w:rFonts w:eastAsia="仿宋_GB2312"/>
                <w:color w:val="000000"/>
                <w:kern w:val="0"/>
                <w:szCs w:val="21"/>
              </w:rPr>
              <w:t>到位率</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实际到位资金与预算资金的比率、资金到位与项目建设进度匹配情况，用以反映和考核资金落实情况对项目实施的总体保障程度。</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资金到位率=（实际到位资金/预算资金）×100%。</w:t>
            </w:r>
          </w:p>
          <w:p>
            <w:pPr>
              <w:widowControl/>
              <w:rPr>
                <w:rFonts w:eastAsia="仿宋_GB2312"/>
                <w:color w:val="000000"/>
                <w:kern w:val="0"/>
                <w:szCs w:val="21"/>
              </w:rPr>
            </w:pPr>
            <w:r>
              <w:rPr>
                <w:rFonts w:eastAsia="仿宋_GB2312"/>
                <w:color w:val="000000"/>
                <w:kern w:val="0"/>
                <w:szCs w:val="21"/>
              </w:rPr>
              <w:t>实际到位资金：一定时期（本年度或项目期）内落实到具体项目的资金。</w:t>
            </w:r>
          </w:p>
          <w:p>
            <w:pPr>
              <w:widowControl/>
              <w:rPr>
                <w:rFonts w:eastAsia="仿宋_GB2312"/>
                <w:color w:val="000000"/>
                <w:kern w:val="0"/>
                <w:szCs w:val="21"/>
              </w:rPr>
            </w:pPr>
            <w:r>
              <w:rPr>
                <w:rFonts w:eastAsia="仿宋_GB2312"/>
                <w:color w:val="000000"/>
                <w:kern w:val="0"/>
                <w:szCs w:val="21"/>
              </w:rPr>
              <w:t>预算资金：一定时期（本年度或项目期）内预算安排到具体项目的资金。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资金到位与项目建设进度匹配度=（资金到位率/项目完工率）×100%。</w:t>
            </w:r>
          </w:p>
          <w:p>
            <w:pPr>
              <w:widowControl/>
              <w:rPr>
                <w:rFonts w:hint="eastAsia" w:eastAsia="仿宋_GB2312"/>
                <w:color w:val="000000"/>
                <w:kern w:val="0"/>
                <w:szCs w:val="21"/>
                <w:lang w:val="en-US" w:eastAsia="zh-CN"/>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=资金到位率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1278"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预算</w:t>
            </w:r>
          </w:p>
          <w:p>
            <w:pPr>
              <w:widowControl/>
              <w:jc w:val="center"/>
              <w:rPr>
                <w:rFonts w:eastAsia="仿宋_GB2312"/>
                <w:color w:val="000000"/>
                <w:kern w:val="0"/>
                <w:szCs w:val="21"/>
              </w:rPr>
            </w:pPr>
            <w:r>
              <w:rPr>
                <w:rFonts w:eastAsia="仿宋_GB2312"/>
                <w:color w:val="000000"/>
                <w:kern w:val="0"/>
                <w:szCs w:val="21"/>
              </w:rPr>
              <w:t>执行率</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项目预算资金是否按照计划执行、资金支出与项目建设进度匹配情况，用以反映或考核项目预算执行情况。</w:t>
            </w:r>
          </w:p>
        </w:tc>
        <w:tc>
          <w:tcPr>
            <w:tcW w:w="5749" w:type="dxa"/>
            <w:tcBorders>
              <w:top w:val="single" w:color="auto" w:sz="4" w:space="0"/>
              <w:left w:val="single" w:color="auto" w:sz="4" w:space="0"/>
              <w:bottom w:val="single" w:color="000000" w:sz="4" w:space="0"/>
              <w:right w:val="single" w:color="000000" w:sz="4" w:space="0"/>
            </w:tcBorders>
            <w:noWrap w:val="0"/>
            <w:vAlign w:val="center"/>
          </w:tcPr>
          <w:p>
            <w:pPr>
              <w:widowControl/>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预算执行率=（实际支出资金/实际到位资金）×100%。</w:t>
            </w:r>
          </w:p>
          <w:p>
            <w:pPr>
              <w:widowControl/>
              <w:rPr>
                <w:rFonts w:eastAsia="仿宋_GB2312"/>
                <w:color w:val="000000"/>
                <w:kern w:val="0"/>
                <w:szCs w:val="21"/>
              </w:rPr>
            </w:pPr>
            <w:r>
              <w:rPr>
                <w:rFonts w:eastAsia="仿宋_GB2312"/>
                <w:color w:val="000000"/>
                <w:kern w:val="0"/>
                <w:szCs w:val="21"/>
              </w:rPr>
              <w:t>实际支出资金：一定时期（本年度或项目期）内项目实际拨付的资金。</w:t>
            </w:r>
          </w:p>
          <w:p>
            <w:pPr>
              <w:widowControl/>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资金支出与项目建设进度匹配度=（预算执行率/项目完工率）×100%。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=预算执行率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资金</w:t>
            </w:r>
            <w:r>
              <w:rPr>
                <w:rFonts w:hint="eastAsia" w:eastAsia="仿宋_GB2312"/>
                <w:color w:val="000000"/>
                <w:kern w:val="0"/>
                <w:szCs w:val="21"/>
                <w:lang w:val="en-US" w:eastAsia="zh-CN"/>
              </w:rPr>
              <w:t xml:space="preserve"> </w:t>
            </w:r>
            <w:r>
              <w:rPr>
                <w:rFonts w:eastAsia="仿宋_GB2312"/>
                <w:color w:val="000000"/>
                <w:kern w:val="0"/>
                <w:szCs w:val="21"/>
              </w:rPr>
              <w:t>使用</w:t>
            </w:r>
          </w:p>
          <w:p>
            <w:pPr>
              <w:widowControl/>
              <w:jc w:val="center"/>
              <w:rPr>
                <w:rFonts w:eastAsia="仿宋_GB2312"/>
                <w:color w:val="000000"/>
                <w:kern w:val="0"/>
                <w:szCs w:val="21"/>
              </w:rPr>
            </w:pPr>
            <w:r>
              <w:rPr>
                <w:rFonts w:eastAsia="仿宋_GB2312"/>
                <w:color w:val="000000"/>
                <w:kern w:val="0"/>
                <w:szCs w:val="21"/>
              </w:rPr>
              <w:t>合规性</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是否制定了资金财务管理制度，项目资金使用是否符合相关的资金财务管理制度规定，用以反映和考核项目资金的规范运行情况。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是否制定了具体的资金财务管理办法；</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②</w:t>
            </w:r>
            <w:r>
              <w:rPr>
                <w:rFonts w:eastAsia="仿宋_GB2312"/>
                <w:color w:val="000000"/>
                <w:kern w:val="0"/>
                <w:szCs w:val="21"/>
              </w:rPr>
              <w:t>是否符合国家财经法规和财务管理制度以及有关债券资金管理的规定，是否对资金收支、成本进行专账核算；</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资金的拨付是否有完整的审批程序和手续；</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是否严格按照项目融资平衡方案或相关立项批复文件中列明的建设范围和用途使用；</w:t>
            </w:r>
          </w:p>
          <w:p>
            <w:pPr>
              <w:widowControl/>
              <w:jc w:val="left"/>
              <w:rPr>
                <w:rFonts w:eastAsia="仿宋_GB2312"/>
                <w:color w:val="000000"/>
                <w:kern w:val="0"/>
                <w:szCs w:val="21"/>
              </w:rPr>
            </w:pPr>
            <w:r>
              <w:rPr>
                <w:rFonts w:hint="eastAsia" w:ascii="宋体" w:hAnsi="宋体" w:cs="宋体"/>
                <w:color w:val="000000"/>
                <w:kern w:val="0"/>
                <w:szCs w:val="21"/>
              </w:rPr>
              <w:t>⑤</w:t>
            </w:r>
            <w:r>
              <w:rPr>
                <w:rFonts w:eastAsia="仿宋_GB2312"/>
                <w:color w:val="000000"/>
                <w:kern w:val="0"/>
                <w:szCs w:val="21"/>
              </w:rPr>
              <w:t>是否存在截留、挤占、挪用、虚列支出等情况。</w:t>
            </w:r>
          </w:p>
          <w:p>
            <w:pPr>
              <w:widowControl/>
              <w:jc w:val="left"/>
              <w:rPr>
                <w:rFonts w:eastAsia="仿宋_GB2312"/>
                <w:color w:val="000000"/>
                <w:kern w:val="0"/>
                <w:szCs w:val="21"/>
              </w:rPr>
            </w:pPr>
            <w:r>
              <w:rPr>
                <w:rFonts w:hint="eastAsia" w:ascii="宋体" w:hAnsi="宋体" w:cs="宋体"/>
                <w:color w:val="000000"/>
                <w:kern w:val="0"/>
                <w:szCs w:val="21"/>
              </w:rPr>
              <w:t>⑥</w:t>
            </w:r>
            <w:r>
              <w:rPr>
                <w:rFonts w:eastAsia="仿宋_GB2312"/>
                <w:color w:val="000000"/>
                <w:kern w:val="0"/>
                <w:szCs w:val="21"/>
              </w:rPr>
              <w:t>是否将资金使用信息录入专项债券综合管理平台备查。</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还本</w:t>
            </w:r>
            <w:r>
              <w:rPr>
                <w:rFonts w:hint="eastAsia" w:eastAsia="仿宋_GB2312"/>
                <w:color w:val="000000"/>
                <w:kern w:val="0"/>
                <w:szCs w:val="21"/>
                <w:lang w:val="en-US" w:eastAsia="zh-CN"/>
              </w:rPr>
              <w:t xml:space="preserve"> </w:t>
            </w:r>
            <w:r>
              <w:rPr>
                <w:rFonts w:eastAsia="仿宋_GB2312"/>
                <w:color w:val="000000"/>
                <w:kern w:val="0"/>
                <w:szCs w:val="21"/>
              </w:rPr>
              <w:t>付息</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4分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用以反映和考核项目使用债券资金还本付息、偿债来源的真实有效性和债券期限与项目期限的匹配性。</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是否准确编制了项目还本付息计划和落实还本付息资金情况；</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按照转贷协议约定,及时缴纳项目应当承担的利息情况；</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是否存在使用其他项目对应的项目收益错项偿还到期债券本息情况；</w:t>
            </w:r>
          </w:p>
          <w:p>
            <w:pPr>
              <w:widowControl/>
              <w:jc w:val="left"/>
              <w:rPr>
                <w:rFonts w:eastAsia="仿宋_GB2312"/>
                <w:color w:val="000000"/>
                <w:kern w:val="0"/>
                <w:szCs w:val="21"/>
              </w:rPr>
            </w:pPr>
            <w:r>
              <w:rPr>
                <w:rFonts w:hint="eastAsia" w:ascii="宋体" w:hAnsi="宋体" w:cs="宋体"/>
                <w:color w:val="000000"/>
                <w:kern w:val="0"/>
                <w:szCs w:val="21"/>
              </w:rPr>
              <w:t>④</w:t>
            </w:r>
            <w:r>
              <w:rPr>
                <w:rFonts w:eastAsia="仿宋_GB2312"/>
                <w:color w:val="000000"/>
                <w:kern w:val="0"/>
                <w:szCs w:val="21"/>
              </w:rPr>
              <w:t>专项债券期限与项目建设运营期限是否匹配。</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ascii="宋体" w:hAnsi="宋体" w:eastAsia="仿宋_GB2312"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管理</w:t>
            </w:r>
            <w:r>
              <w:rPr>
                <w:rFonts w:hint="eastAsia" w:eastAsia="仿宋_GB2312"/>
                <w:color w:val="000000"/>
                <w:kern w:val="0"/>
                <w:szCs w:val="21"/>
                <w:lang w:val="en-US" w:eastAsia="zh-CN"/>
              </w:rPr>
              <w:t xml:space="preserve"> </w:t>
            </w:r>
            <w:r>
              <w:rPr>
                <w:rFonts w:eastAsia="仿宋_GB2312"/>
                <w:color w:val="000000"/>
                <w:kern w:val="0"/>
                <w:szCs w:val="21"/>
              </w:rPr>
              <w:t>制度</w:t>
            </w:r>
          </w:p>
          <w:p>
            <w:pPr>
              <w:widowControl/>
              <w:jc w:val="center"/>
              <w:rPr>
                <w:rFonts w:eastAsia="仿宋_GB2312"/>
                <w:color w:val="000000"/>
                <w:kern w:val="0"/>
                <w:szCs w:val="21"/>
              </w:rPr>
            </w:pPr>
            <w:r>
              <w:rPr>
                <w:rFonts w:eastAsia="仿宋_GB2312"/>
                <w:color w:val="000000"/>
                <w:kern w:val="0"/>
                <w:szCs w:val="21"/>
              </w:rPr>
              <w:t>健全</w:t>
            </w:r>
            <w:r>
              <w:rPr>
                <w:rFonts w:hint="eastAsia" w:eastAsia="仿宋_GB2312"/>
                <w:color w:val="000000"/>
                <w:kern w:val="0"/>
                <w:szCs w:val="21"/>
                <w:lang w:val="en-US" w:eastAsia="zh-CN"/>
              </w:rPr>
              <w:t xml:space="preserve"> </w:t>
            </w:r>
            <w:r>
              <w:rPr>
                <w:rFonts w:eastAsia="仿宋_GB2312"/>
                <w:color w:val="000000"/>
                <w:kern w:val="0"/>
                <w:szCs w:val="21"/>
              </w:rPr>
              <w:t>有效性</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rPr>
                <w:rFonts w:eastAsia="仿宋_GB2312"/>
                <w:color w:val="000000"/>
                <w:kern w:val="0"/>
                <w:szCs w:val="21"/>
              </w:rPr>
            </w:pPr>
            <w:r>
              <w:rPr>
                <w:rFonts w:eastAsia="仿宋_GB2312"/>
                <w:color w:val="000000"/>
                <w:kern w:val="0"/>
                <w:szCs w:val="21"/>
              </w:rPr>
              <w:t>项目建设、运营、资产管理等环节的管理制度建设执行情况，用以反映和考核管理制度对项目顺利实施的保障情况。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1"/>
              </w:numPr>
              <w:jc w:val="left"/>
              <w:rPr>
                <w:rFonts w:eastAsia="仿宋_GB2312"/>
                <w:color w:val="000000"/>
                <w:kern w:val="0"/>
                <w:szCs w:val="21"/>
              </w:rPr>
            </w:pPr>
            <w:r>
              <w:rPr>
                <w:rFonts w:eastAsia="仿宋_GB2312"/>
                <w:color w:val="000000"/>
                <w:kern w:val="0"/>
                <w:szCs w:val="21"/>
              </w:rPr>
              <w:t>项目建设、运营、资产管理等环节的管理制度是否健全、合规、完整；</w:t>
            </w:r>
          </w:p>
          <w:p>
            <w:pPr>
              <w:widowControl/>
              <w:numPr>
                <w:ilvl w:val="0"/>
                <w:numId w:val="1"/>
              </w:numPr>
              <w:jc w:val="left"/>
              <w:rPr>
                <w:rFonts w:eastAsia="仿宋_GB2312"/>
                <w:color w:val="000000"/>
                <w:kern w:val="0"/>
                <w:szCs w:val="21"/>
              </w:rPr>
            </w:pPr>
            <w:r>
              <w:rPr>
                <w:rFonts w:eastAsia="仿宋_GB2312"/>
                <w:color w:val="000000"/>
                <w:kern w:val="0"/>
                <w:szCs w:val="21"/>
              </w:rPr>
              <w:t>项目管理制度是否</w:t>
            </w:r>
            <w:r>
              <w:rPr>
                <w:rFonts w:eastAsia="仿宋_GB2312"/>
                <w:color w:val="000000"/>
                <w:szCs w:val="21"/>
              </w:rPr>
              <w:t>有效执行</w:t>
            </w:r>
            <w:r>
              <w:rPr>
                <w:rFonts w:eastAsia="仿宋_GB2312"/>
                <w:color w:val="000000"/>
                <w:kern w:val="0"/>
                <w:szCs w:val="21"/>
              </w:rPr>
              <w:t>。</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w:t>
            </w:r>
            <w:r>
              <w:rPr>
                <w:rFonts w:hint="eastAsia" w:eastAsia="仿宋_GB2312"/>
                <w:color w:val="000000"/>
                <w:kern w:val="0"/>
                <w:szCs w:val="21"/>
                <w:lang w:val="en-US" w:eastAsia="zh-CN"/>
              </w:rPr>
              <w:t xml:space="preserve"> </w:t>
            </w: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控制</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项目是否按实施计划执行，是否进行项目调整，是否有相应的质量标准要求。用以反映和考核对项目质量的控制。</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是否编制科学合理的项目实施计划；</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是否制定相应的项目质量要求或标准；</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是否采取了相应的项目质量检查、验收等必需的控制措施或手段；</w:t>
            </w:r>
          </w:p>
          <w:p>
            <w:pPr>
              <w:widowControl/>
              <w:numPr>
                <w:ilvl w:val="0"/>
                <w:numId w:val="0"/>
              </w:numPr>
              <w:ind w:leftChars="0"/>
              <w:jc w:val="left"/>
              <w:rPr>
                <w:rFonts w:eastAsia="仿宋_GB2312"/>
                <w:color w:val="000000"/>
                <w:kern w:val="0"/>
                <w:szCs w:val="21"/>
              </w:rPr>
            </w:pPr>
            <w:r>
              <w:rPr>
                <w:rFonts w:hint="eastAsia" w:ascii="宋体" w:hAnsi="宋体" w:cs="宋体"/>
                <w:color w:val="000000"/>
                <w:kern w:val="0"/>
                <w:szCs w:val="21"/>
              </w:rPr>
              <w:t>④项</w:t>
            </w:r>
            <w:r>
              <w:rPr>
                <w:rFonts w:eastAsia="仿宋_GB2312"/>
                <w:color w:val="000000"/>
                <w:kern w:val="0"/>
                <w:szCs w:val="21"/>
              </w:rPr>
              <w:t>目调整审批手续是否完备，调整导致的资金差额是否作了合理安排；</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r>
              <w:rPr>
                <w:rFonts w:eastAsia="仿宋_GB2312"/>
                <w:color w:val="000000"/>
                <w:kern w:val="0"/>
                <w:szCs w:val="21"/>
              </w:rPr>
              <w:t>过程</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r>
              <w:rPr>
                <w:rFonts w:eastAsia="仿宋_GB2312"/>
                <w:color w:val="000000"/>
                <w:kern w:val="0"/>
                <w:szCs w:val="21"/>
              </w:rPr>
              <w:t>项目实施</w:t>
            </w: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招标及</w:t>
            </w:r>
          </w:p>
          <w:p>
            <w:pPr>
              <w:widowControl/>
              <w:jc w:val="center"/>
              <w:rPr>
                <w:rFonts w:eastAsia="仿宋_GB2312"/>
                <w:color w:val="000000"/>
                <w:kern w:val="0"/>
                <w:szCs w:val="21"/>
              </w:rPr>
            </w:pPr>
            <w:r>
              <w:rPr>
                <w:rFonts w:eastAsia="仿宋_GB2312"/>
                <w:color w:val="000000"/>
                <w:kern w:val="0"/>
                <w:szCs w:val="21"/>
              </w:rPr>
              <w:t>政府采购管理</w:t>
            </w:r>
          </w:p>
        </w:tc>
        <w:tc>
          <w:tcPr>
            <w:tcW w:w="710" w:type="dxa"/>
            <w:tcBorders>
              <w:top w:val="single" w:color="auto" w:sz="4" w:space="0"/>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用以反映和考核项目招标和政府采购的规范性情况。</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hint="eastAsia" w:eastAsia="仿宋_GB2312"/>
                <w:color w:val="000000"/>
                <w:kern w:val="0"/>
                <w:szCs w:val="21"/>
                <w:lang w:eastAsia="zh-CN"/>
              </w:rPr>
            </w:pPr>
            <w:r>
              <w:rPr>
                <w:rFonts w:hint="eastAsia" w:ascii="宋体" w:hAnsi="宋体" w:cs="宋体"/>
                <w:color w:val="000000"/>
                <w:kern w:val="0"/>
                <w:szCs w:val="21"/>
              </w:rPr>
              <w:t>①</w:t>
            </w:r>
            <w:r>
              <w:rPr>
                <w:rFonts w:eastAsia="仿宋_GB2312"/>
                <w:color w:val="000000"/>
                <w:kern w:val="0"/>
                <w:szCs w:val="21"/>
              </w:rPr>
              <w:t>项目招标和政府采购的程序及手续是否合法合规；</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合同签订及执行是否规范；</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工程、设备、原材料等采购需求与项目实际需求是否吻合,是否存在重复或浪费现象。</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管理</w:t>
            </w:r>
          </w:p>
        </w:tc>
        <w:tc>
          <w:tcPr>
            <w:tcW w:w="710" w:type="dxa"/>
            <w:tcBorders>
              <w:top w:val="nil"/>
              <w:left w:val="nil"/>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nil"/>
              <w:left w:val="nil"/>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是否对资产权属、资产管护、资产安全等方面进行有效管理，用以反映和考核债券资金形成的资产管理情况。</w:t>
            </w:r>
          </w:p>
        </w:tc>
        <w:tc>
          <w:tcPr>
            <w:tcW w:w="5749" w:type="dxa"/>
            <w:tcBorders>
              <w:top w:val="single" w:color="auto" w:sz="4" w:space="0"/>
              <w:left w:val="single" w:color="auto" w:sz="4" w:space="0"/>
              <w:bottom w:val="single" w:color="auto" w:sz="4" w:space="0"/>
              <w:right w:val="single" w:color="000000"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numPr>
                <w:ilvl w:val="0"/>
                <w:numId w:val="2"/>
              </w:numPr>
              <w:jc w:val="left"/>
              <w:rPr>
                <w:rFonts w:eastAsia="仿宋_GB2312"/>
                <w:color w:val="000000"/>
                <w:kern w:val="0"/>
                <w:szCs w:val="21"/>
              </w:rPr>
            </w:pPr>
            <w:r>
              <w:rPr>
                <w:rFonts w:eastAsia="仿宋_GB2312"/>
                <w:color w:val="000000"/>
                <w:kern w:val="0"/>
                <w:szCs w:val="21"/>
              </w:rPr>
              <w:t>项目竣工后是否进行资产备案和产权登记；</w:t>
            </w:r>
          </w:p>
          <w:p>
            <w:pPr>
              <w:widowControl/>
              <w:numPr>
                <w:ilvl w:val="0"/>
                <w:numId w:val="2"/>
              </w:numPr>
              <w:jc w:val="left"/>
              <w:rPr>
                <w:rFonts w:eastAsia="仿宋_GB2312"/>
                <w:color w:val="000000"/>
                <w:kern w:val="0"/>
                <w:szCs w:val="21"/>
              </w:rPr>
            </w:pPr>
            <w:r>
              <w:rPr>
                <w:rFonts w:eastAsia="仿宋_GB2312"/>
                <w:color w:val="000000"/>
                <w:kern w:val="0"/>
                <w:szCs w:val="21"/>
              </w:rPr>
              <w:t>项目主管部门是否履行资产运营维护责任，会计核算是否规范；</w:t>
            </w:r>
          </w:p>
          <w:p>
            <w:pPr>
              <w:widowControl/>
              <w:numPr>
                <w:ilvl w:val="0"/>
                <w:numId w:val="2"/>
              </w:numPr>
              <w:jc w:val="left"/>
              <w:rPr>
                <w:rFonts w:eastAsia="仿宋_GB2312"/>
                <w:color w:val="000000"/>
                <w:kern w:val="0"/>
                <w:szCs w:val="21"/>
              </w:rPr>
            </w:pPr>
            <w:r>
              <w:rPr>
                <w:rFonts w:eastAsia="仿宋_GB2312"/>
                <w:color w:val="000000"/>
                <w:kern w:val="0"/>
                <w:szCs w:val="21"/>
              </w:rPr>
              <w:t>国有资产是否按规定用途使用，是否存在抵质押的情况。</w:t>
            </w:r>
          </w:p>
          <w:p>
            <w:pPr>
              <w:widowControl/>
              <w:numPr>
                <w:ilvl w:val="0"/>
                <w:numId w:val="0"/>
              </w:numPr>
              <w:ind w:left="0" w:leftChars="0" w:firstLine="0" w:firstLineChars="0"/>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numPr>
                <w:ilvl w:val="0"/>
                <w:numId w:val="0"/>
              </w:numPr>
              <w:kinsoku/>
              <w:wordWrap/>
              <w:overflowPunct/>
              <w:topLinePunct w:val="0"/>
              <w:autoSpaceDE/>
              <w:autoSpaceDN/>
              <w:bidi w:val="0"/>
              <w:spacing w:line="360" w:lineRule="auto"/>
              <w:ind w:left="0" w:leftChars="0" w:firstLine="0" w:firstLineChars="0"/>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restart"/>
            <w:tcBorders>
              <w:top w:val="single" w:color="auto" w:sz="4" w:space="0"/>
              <w:left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风险控制</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风控机制及</w:t>
            </w:r>
            <w:r>
              <w:rPr>
                <w:rFonts w:hint="eastAsia" w:eastAsia="仿宋_GB2312"/>
                <w:color w:val="000000"/>
                <w:kern w:val="0"/>
                <w:szCs w:val="21"/>
                <w:lang w:val="en-US" w:eastAsia="zh-CN"/>
              </w:rPr>
              <w:t xml:space="preserve"> </w:t>
            </w:r>
            <w:r>
              <w:rPr>
                <w:rFonts w:eastAsia="仿宋_GB2312"/>
                <w:color w:val="000000"/>
                <w:kern w:val="0"/>
                <w:szCs w:val="21"/>
              </w:rPr>
              <w:t>措施</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用以反映和考核政府债务风险防控方案制定及实际执行等情况。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hint="eastAsia" w:ascii="宋体" w:hAnsi="宋体" w:cs="宋体"/>
                <w:color w:val="000000"/>
                <w:kern w:val="0"/>
                <w:szCs w:val="21"/>
              </w:rPr>
              <w:t>①</w:t>
            </w:r>
            <w:r>
              <w:rPr>
                <w:rFonts w:eastAsia="仿宋_GB2312"/>
                <w:color w:val="000000"/>
                <w:kern w:val="0"/>
                <w:szCs w:val="21"/>
              </w:rPr>
              <w:t>是否建立了债务风险动态监测机制；</w:t>
            </w:r>
          </w:p>
          <w:p>
            <w:pPr>
              <w:widowControl/>
              <w:jc w:val="left"/>
              <w:rPr>
                <w:rFonts w:eastAsia="仿宋_GB2312"/>
                <w:color w:val="000000"/>
                <w:kern w:val="0"/>
                <w:szCs w:val="21"/>
              </w:rPr>
            </w:pPr>
            <w:r>
              <w:rPr>
                <w:rFonts w:hint="eastAsia" w:ascii="宋体" w:hAnsi="宋体" w:cs="宋体"/>
                <w:color w:val="000000"/>
                <w:kern w:val="0"/>
                <w:szCs w:val="21"/>
              </w:rPr>
              <w:t>②</w:t>
            </w:r>
            <w:r>
              <w:rPr>
                <w:rFonts w:eastAsia="仿宋_GB2312"/>
                <w:color w:val="000000"/>
                <w:kern w:val="0"/>
                <w:szCs w:val="21"/>
              </w:rPr>
              <w:t>对识别到的风险是否建立了应对的防范措施；</w:t>
            </w:r>
          </w:p>
          <w:p>
            <w:pPr>
              <w:widowControl/>
              <w:jc w:val="left"/>
              <w:rPr>
                <w:rFonts w:eastAsia="仿宋_GB2312"/>
                <w:color w:val="000000"/>
                <w:kern w:val="0"/>
                <w:szCs w:val="21"/>
              </w:rPr>
            </w:pPr>
            <w:r>
              <w:rPr>
                <w:rFonts w:hint="eastAsia" w:ascii="宋体" w:hAnsi="宋体" w:cs="宋体"/>
                <w:color w:val="000000"/>
                <w:kern w:val="0"/>
                <w:szCs w:val="21"/>
              </w:rPr>
              <w:t>③</w:t>
            </w:r>
            <w:r>
              <w:rPr>
                <w:rFonts w:eastAsia="仿宋_GB2312"/>
                <w:color w:val="000000"/>
                <w:kern w:val="0"/>
                <w:szCs w:val="21"/>
              </w:rPr>
              <w:t>是否建立了债务风险应对预案和社会稳定风险应对预案；</w:t>
            </w:r>
          </w:p>
          <w:p>
            <w:pPr>
              <w:widowControl/>
              <w:jc w:val="left"/>
              <w:rPr>
                <w:rFonts w:eastAsia="仿宋_GB2312"/>
                <w:color w:val="000000"/>
                <w:kern w:val="0"/>
                <w:szCs w:val="21"/>
              </w:rPr>
            </w:pP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宋体" w:hAnsi="宋体" w:cs="宋体"/>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风控</w:t>
            </w:r>
            <w:r>
              <w:rPr>
                <w:rFonts w:hint="eastAsia" w:eastAsia="仿宋_GB2312"/>
                <w:color w:val="000000"/>
                <w:kern w:val="0"/>
                <w:szCs w:val="21"/>
                <w:lang w:val="en-US" w:eastAsia="zh-CN"/>
              </w:rPr>
              <w:t xml:space="preserve"> </w:t>
            </w:r>
            <w:r>
              <w:rPr>
                <w:rFonts w:eastAsia="仿宋_GB2312"/>
                <w:color w:val="000000"/>
                <w:kern w:val="0"/>
                <w:szCs w:val="21"/>
              </w:rPr>
              <w:t>效果</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用以反映和考核风险防控效果情况。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是否发生过重大风险事件（重大债务违约事件、重大安全事故、重大违法违规事件等）、因债务引起的重大群体性事件等情况。</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问题</w:t>
            </w:r>
            <w:r>
              <w:rPr>
                <w:rFonts w:hint="eastAsia" w:eastAsia="仿宋_GB2312"/>
                <w:color w:val="000000"/>
                <w:kern w:val="0"/>
                <w:szCs w:val="21"/>
                <w:lang w:val="en-US" w:eastAsia="zh-CN"/>
              </w:rPr>
              <w:t xml:space="preserve"> </w:t>
            </w:r>
            <w:r>
              <w:rPr>
                <w:rFonts w:eastAsia="仿宋_GB2312"/>
                <w:color w:val="000000"/>
                <w:kern w:val="0"/>
                <w:szCs w:val="21"/>
              </w:rPr>
              <w:t>整改</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用以反映和考核对外部监督发现问题整改落实等情况。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rPr>
                <w:rFonts w:eastAsia="仿宋_GB2312"/>
                <w:color w:val="000000"/>
                <w:kern w:val="0"/>
                <w:szCs w:val="21"/>
              </w:rPr>
            </w:pPr>
            <w:r>
              <w:rPr>
                <w:rFonts w:eastAsia="仿宋_GB2312"/>
                <w:color w:val="000000"/>
                <w:kern w:val="0"/>
                <w:szCs w:val="21"/>
              </w:rPr>
              <w:t>是否在规定时间内对财政部驻湘监管局和财政部门、发改部门、审计部门等反映的问题制定整改方案并及时进行整改等。</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left w:val="single" w:color="auto" w:sz="4" w:space="0"/>
              <w:bottom w:val="single" w:color="auto" w:sz="4" w:space="0"/>
              <w:right w:val="single" w:color="auto" w:sz="4" w:space="0"/>
            </w:tcBorders>
            <w:noWrap w:val="0"/>
            <w:vAlign w:val="center"/>
          </w:tcPr>
          <w:p>
            <w:pPr>
              <w:tabs>
                <w:tab w:val="left" w:pos="434"/>
              </w:tabs>
              <w:jc w:val="center"/>
              <w:rPr>
                <w:rFonts w:eastAsia="仿宋_GB2312"/>
                <w:color w:val="000000"/>
                <w:kern w:val="0"/>
                <w:szCs w:val="21"/>
              </w:rPr>
            </w:pPr>
          </w:p>
        </w:tc>
        <w:tc>
          <w:tcPr>
            <w:tcW w:w="778" w:type="dxa"/>
            <w:vMerge w:val="continue"/>
            <w:tcBorders>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信息</w:t>
            </w:r>
            <w:r>
              <w:rPr>
                <w:rFonts w:hint="eastAsia" w:eastAsia="仿宋_GB2312"/>
                <w:color w:val="000000"/>
                <w:kern w:val="0"/>
                <w:szCs w:val="21"/>
                <w:lang w:val="en-US" w:eastAsia="zh-CN"/>
              </w:rPr>
              <w:t xml:space="preserve"> </w:t>
            </w:r>
            <w:r>
              <w:rPr>
                <w:rFonts w:eastAsia="仿宋_GB2312"/>
                <w:color w:val="000000"/>
                <w:kern w:val="0"/>
                <w:szCs w:val="21"/>
              </w:rPr>
              <w:t>公开</w:t>
            </w:r>
          </w:p>
        </w:tc>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color w:val="000000"/>
                <w:kern w:val="0"/>
                <w:szCs w:val="21"/>
              </w:rPr>
            </w:pPr>
            <w:r>
              <w:rPr>
                <w:rFonts w:eastAsia="仿宋_GB2312"/>
                <w:color w:val="000000"/>
                <w:kern w:val="0"/>
                <w:szCs w:val="21"/>
              </w:rPr>
              <w:t>用以反映和考核政府债务信息披露等情况。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评价要点：</w:t>
            </w:r>
          </w:p>
          <w:p>
            <w:pPr>
              <w:widowControl/>
              <w:jc w:val="left"/>
              <w:rPr>
                <w:rFonts w:eastAsia="仿宋_GB2312"/>
                <w:color w:val="000000"/>
                <w:kern w:val="0"/>
                <w:szCs w:val="21"/>
              </w:rPr>
            </w:pPr>
            <w:r>
              <w:rPr>
                <w:rFonts w:eastAsia="仿宋_GB2312"/>
                <w:color w:val="000000"/>
                <w:kern w:val="0"/>
                <w:szCs w:val="21"/>
              </w:rPr>
              <w:t>是否对债券资金发行、存续、重大事项、调整用途等进行信息披露。</w:t>
            </w:r>
            <w:r>
              <w:rPr>
                <w:rFonts w:hint="eastAsia" w:eastAsia="仿宋_GB2312"/>
                <w:color w:val="000000"/>
                <w:kern w:val="0"/>
                <w:szCs w:val="21"/>
                <w:lang w:eastAsia="zh-CN"/>
              </w:rPr>
              <w:t>以上每出现一起不符合要求扣</w:t>
            </w:r>
            <w:r>
              <w:rPr>
                <w:rFonts w:hint="eastAsia" w:eastAsia="仿宋_GB2312"/>
                <w:color w:val="000000"/>
                <w:kern w:val="0"/>
                <w:szCs w:val="21"/>
                <w:lang w:val="en-US" w:eastAsia="zh-CN"/>
              </w:rPr>
              <w:t>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600"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产出数量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资产</w:t>
            </w:r>
            <w:r>
              <w:rPr>
                <w:rFonts w:hint="eastAsia" w:eastAsia="仿宋_GB2312"/>
                <w:color w:val="000000"/>
                <w:kern w:val="0"/>
                <w:szCs w:val="21"/>
                <w:lang w:val="en-US" w:eastAsia="zh-CN"/>
              </w:rPr>
              <w:t xml:space="preserve"> </w:t>
            </w:r>
            <w:r>
              <w:rPr>
                <w:rFonts w:eastAsia="仿宋_GB2312"/>
                <w:color w:val="000000"/>
                <w:kern w:val="0"/>
                <w:szCs w:val="21"/>
              </w:rPr>
              <w:t>形成</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用以反映项目形成资产情况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项目按计划形成相应数量国有资产</w:t>
            </w:r>
            <w:r>
              <w:rPr>
                <w:rFonts w:hint="eastAsia" w:eastAsia="仿宋_GB2312"/>
                <w:color w:val="000000"/>
                <w:kern w:val="0"/>
                <w:szCs w:val="21"/>
                <w:lang w:eastAsia="zh-CN"/>
              </w:rPr>
              <w:t>，计</w:t>
            </w:r>
            <w:r>
              <w:rPr>
                <w:rFonts w:hint="eastAsia" w:eastAsia="仿宋_GB2312"/>
                <w:color w:val="000000"/>
                <w:kern w:val="0"/>
                <w:szCs w:val="21"/>
                <w:lang w:val="en-US" w:eastAsia="zh-CN"/>
              </w:rPr>
              <w:t>3分，否则按数量相应扣分，扣完为止</w:t>
            </w:r>
            <w:r>
              <w:rPr>
                <w:rFonts w:eastAsia="仿宋_GB2312"/>
                <w:color w:val="000000"/>
                <w:kern w:val="0"/>
                <w:szCs w:val="21"/>
              </w:rPr>
              <w:t>。</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w:t>
            </w:r>
          </w:p>
          <w:p>
            <w:pPr>
              <w:widowControl/>
              <w:jc w:val="center"/>
              <w:rPr>
                <w:rFonts w:eastAsia="仿宋_GB2312"/>
                <w:color w:val="000000"/>
                <w:kern w:val="0"/>
                <w:szCs w:val="21"/>
              </w:rPr>
            </w:pPr>
            <w:r>
              <w:rPr>
                <w:rFonts w:eastAsia="仿宋_GB2312"/>
                <w:color w:val="000000"/>
                <w:kern w:val="0"/>
                <w:szCs w:val="21"/>
              </w:rPr>
              <w:t>完成率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项目实施的实际产出数与计划产出数的比率，用以反映和考核项目产出数量目标的实现程度。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实际完成率=（实际产出数/计划产出数）×100%。</w:t>
            </w:r>
          </w:p>
          <w:p>
            <w:pPr>
              <w:widowControl/>
              <w:rPr>
                <w:rFonts w:eastAsia="仿宋_GB2312"/>
                <w:color w:val="000000"/>
                <w:kern w:val="0"/>
                <w:szCs w:val="21"/>
              </w:rPr>
            </w:pPr>
            <w:r>
              <w:rPr>
                <w:rFonts w:eastAsia="仿宋_GB2312"/>
                <w:color w:val="000000"/>
                <w:kern w:val="0"/>
                <w:szCs w:val="21"/>
              </w:rPr>
              <w:t>实际产出数：一定时期（本年度或项目期）内项目实际提供的公共产品和服务数量。</w:t>
            </w:r>
          </w:p>
          <w:p>
            <w:pPr>
              <w:widowControl/>
              <w:rPr>
                <w:rFonts w:eastAsia="仿宋_GB2312"/>
                <w:color w:val="000000"/>
                <w:kern w:val="0"/>
                <w:szCs w:val="21"/>
              </w:rPr>
            </w:pPr>
            <w:r>
              <w:rPr>
                <w:rFonts w:eastAsia="仿宋_GB2312"/>
                <w:color w:val="000000"/>
                <w:kern w:val="0"/>
                <w:szCs w:val="21"/>
              </w:rPr>
              <w:t>计划产出数：项目绩效目标确定的在一定时期（本年度或项目期）内计划产出的产品或提供的服务数量。</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=实际完成率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产出质量</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达标率</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3分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项目完成的质量达标产出数与实际产出数的比率，用以反映和考核项目产出质量目标的实现程度。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质量达标率=（质量达标产出数/实际产出数）×100%。</w:t>
            </w:r>
          </w:p>
          <w:p>
            <w:pPr>
              <w:widowControl/>
              <w:rPr>
                <w:rFonts w:eastAsia="仿宋_GB2312"/>
                <w:color w:val="000000"/>
                <w:kern w:val="0"/>
                <w:szCs w:val="21"/>
              </w:rPr>
            </w:pPr>
            <w:r>
              <w:rPr>
                <w:rFonts w:eastAsia="仿宋_GB2312"/>
                <w:color w:val="000000"/>
                <w:kern w:val="0"/>
                <w:szCs w:val="21"/>
              </w:rPr>
              <w:t>质量达标产出数：一定时期（本年度或项目期）内实际达到既定质量标准的公共产品或服务数量。既定质量标准是指项目单位设立绩效目标时依据计划标准、行业标准、历史标准或其他标准而设定的绩效指标值。</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=质量达标率</w:t>
            </w:r>
            <w:r>
              <w:rPr>
                <w:rFonts w:eastAsia="仿宋_GB2312"/>
                <w:color w:val="000000"/>
                <w:kern w:val="0"/>
                <w:szCs w:val="21"/>
              </w:rPr>
              <w:t>×</w:t>
            </w:r>
            <w:r>
              <w:rPr>
                <w:rFonts w:hint="eastAsia" w:eastAsia="仿宋_GB2312"/>
                <w:color w:val="000000"/>
                <w:kern w:val="0"/>
                <w:szCs w:val="21"/>
                <w:lang w:val="en-US" w:eastAsia="zh-CN"/>
              </w:rPr>
              <w:t>3分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w:t>
            </w:r>
          </w:p>
        </w:tc>
        <w:tc>
          <w:tcPr>
            <w:tcW w:w="778"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产出时效</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完成</w:t>
            </w:r>
          </w:p>
          <w:p>
            <w:pPr>
              <w:widowControl/>
              <w:jc w:val="center"/>
              <w:rPr>
                <w:rFonts w:eastAsia="仿宋_GB2312"/>
                <w:color w:val="000000"/>
                <w:kern w:val="0"/>
                <w:szCs w:val="21"/>
              </w:rPr>
            </w:pPr>
            <w:r>
              <w:rPr>
                <w:rFonts w:eastAsia="仿宋_GB2312"/>
                <w:color w:val="000000"/>
                <w:kern w:val="0"/>
                <w:szCs w:val="21"/>
              </w:rPr>
              <w:t>及时性</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项目实际完成时间与计划完成时间的比较，用以反映和考核项目产出时效目标的实现程度。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eastAsia="仿宋_GB2312"/>
                <w:color w:val="000000"/>
                <w:kern w:val="0"/>
                <w:szCs w:val="21"/>
                <w:lang w:eastAsia="zh-CN"/>
              </w:rPr>
            </w:pPr>
            <w:r>
              <w:rPr>
                <w:rFonts w:eastAsia="仿宋_GB2312"/>
                <w:color w:val="000000"/>
                <w:kern w:val="0"/>
                <w:szCs w:val="21"/>
              </w:rPr>
              <w:t>实际完成时间：项目单位完成该项目实际所耗用的时间。</w:t>
            </w:r>
          </w:p>
          <w:p>
            <w:pPr>
              <w:widowControl/>
              <w:rPr>
                <w:rFonts w:eastAsia="仿宋_GB2312"/>
                <w:color w:val="000000"/>
                <w:kern w:val="0"/>
                <w:szCs w:val="21"/>
              </w:rPr>
            </w:pPr>
            <w:r>
              <w:rPr>
                <w:rFonts w:eastAsia="仿宋_GB2312"/>
                <w:color w:val="000000"/>
                <w:kern w:val="0"/>
                <w:szCs w:val="21"/>
              </w:rPr>
              <w:t>计划完成时间：按照项目实施计划或相关规定完成该项目所需的时间。</w:t>
            </w:r>
          </w:p>
          <w:p>
            <w:pPr>
              <w:widowControl/>
              <w:rPr>
                <w:rFonts w:hint="default" w:eastAsia="仿宋_GB2312"/>
                <w:color w:val="000000"/>
                <w:kern w:val="0"/>
                <w:szCs w:val="21"/>
                <w:lang w:val="en-US" w:eastAsia="zh-CN"/>
              </w:rPr>
            </w:pPr>
            <w:r>
              <w:rPr>
                <w:rFonts w:hint="eastAsia" w:eastAsia="仿宋_GB2312"/>
                <w:color w:val="000000"/>
                <w:kern w:val="0"/>
                <w:szCs w:val="21"/>
                <w:lang w:val="en-US" w:eastAsia="zh-CN"/>
              </w:rPr>
              <w:t>每延迟一个月，扣0.5分，扣完为止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color w:val="000000"/>
                <w:kern w:val="0"/>
                <w:szCs w:val="21"/>
              </w:rPr>
            </w:pPr>
            <w:r>
              <w:rPr>
                <w:rFonts w:eastAsia="仿宋_GB2312"/>
                <w:color w:val="000000"/>
                <w:kern w:val="0"/>
                <w:szCs w:val="21"/>
              </w:rPr>
              <w:t>产出成本</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建设</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完成项目计划工作目标的实际成本与计划成本的比率，用以反映和考核项目建设成本节约程度。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建设成本节约率=[（计划建设成本-实际建设成本）/计划成本]×100%。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=建设成本节约率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default"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left"/>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运营</w:t>
            </w:r>
            <w:r>
              <w:rPr>
                <w:rFonts w:hint="eastAsia" w:eastAsia="仿宋_GB2312"/>
                <w:color w:val="000000"/>
                <w:kern w:val="0"/>
                <w:szCs w:val="21"/>
                <w:lang w:val="en-US" w:eastAsia="zh-CN"/>
              </w:rPr>
              <w:t xml:space="preserve"> </w:t>
            </w:r>
            <w:r>
              <w:rPr>
                <w:rFonts w:eastAsia="仿宋_GB2312"/>
                <w:color w:val="000000"/>
                <w:kern w:val="0"/>
                <w:szCs w:val="21"/>
              </w:rPr>
              <w:t>成本</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项目运营期间实际成本与计划成本的比率，用以反映和考核项目运营成本节约程度。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运营成本节约率=[（计划运营成本-实际运营成本）/计划成本]×100%。</w:t>
            </w:r>
          </w:p>
          <w:p>
            <w:pPr>
              <w:widowControl/>
              <w:rPr>
                <w:rFonts w:eastAsia="仿宋_GB2312"/>
                <w:color w:val="000000"/>
                <w:kern w:val="0"/>
                <w:szCs w:val="21"/>
              </w:rPr>
            </w:pPr>
            <w:r>
              <w:rPr>
                <w:rFonts w:hint="eastAsia" w:eastAsia="仿宋_GB2312"/>
                <w:color w:val="000000"/>
                <w:kern w:val="0"/>
                <w:szCs w:val="21"/>
                <w:lang w:eastAsia="zh-CN"/>
              </w:rPr>
              <w:t>该项得分</w:t>
            </w:r>
            <w:r>
              <w:rPr>
                <w:rFonts w:hint="eastAsia" w:eastAsia="仿宋_GB2312"/>
                <w:color w:val="000000"/>
                <w:kern w:val="0"/>
                <w:szCs w:val="21"/>
                <w:lang w:val="en-US" w:eastAsia="zh-CN"/>
              </w:rPr>
              <w:t>=运营成本节约率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tc>
        <w:tc>
          <w:tcPr>
            <w:tcW w:w="77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项目效益</w:t>
            </w: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w:t>
            </w:r>
            <w:r>
              <w:rPr>
                <w:rFonts w:hint="eastAsia" w:eastAsia="仿宋_GB2312"/>
                <w:color w:val="000000"/>
                <w:kern w:val="0"/>
                <w:szCs w:val="21"/>
                <w:lang w:val="en-US" w:eastAsia="zh-CN"/>
              </w:rPr>
              <w:t xml:space="preserve"> </w:t>
            </w:r>
            <w:r>
              <w:rPr>
                <w:rFonts w:eastAsia="仿宋_GB2312"/>
                <w:color w:val="000000"/>
                <w:kern w:val="0"/>
                <w:szCs w:val="21"/>
              </w:rPr>
              <w:t>效益</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项目综合效益实现情况。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项目实施所产生的社会效益、经济效益、生态效益、可持续影响等。可根据项目实际情况有选择地设置和细化。</w:t>
            </w:r>
            <w:r>
              <w:rPr>
                <w:rFonts w:hint="eastAsia" w:eastAsia="仿宋_GB2312"/>
                <w:color w:val="000000"/>
                <w:kern w:val="0"/>
                <w:szCs w:val="21"/>
                <w:lang w:eastAsia="zh-CN"/>
              </w:rPr>
              <w:t>根据项目的实施产生的效益计分，效益显著、较大、一般、较小、不明显、无效益，分别计</w:t>
            </w:r>
            <w:r>
              <w:rPr>
                <w:rFonts w:hint="eastAsia" w:eastAsia="仿宋_GB2312"/>
                <w:color w:val="000000"/>
                <w:kern w:val="0"/>
                <w:szCs w:val="21"/>
                <w:lang w:val="en-US" w:eastAsia="zh-CN"/>
              </w:rPr>
              <w:t>5分、4分、3分、2分、1分、0分。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社会资本投入</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用以反映和考核项目实施对撬动社会资本投入力度的影响</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eastAsia="zh-CN"/>
              </w:rPr>
            </w:pPr>
            <w:r>
              <w:rPr>
                <w:rFonts w:eastAsia="仿宋_GB2312"/>
                <w:color w:val="000000"/>
                <w:kern w:val="0"/>
                <w:szCs w:val="21"/>
              </w:rPr>
              <w:t>是否带动社会资本有效投资，推动区域经济高质量发展。</w:t>
            </w:r>
            <w:r>
              <w:rPr>
                <w:rFonts w:hint="eastAsia" w:eastAsia="仿宋_GB2312"/>
                <w:color w:val="000000"/>
                <w:kern w:val="0"/>
                <w:szCs w:val="21"/>
                <w:lang w:eastAsia="zh-CN"/>
              </w:rPr>
              <w:t>社会资本投入占项目总投入</w:t>
            </w:r>
            <w:r>
              <w:rPr>
                <w:rFonts w:hint="eastAsia" w:ascii="宋体" w:hAnsi="宋体" w:eastAsia="宋体" w:cs="宋体"/>
                <w:color w:val="000000"/>
                <w:kern w:val="0"/>
                <w:szCs w:val="21"/>
                <w:lang w:eastAsia="zh-CN"/>
              </w:rPr>
              <w:t>≧</w:t>
            </w:r>
            <w:r>
              <w:rPr>
                <w:rFonts w:hint="eastAsia" w:eastAsia="仿宋_GB2312"/>
                <w:color w:val="000000"/>
                <w:kern w:val="0"/>
                <w:szCs w:val="21"/>
                <w:lang w:val="en-US" w:eastAsia="zh-CN"/>
              </w:rPr>
              <w:t>20%，计5分，每减少1个百分点，扣0.25分，扣完为止。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w:t>
            </w:r>
          </w:p>
          <w:p>
            <w:pPr>
              <w:widowControl/>
              <w:jc w:val="center"/>
              <w:rPr>
                <w:rFonts w:eastAsia="仿宋_GB2312"/>
                <w:color w:val="000000"/>
                <w:kern w:val="0"/>
                <w:szCs w:val="21"/>
              </w:rPr>
            </w:pPr>
            <w:r>
              <w:rPr>
                <w:rFonts w:eastAsia="仿宋_GB2312"/>
                <w:color w:val="000000"/>
                <w:kern w:val="0"/>
                <w:szCs w:val="21"/>
              </w:rPr>
              <w:t>影响</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用以反映项目支持国家重大区域发展战略</w:t>
            </w:r>
            <w:r>
              <w:rPr>
                <w:rFonts w:hint="eastAsia" w:eastAsia="仿宋_GB2312"/>
                <w:color w:val="000000"/>
                <w:kern w:val="0"/>
                <w:szCs w:val="21"/>
                <w:lang w:eastAsia="zh-CN"/>
              </w:rPr>
              <w:t>、促进邵阳大发展等</w:t>
            </w:r>
            <w:r>
              <w:rPr>
                <w:rFonts w:eastAsia="仿宋_GB2312"/>
                <w:color w:val="000000"/>
                <w:kern w:val="0"/>
                <w:szCs w:val="21"/>
              </w:rPr>
              <w:t>情况</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eastAsia="仿宋_GB2312"/>
                <w:color w:val="000000"/>
                <w:kern w:val="0"/>
                <w:szCs w:val="21"/>
                <w:lang w:val="en-US"/>
              </w:rPr>
            </w:pPr>
            <w:r>
              <w:rPr>
                <w:rFonts w:eastAsia="仿宋_GB2312"/>
                <w:color w:val="000000"/>
                <w:kern w:val="0"/>
                <w:szCs w:val="21"/>
              </w:rPr>
              <w:t>项目支持国家重大区域发展战略</w:t>
            </w:r>
            <w:r>
              <w:rPr>
                <w:rFonts w:hint="eastAsia" w:eastAsia="仿宋_GB2312"/>
                <w:color w:val="000000"/>
                <w:kern w:val="0"/>
                <w:szCs w:val="21"/>
                <w:lang w:eastAsia="zh-CN"/>
              </w:rPr>
              <w:t>、促进邵阳大发展，影响深远，融合、推动邵阳十四五规划发展的，计</w:t>
            </w:r>
            <w:r>
              <w:rPr>
                <w:rFonts w:hint="eastAsia" w:eastAsia="仿宋_GB2312"/>
                <w:color w:val="000000"/>
                <w:kern w:val="0"/>
                <w:szCs w:val="21"/>
                <w:lang w:val="en-US" w:eastAsia="zh-CN"/>
              </w:rPr>
              <w:t>5分，在项目实施过程在发生影响发展的事件、事故，致邵阳发展受影响或制约的，每发生一起扣1分，扣完为止。</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vMerge w:val="continue"/>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仿宋_GB2312"/>
                <w:color w:val="000000"/>
                <w:kern w:val="0"/>
                <w:szCs w:val="21"/>
              </w:rPr>
            </w:pPr>
          </w:p>
        </w:tc>
        <w:tc>
          <w:tcPr>
            <w:tcW w:w="7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社会公众或服务对象对项目实施效果的满意程度。</w:t>
            </w: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仿宋_GB2312"/>
                <w:color w:val="000000"/>
                <w:kern w:val="0"/>
                <w:szCs w:val="21"/>
              </w:rPr>
            </w:pPr>
            <w:r>
              <w:rPr>
                <w:rFonts w:eastAsia="仿宋_GB2312"/>
                <w:color w:val="000000"/>
                <w:kern w:val="0"/>
                <w:szCs w:val="21"/>
              </w:rPr>
              <w:t>社会公众或服务对象是指因该项目实施而受到影响的部门、群体或个人。一般采取社会调查的方式。</w:t>
            </w:r>
            <w:r>
              <w:rPr>
                <w:rFonts w:hint="eastAsia" w:eastAsia="仿宋_GB2312"/>
                <w:color w:val="000000"/>
                <w:kern w:val="0"/>
                <w:szCs w:val="21"/>
                <w:lang w:eastAsia="zh-CN"/>
              </w:rPr>
              <w:t>由各中介机构制订调查问卷进行调查，不少于</w:t>
            </w:r>
            <w:r>
              <w:rPr>
                <w:rFonts w:hint="eastAsia" w:eastAsia="仿宋_GB2312"/>
                <w:color w:val="000000"/>
                <w:kern w:val="0"/>
                <w:szCs w:val="21"/>
                <w:lang w:val="en-US" w:eastAsia="zh-CN"/>
              </w:rPr>
              <w:t>30份。</w:t>
            </w:r>
            <w:r>
              <w:rPr>
                <w:rFonts w:hint="eastAsia" w:eastAsia="仿宋_GB2312"/>
                <w:color w:val="000000"/>
                <w:kern w:val="0"/>
                <w:szCs w:val="21"/>
                <w:lang w:eastAsia="zh-CN"/>
              </w:rPr>
              <w:t>该项得分</w:t>
            </w:r>
            <w:r>
              <w:rPr>
                <w:rFonts w:hint="eastAsia" w:eastAsia="仿宋_GB2312"/>
                <w:color w:val="000000"/>
                <w:kern w:val="0"/>
                <w:szCs w:val="21"/>
                <w:lang w:val="en-US" w:eastAsia="zh-CN"/>
              </w:rPr>
              <w:t>=满意率</w:t>
            </w:r>
            <w:r>
              <w:rPr>
                <w:rFonts w:eastAsia="仿宋_GB2312"/>
                <w:color w:val="000000"/>
                <w:kern w:val="0"/>
                <w:szCs w:val="21"/>
              </w:rPr>
              <w:t>×</w:t>
            </w:r>
            <w:r>
              <w:rPr>
                <w:rFonts w:hint="eastAsia" w:eastAsia="仿宋_GB2312"/>
                <w:color w:val="000000"/>
                <w:kern w:val="0"/>
                <w:szCs w:val="21"/>
                <w:lang w:val="en-US" w:eastAsia="zh-CN"/>
              </w:rPr>
              <w:t>5分</w:t>
            </w: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r>
        <w:tblPrEx>
          <w:tblCellMar>
            <w:top w:w="0" w:type="dxa"/>
            <w:left w:w="108" w:type="dxa"/>
            <w:bottom w:w="0" w:type="dxa"/>
            <w:right w:w="108" w:type="dxa"/>
          </w:tblCellMar>
        </w:tblPrEx>
        <w:trPr>
          <w:trHeight w:val="454" w:hRule="atLeast"/>
          <w:jc w:val="center"/>
        </w:trPr>
        <w:tc>
          <w:tcPr>
            <w:tcW w:w="72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7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100分</w:t>
            </w:r>
          </w:p>
        </w:tc>
        <w:tc>
          <w:tcPr>
            <w:tcW w:w="33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57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20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line="360" w:lineRule="auto"/>
              <w:jc w:val="center"/>
              <w:rPr>
                <w:rFonts w:hint="eastAsia" w:eastAsia="仿宋_GB2312"/>
                <w:color w:val="000000"/>
                <w:kern w:val="0"/>
                <w:szCs w:val="21"/>
                <w:lang w:val="en-US" w:eastAsia="zh-CN"/>
              </w:rPr>
            </w:pPr>
          </w:p>
        </w:tc>
      </w:tr>
    </w:tbl>
    <w:p>
      <w:pPr>
        <w:pStyle w:val="2"/>
        <w:keepNext w:val="0"/>
        <w:keepLines w:val="0"/>
        <w:pageBreakBefore w:val="0"/>
        <w:widowControl w:val="0"/>
        <w:kinsoku/>
        <w:wordWrap/>
        <w:overflowPunct/>
        <w:topLinePunct w:val="0"/>
        <w:autoSpaceDE/>
        <w:autoSpaceDN/>
        <w:bidi w:val="0"/>
        <w:spacing w:line="360" w:lineRule="auto"/>
        <w:rPr>
          <w:rFonts w:hint="eastAsia"/>
        </w:rPr>
        <w:sectPr>
          <w:headerReference r:id="rId3" w:type="default"/>
          <w:footerReference r:id="rId4" w:type="default"/>
          <w:pgSz w:w="16838" w:h="11906" w:orient="landscape"/>
          <w:pgMar w:top="1134" w:right="1134" w:bottom="1134" w:left="1134" w:header="851" w:footer="992" w:gutter="0"/>
          <w:pgNumType w:fmt="decimal"/>
          <w:cols w:space="425" w:num="1"/>
          <w:rtlGutter w:val="0"/>
          <w:docGrid w:type="lines" w:linePitch="312" w:charSpace="0"/>
        </w:sectPr>
      </w:pPr>
    </w:p>
    <w:p>
      <w:pPr>
        <w:pStyle w:val="2"/>
        <w:keepNext w:val="0"/>
        <w:keepLines w:val="0"/>
        <w:pageBreakBefore w:val="0"/>
        <w:widowControl w:val="0"/>
        <w:kinsoku/>
        <w:wordWrap/>
        <w:overflowPunct/>
        <w:topLinePunct w:val="0"/>
        <w:autoSpaceDE/>
        <w:autoSpaceDN/>
        <w:bidi w:val="0"/>
        <w:spacing w:line="360" w:lineRule="auto"/>
        <w:rPr>
          <w:rFonts w:hint="eastAsia"/>
          <w:highlight w:val="none"/>
          <w:lang w:eastAsia="zh-CN"/>
        </w:rPr>
      </w:pPr>
    </w:p>
    <w:sectPr>
      <w:pgSz w:w="11906" w:h="16838"/>
      <w:pgMar w:top="1134" w:right="1134" w:bottom="1134" w:left="1134" w:header="851" w:footer="992" w:gutter="0"/>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8306"/>
      </w:tabs>
      <w:snapToGrid w:val="0"/>
      <w:spacing w:beforeLines="0" w:afterLines="0"/>
      <w:jc w:val="center"/>
      <w:rPr>
        <w:rFonts w:hint="default" w:ascii="Calibri" w:hAnsi="Calibri"/>
        <w:sz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beforeLines="0" w:afterLines="0"/>
      <w:rPr>
        <w:rFonts w:hint="default"/>
        <w:sz w:val="1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B55DD"/>
    <w:multiLevelType w:val="multilevel"/>
    <w:tmpl w:val="1FCB55DD"/>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F3A70F0"/>
    <w:multiLevelType w:val="multilevel"/>
    <w:tmpl w:val="2F3A70F0"/>
    <w:lvl w:ilvl="0" w:tentative="0">
      <w:start w:val="1"/>
      <w:numFmt w:val="decimalEnclosedCircle"/>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467709"/>
    <w:rsid w:val="001C048E"/>
    <w:rsid w:val="003973FD"/>
    <w:rsid w:val="00B2005C"/>
    <w:rsid w:val="00CD79DA"/>
    <w:rsid w:val="010230DF"/>
    <w:rsid w:val="01121891"/>
    <w:rsid w:val="01C54B55"/>
    <w:rsid w:val="01C8471F"/>
    <w:rsid w:val="025832D3"/>
    <w:rsid w:val="025E1380"/>
    <w:rsid w:val="02704AC1"/>
    <w:rsid w:val="0293255D"/>
    <w:rsid w:val="02AF74E7"/>
    <w:rsid w:val="02B524D4"/>
    <w:rsid w:val="02BC7D06"/>
    <w:rsid w:val="02D74B40"/>
    <w:rsid w:val="03323B24"/>
    <w:rsid w:val="038F1D02"/>
    <w:rsid w:val="03B95FF4"/>
    <w:rsid w:val="03BA78C8"/>
    <w:rsid w:val="03CA7149"/>
    <w:rsid w:val="04467709"/>
    <w:rsid w:val="046B3792"/>
    <w:rsid w:val="047343F5"/>
    <w:rsid w:val="052C157C"/>
    <w:rsid w:val="063B3638"/>
    <w:rsid w:val="06986394"/>
    <w:rsid w:val="06AB431A"/>
    <w:rsid w:val="06C74ECC"/>
    <w:rsid w:val="071F455A"/>
    <w:rsid w:val="075229E7"/>
    <w:rsid w:val="0769037B"/>
    <w:rsid w:val="082C3238"/>
    <w:rsid w:val="084C7436"/>
    <w:rsid w:val="088A4403"/>
    <w:rsid w:val="089900B5"/>
    <w:rsid w:val="08BD20E2"/>
    <w:rsid w:val="08BF22FE"/>
    <w:rsid w:val="08FD1430"/>
    <w:rsid w:val="094F5880"/>
    <w:rsid w:val="09AD03A9"/>
    <w:rsid w:val="09B2776D"/>
    <w:rsid w:val="09C35E1E"/>
    <w:rsid w:val="09EC6316"/>
    <w:rsid w:val="0A4833FA"/>
    <w:rsid w:val="0A486323"/>
    <w:rsid w:val="0A5D6962"/>
    <w:rsid w:val="0A5F3184"/>
    <w:rsid w:val="0AB67731"/>
    <w:rsid w:val="0ABB6AF5"/>
    <w:rsid w:val="0AEC7FF8"/>
    <w:rsid w:val="0B597A11"/>
    <w:rsid w:val="0BD26F37"/>
    <w:rsid w:val="0D0429D6"/>
    <w:rsid w:val="0D8853B5"/>
    <w:rsid w:val="0D9F3CDC"/>
    <w:rsid w:val="0DB77A48"/>
    <w:rsid w:val="0E213113"/>
    <w:rsid w:val="0E4D3F08"/>
    <w:rsid w:val="0E7269C2"/>
    <w:rsid w:val="0E8A6F0A"/>
    <w:rsid w:val="0EB60EDD"/>
    <w:rsid w:val="0F783207"/>
    <w:rsid w:val="0F7E72D6"/>
    <w:rsid w:val="0FBC2F82"/>
    <w:rsid w:val="0FCD5301"/>
    <w:rsid w:val="0FE663C2"/>
    <w:rsid w:val="0FFE31DD"/>
    <w:rsid w:val="102B2027"/>
    <w:rsid w:val="10875725"/>
    <w:rsid w:val="10AA3894"/>
    <w:rsid w:val="10E956D6"/>
    <w:rsid w:val="10F7015B"/>
    <w:rsid w:val="115C0EB7"/>
    <w:rsid w:val="118F0306"/>
    <w:rsid w:val="119500A0"/>
    <w:rsid w:val="11A93B4C"/>
    <w:rsid w:val="11B41136"/>
    <w:rsid w:val="120451D4"/>
    <w:rsid w:val="12B02CB8"/>
    <w:rsid w:val="12E017EF"/>
    <w:rsid w:val="13201FF4"/>
    <w:rsid w:val="13D824C6"/>
    <w:rsid w:val="13F07810"/>
    <w:rsid w:val="14F64D3C"/>
    <w:rsid w:val="15205ED3"/>
    <w:rsid w:val="1543623D"/>
    <w:rsid w:val="15973CBB"/>
    <w:rsid w:val="1599680B"/>
    <w:rsid w:val="163A4E64"/>
    <w:rsid w:val="165C73DE"/>
    <w:rsid w:val="16BD39C5"/>
    <w:rsid w:val="175B58E8"/>
    <w:rsid w:val="177C760C"/>
    <w:rsid w:val="17C36FE9"/>
    <w:rsid w:val="17D47448"/>
    <w:rsid w:val="18636D79"/>
    <w:rsid w:val="186A12AD"/>
    <w:rsid w:val="188624F1"/>
    <w:rsid w:val="18AC23B2"/>
    <w:rsid w:val="18B6056A"/>
    <w:rsid w:val="194128BC"/>
    <w:rsid w:val="19583FF2"/>
    <w:rsid w:val="195E6FCA"/>
    <w:rsid w:val="19785418"/>
    <w:rsid w:val="197E766C"/>
    <w:rsid w:val="19A2414E"/>
    <w:rsid w:val="1A424B3D"/>
    <w:rsid w:val="1AA07F9C"/>
    <w:rsid w:val="1AB772D9"/>
    <w:rsid w:val="1B867DFA"/>
    <w:rsid w:val="1BA86C22"/>
    <w:rsid w:val="1BE841D4"/>
    <w:rsid w:val="1C077DEC"/>
    <w:rsid w:val="1C0E2F29"/>
    <w:rsid w:val="1CF85987"/>
    <w:rsid w:val="1D04432C"/>
    <w:rsid w:val="1D2C098E"/>
    <w:rsid w:val="1D33076D"/>
    <w:rsid w:val="1D4F5539"/>
    <w:rsid w:val="1D81772B"/>
    <w:rsid w:val="1D9B2E7B"/>
    <w:rsid w:val="1E543091"/>
    <w:rsid w:val="1ECE699F"/>
    <w:rsid w:val="1F6D440A"/>
    <w:rsid w:val="1F792252"/>
    <w:rsid w:val="1FFC578E"/>
    <w:rsid w:val="208445B0"/>
    <w:rsid w:val="20886610"/>
    <w:rsid w:val="210C01FF"/>
    <w:rsid w:val="216B4831"/>
    <w:rsid w:val="21735CA5"/>
    <w:rsid w:val="21A91FC9"/>
    <w:rsid w:val="2201708C"/>
    <w:rsid w:val="22161381"/>
    <w:rsid w:val="22F015DA"/>
    <w:rsid w:val="22FD3CF7"/>
    <w:rsid w:val="2322375E"/>
    <w:rsid w:val="23474F72"/>
    <w:rsid w:val="240545F4"/>
    <w:rsid w:val="24092228"/>
    <w:rsid w:val="248F6BD1"/>
    <w:rsid w:val="24D726DF"/>
    <w:rsid w:val="252A68FA"/>
    <w:rsid w:val="258E2EC9"/>
    <w:rsid w:val="26190E48"/>
    <w:rsid w:val="26795443"/>
    <w:rsid w:val="26A36964"/>
    <w:rsid w:val="26C64400"/>
    <w:rsid w:val="26F005AB"/>
    <w:rsid w:val="2724208F"/>
    <w:rsid w:val="27E014F2"/>
    <w:rsid w:val="29947356"/>
    <w:rsid w:val="2A21651D"/>
    <w:rsid w:val="2A8C323E"/>
    <w:rsid w:val="2B821136"/>
    <w:rsid w:val="2C46385D"/>
    <w:rsid w:val="2C471B3F"/>
    <w:rsid w:val="2C513B81"/>
    <w:rsid w:val="2CFE2B46"/>
    <w:rsid w:val="2D6A1F89"/>
    <w:rsid w:val="2E0F1224"/>
    <w:rsid w:val="2E8452CD"/>
    <w:rsid w:val="2EC87D46"/>
    <w:rsid w:val="2EFA558F"/>
    <w:rsid w:val="2EFE507F"/>
    <w:rsid w:val="2F000DF7"/>
    <w:rsid w:val="2F61560E"/>
    <w:rsid w:val="2FFD5337"/>
    <w:rsid w:val="30065ED6"/>
    <w:rsid w:val="30093CDB"/>
    <w:rsid w:val="3038011D"/>
    <w:rsid w:val="30656A38"/>
    <w:rsid w:val="30975661"/>
    <w:rsid w:val="310D3357"/>
    <w:rsid w:val="32317519"/>
    <w:rsid w:val="32FF13C6"/>
    <w:rsid w:val="330F4452"/>
    <w:rsid w:val="33352DD5"/>
    <w:rsid w:val="33384831"/>
    <w:rsid w:val="336D1CA2"/>
    <w:rsid w:val="337C2A16"/>
    <w:rsid w:val="337E257D"/>
    <w:rsid w:val="344277BC"/>
    <w:rsid w:val="34525525"/>
    <w:rsid w:val="348A1163"/>
    <w:rsid w:val="351729F7"/>
    <w:rsid w:val="35245113"/>
    <w:rsid w:val="35393C7C"/>
    <w:rsid w:val="356C7F43"/>
    <w:rsid w:val="360B340E"/>
    <w:rsid w:val="36120E9A"/>
    <w:rsid w:val="3623361D"/>
    <w:rsid w:val="366A124C"/>
    <w:rsid w:val="366D6646"/>
    <w:rsid w:val="369D517D"/>
    <w:rsid w:val="36C50230"/>
    <w:rsid w:val="37307DA0"/>
    <w:rsid w:val="3748158D"/>
    <w:rsid w:val="37A662B4"/>
    <w:rsid w:val="386941A1"/>
    <w:rsid w:val="386A5533"/>
    <w:rsid w:val="3929719C"/>
    <w:rsid w:val="39900FC9"/>
    <w:rsid w:val="39D00BC7"/>
    <w:rsid w:val="3A073C4A"/>
    <w:rsid w:val="3A361B71"/>
    <w:rsid w:val="3A4F27DC"/>
    <w:rsid w:val="3AA54601"/>
    <w:rsid w:val="3AB900AC"/>
    <w:rsid w:val="3AED7D56"/>
    <w:rsid w:val="3B710987"/>
    <w:rsid w:val="3B742225"/>
    <w:rsid w:val="3BB30F9F"/>
    <w:rsid w:val="3BF515B8"/>
    <w:rsid w:val="3C5D067D"/>
    <w:rsid w:val="3C7E15AD"/>
    <w:rsid w:val="3C7F27F6"/>
    <w:rsid w:val="3C846FAD"/>
    <w:rsid w:val="3C940DD1"/>
    <w:rsid w:val="3C9E57AB"/>
    <w:rsid w:val="3D29776B"/>
    <w:rsid w:val="3E927592"/>
    <w:rsid w:val="3EBE2135"/>
    <w:rsid w:val="3F496A18"/>
    <w:rsid w:val="3FB511AB"/>
    <w:rsid w:val="40E87EB3"/>
    <w:rsid w:val="40F0234E"/>
    <w:rsid w:val="410127AD"/>
    <w:rsid w:val="41210759"/>
    <w:rsid w:val="413E130B"/>
    <w:rsid w:val="414E52F2"/>
    <w:rsid w:val="415723CD"/>
    <w:rsid w:val="41670862"/>
    <w:rsid w:val="41807B75"/>
    <w:rsid w:val="41F8002D"/>
    <w:rsid w:val="42206C63"/>
    <w:rsid w:val="435272F0"/>
    <w:rsid w:val="43770394"/>
    <w:rsid w:val="43AF0531"/>
    <w:rsid w:val="43D016EC"/>
    <w:rsid w:val="43D03296"/>
    <w:rsid w:val="444078CC"/>
    <w:rsid w:val="447F4114"/>
    <w:rsid w:val="45551365"/>
    <w:rsid w:val="45A35BE1"/>
    <w:rsid w:val="45F60406"/>
    <w:rsid w:val="46170428"/>
    <w:rsid w:val="46687C2D"/>
    <w:rsid w:val="469D6230"/>
    <w:rsid w:val="46B856BC"/>
    <w:rsid w:val="46E07E03"/>
    <w:rsid w:val="47486A40"/>
    <w:rsid w:val="47881532"/>
    <w:rsid w:val="47B73BC5"/>
    <w:rsid w:val="48DF1625"/>
    <w:rsid w:val="48E21116"/>
    <w:rsid w:val="48FD5F50"/>
    <w:rsid w:val="49C36851"/>
    <w:rsid w:val="49E044F4"/>
    <w:rsid w:val="4A0C2D29"/>
    <w:rsid w:val="4A413C1A"/>
    <w:rsid w:val="4A5D6CA6"/>
    <w:rsid w:val="4A875AD1"/>
    <w:rsid w:val="4AA1441B"/>
    <w:rsid w:val="4AFF7D5D"/>
    <w:rsid w:val="4BD64673"/>
    <w:rsid w:val="4BEB02E1"/>
    <w:rsid w:val="4BF47196"/>
    <w:rsid w:val="4C0F2222"/>
    <w:rsid w:val="4C11514E"/>
    <w:rsid w:val="4C4719BC"/>
    <w:rsid w:val="4C9D5A7F"/>
    <w:rsid w:val="4D0C075F"/>
    <w:rsid w:val="4FD07F1A"/>
    <w:rsid w:val="4FF84D7B"/>
    <w:rsid w:val="500B71A4"/>
    <w:rsid w:val="50575739"/>
    <w:rsid w:val="50853693"/>
    <w:rsid w:val="50E05F3B"/>
    <w:rsid w:val="50F80162"/>
    <w:rsid w:val="520E4D2A"/>
    <w:rsid w:val="523D0E4F"/>
    <w:rsid w:val="52552958"/>
    <w:rsid w:val="527B65A2"/>
    <w:rsid w:val="52C06024"/>
    <w:rsid w:val="53281E1B"/>
    <w:rsid w:val="532D11DF"/>
    <w:rsid w:val="533E33EC"/>
    <w:rsid w:val="534F6994"/>
    <w:rsid w:val="53D665BC"/>
    <w:rsid w:val="54001829"/>
    <w:rsid w:val="54195D22"/>
    <w:rsid w:val="547F2161"/>
    <w:rsid w:val="54B35714"/>
    <w:rsid w:val="5517212A"/>
    <w:rsid w:val="5540344C"/>
    <w:rsid w:val="55674E7D"/>
    <w:rsid w:val="55785D7D"/>
    <w:rsid w:val="55DF2C65"/>
    <w:rsid w:val="55EE10FA"/>
    <w:rsid w:val="562260D0"/>
    <w:rsid w:val="56FC15AA"/>
    <w:rsid w:val="579B0E0D"/>
    <w:rsid w:val="57A37082"/>
    <w:rsid w:val="57F22386"/>
    <w:rsid w:val="57F64A30"/>
    <w:rsid w:val="5806097D"/>
    <w:rsid w:val="58296419"/>
    <w:rsid w:val="582F0470"/>
    <w:rsid w:val="58586CFE"/>
    <w:rsid w:val="588D071E"/>
    <w:rsid w:val="58D2085F"/>
    <w:rsid w:val="59301A29"/>
    <w:rsid w:val="5939461F"/>
    <w:rsid w:val="593A6404"/>
    <w:rsid w:val="59A04F9F"/>
    <w:rsid w:val="5A111FBE"/>
    <w:rsid w:val="5A7D1440"/>
    <w:rsid w:val="5AE825BC"/>
    <w:rsid w:val="5B6F72D4"/>
    <w:rsid w:val="5B85605C"/>
    <w:rsid w:val="5CA97B29"/>
    <w:rsid w:val="5CC76201"/>
    <w:rsid w:val="5CD5434D"/>
    <w:rsid w:val="5CED3EB9"/>
    <w:rsid w:val="5F2142EE"/>
    <w:rsid w:val="5F474E53"/>
    <w:rsid w:val="5F531FCE"/>
    <w:rsid w:val="60365B77"/>
    <w:rsid w:val="6094289E"/>
    <w:rsid w:val="611539DF"/>
    <w:rsid w:val="611A7247"/>
    <w:rsid w:val="611F660B"/>
    <w:rsid w:val="615D64BE"/>
    <w:rsid w:val="61734BA9"/>
    <w:rsid w:val="622A34BA"/>
    <w:rsid w:val="62410803"/>
    <w:rsid w:val="62E713AB"/>
    <w:rsid w:val="63775DD3"/>
    <w:rsid w:val="63C94F54"/>
    <w:rsid w:val="63D7141F"/>
    <w:rsid w:val="63DD630A"/>
    <w:rsid w:val="646D3B32"/>
    <w:rsid w:val="64B4350F"/>
    <w:rsid w:val="64BB664B"/>
    <w:rsid w:val="64D94D23"/>
    <w:rsid w:val="6518584B"/>
    <w:rsid w:val="658B24C1"/>
    <w:rsid w:val="66012DB4"/>
    <w:rsid w:val="669E4476"/>
    <w:rsid w:val="669E4EAC"/>
    <w:rsid w:val="670265DC"/>
    <w:rsid w:val="675B2367"/>
    <w:rsid w:val="678E44EB"/>
    <w:rsid w:val="679938D2"/>
    <w:rsid w:val="67F50315"/>
    <w:rsid w:val="67FE0B02"/>
    <w:rsid w:val="68273FF7"/>
    <w:rsid w:val="686B482C"/>
    <w:rsid w:val="687E15DE"/>
    <w:rsid w:val="68CA6D7A"/>
    <w:rsid w:val="69C07B73"/>
    <w:rsid w:val="69F16143"/>
    <w:rsid w:val="6AB9362D"/>
    <w:rsid w:val="6BE0108D"/>
    <w:rsid w:val="6C007039"/>
    <w:rsid w:val="6CE36AAC"/>
    <w:rsid w:val="6CF90658"/>
    <w:rsid w:val="6D2C23B6"/>
    <w:rsid w:val="6D48513C"/>
    <w:rsid w:val="6D502F5C"/>
    <w:rsid w:val="6DB80DAC"/>
    <w:rsid w:val="6EB011EB"/>
    <w:rsid w:val="6F6F58B2"/>
    <w:rsid w:val="6FB927D4"/>
    <w:rsid w:val="6FBE49C3"/>
    <w:rsid w:val="703B6CD7"/>
    <w:rsid w:val="70757FF6"/>
    <w:rsid w:val="709F453F"/>
    <w:rsid w:val="71E60A7F"/>
    <w:rsid w:val="724F4877"/>
    <w:rsid w:val="727442DD"/>
    <w:rsid w:val="728F13F9"/>
    <w:rsid w:val="72C35F13"/>
    <w:rsid w:val="72F316A6"/>
    <w:rsid w:val="74336496"/>
    <w:rsid w:val="74880144"/>
    <w:rsid w:val="74B03CF2"/>
    <w:rsid w:val="74DB0643"/>
    <w:rsid w:val="750A2CD7"/>
    <w:rsid w:val="7553467E"/>
    <w:rsid w:val="75734D20"/>
    <w:rsid w:val="75D25EEA"/>
    <w:rsid w:val="764324C4"/>
    <w:rsid w:val="76740D50"/>
    <w:rsid w:val="77304A94"/>
    <w:rsid w:val="776F06F3"/>
    <w:rsid w:val="77976AA4"/>
    <w:rsid w:val="77A64F39"/>
    <w:rsid w:val="78012BEE"/>
    <w:rsid w:val="78484242"/>
    <w:rsid w:val="78A31FFF"/>
    <w:rsid w:val="78E23F4E"/>
    <w:rsid w:val="78E24696"/>
    <w:rsid w:val="79A27982"/>
    <w:rsid w:val="79DC10E6"/>
    <w:rsid w:val="79DD6C0C"/>
    <w:rsid w:val="7A9814B1"/>
    <w:rsid w:val="7AC53928"/>
    <w:rsid w:val="7ADB10B0"/>
    <w:rsid w:val="7AE85868"/>
    <w:rsid w:val="7AEC5358"/>
    <w:rsid w:val="7B4A207F"/>
    <w:rsid w:val="7C0B3B68"/>
    <w:rsid w:val="7C39281F"/>
    <w:rsid w:val="7D31799A"/>
    <w:rsid w:val="7DA97531"/>
    <w:rsid w:val="7DE1316F"/>
    <w:rsid w:val="7DFC3B04"/>
    <w:rsid w:val="7E1075B0"/>
    <w:rsid w:val="7EC65C47"/>
    <w:rsid w:val="7F8A3F78"/>
    <w:rsid w:val="7F95312E"/>
    <w:rsid w:val="7F9E2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b/>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200" w:line="276" w:lineRule="auto"/>
    </w:pPr>
    <w:rPr>
      <w:rFonts w:ascii="Arial" w:hAnsi="Arial" w:eastAsia="宋体" w:cs="Times New Roman"/>
      <w:sz w:val="24"/>
      <w:szCs w:val="24"/>
    </w:r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Body Text Indent"/>
    <w:basedOn w:val="1"/>
    <w:unhideWhenUsed/>
    <w:qFormat/>
    <w:uiPriority w:val="0"/>
    <w:pPr>
      <w:spacing w:beforeLines="0" w:afterLines="0"/>
      <w:ind w:firstLine="640" w:firstLineChars="200"/>
    </w:pPr>
    <w:rPr>
      <w:rFonts w:hint="default"/>
      <w:sz w:val="32"/>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Body Text First Indent 2"/>
    <w:basedOn w:val="6"/>
    <w:unhideWhenUsed/>
    <w:qFormat/>
    <w:uiPriority w:val="99"/>
    <w:pPr>
      <w:spacing w:beforeLines="0" w:afterLines="0"/>
      <w:ind w:firstLine="420"/>
    </w:pPr>
    <w:rPr>
      <w:rFonts w:hint="default"/>
      <w:sz w:val="32"/>
    </w:rPr>
  </w:style>
  <w:style w:type="character" w:styleId="11">
    <w:name w:val="page number"/>
    <w:basedOn w:val="10"/>
    <w:qFormat/>
    <w:uiPriority w:val="0"/>
  </w:style>
  <w:style w:type="paragraph" w:styleId="12">
    <w:name w:val="List Paragraph"/>
    <w:basedOn w:val="1"/>
    <w:qFormat/>
    <w:uiPriority w:val="99"/>
    <w:pPr>
      <w:ind w:firstLine="420" w:firstLineChars="200"/>
    </w:pPr>
    <w:rPr>
      <w:rFonts w:ascii="Calibri" w:hAnsi="Calibri" w:eastAsia="宋体" w:cs="Times New Roman"/>
      <w:szCs w:val="22"/>
    </w:rPr>
  </w:style>
  <w:style w:type="paragraph" w:customStyle="1" w:styleId="13">
    <w:name w:val="Normal (Web)"/>
    <w:basedOn w:val="1"/>
    <w:qFormat/>
    <w:uiPriority w:val="0"/>
    <w:pPr>
      <w:jc w:val="left"/>
    </w:pPr>
    <w:rPr>
      <w:kern w:val="0"/>
      <w:sz w:val="24"/>
    </w:rPr>
  </w:style>
  <w:style w:type="character" w:customStyle="1" w:styleId="14">
    <w:name w:val="font21"/>
    <w:basedOn w:val="10"/>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9900</Words>
  <Characters>11087</Characters>
  <Lines>0</Lines>
  <Paragraphs>0</Paragraphs>
  <TotalTime>2</TotalTime>
  <ScaleCrop>false</ScaleCrop>
  <LinksUpToDate>false</LinksUpToDate>
  <CharactersWithSpaces>11228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2020-10-22T06:59:00Z</dcterms:created>
  <dc:creator>Administrator</dc:creator>
  <cp:lastModifiedBy>Administrator</cp:lastModifiedBy>
  <dcterms:modified xsi:type="dcterms:W3CDTF">2022-09-05T00:52:27Z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F700B10C98D44AFEA43740C4E7D2A2B1</vt:lpwstr>
  </property>
</Properties>
</file>