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p>
    <w:p>
      <w:pPr>
        <w:pStyle w:val="9"/>
      </w:pPr>
    </w:p>
    <w:p>
      <w:pPr>
        <w:rPr>
          <w:b/>
          <w:sz w:val="52"/>
          <w:szCs w:val="52"/>
        </w:rPr>
      </w:pPr>
    </w:p>
    <w:p>
      <w:pPr>
        <w:jc w:val="center"/>
        <w:rPr>
          <w:b/>
          <w:sz w:val="52"/>
          <w:szCs w:val="52"/>
        </w:rPr>
      </w:pPr>
    </w:p>
    <w:p>
      <w:pPr>
        <w:pStyle w:val="9"/>
        <w:jc w:val="center"/>
        <w:rPr>
          <w:b/>
          <w:bCs/>
          <w:w w:val="90"/>
          <w:sz w:val="72"/>
        </w:rPr>
      </w:pPr>
      <w:r>
        <w:rPr>
          <w:b/>
          <w:bCs/>
          <w:w w:val="90"/>
          <w:sz w:val="72"/>
        </w:rPr>
        <w:t>建设项目环境影响报告表</w:t>
      </w:r>
    </w:p>
    <w:p>
      <w:pPr>
        <w:jc w:val="center"/>
        <w:rPr>
          <w:b/>
          <w:bCs/>
          <w:sz w:val="36"/>
        </w:rPr>
      </w:pPr>
      <w:r>
        <w:rPr>
          <w:rFonts w:hAnsi="宋体"/>
          <w:b/>
          <w:bCs/>
          <w:sz w:val="32"/>
        </w:rPr>
        <w:t>（</w:t>
      </w:r>
      <w:r>
        <w:rPr>
          <w:rFonts w:hint="eastAsia" w:hAnsi="宋体"/>
          <w:b/>
          <w:bCs/>
          <w:sz w:val="32"/>
          <w:lang w:eastAsia="zh-CN"/>
        </w:rPr>
        <w:t>报批</w:t>
      </w:r>
      <w:r>
        <w:rPr>
          <w:rFonts w:hAnsi="宋体"/>
          <w:b/>
          <w:bCs/>
          <w:sz w:val="32"/>
        </w:rPr>
        <w:t>稿）</w:t>
      </w:r>
    </w:p>
    <w:p/>
    <w:p>
      <w:pPr>
        <w:pStyle w:val="9"/>
      </w:pPr>
    </w:p>
    <w:p/>
    <w:p/>
    <w:p>
      <w:pPr>
        <w:pStyle w:val="9"/>
      </w:pPr>
    </w:p>
    <w:p>
      <w:pPr>
        <w:pStyle w:val="9"/>
      </w:pPr>
    </w:p>
    <w:p/>
    <w:p>
      <w:pPr>
        <w:pStyle w:val="36"/>
      </w:pPr>
    </w:p>
    <w:p/>
    <w:p>
      <w:pPr>
        <w:spacing w:beforeLines="100" w:line="480" w:lineRule="auto"/>
        <w:rPr>
          <w:rFonts w:hint="default"/>
          <w:b/>
          <w:spacing w:val="20"/>
          <w:w w:val="90"/>
          <w:sz w:val="30"/>
          <w:szCs w:val="30"/>
          <w:u w:val="single"/>
          <w:lang w:val="en-US"/>
        </w:rPr>
      </w:pPr>
      <w:r>
        <w:rPr>
          <w:b/>
          <w:spacing w:val="-10"/>
          <w:sz w:val="32"/>
        </w:rPr>
        <w:t xml:space="preserve"> 项</w:t>
      </w:r>
      <w:r>
        <w:rPr>
          <w:rFonts w:hint="eastAsia"/>
          <w:b/>
          <w:spacing w:val="-10"/>
          <w:sz w:val="32"/>
        </w:rPr>
        <w:t xml:space="preserve">  </w:t>
      </w:r>
      <w:r>
        <w:rPr>
          <w:b/>
          <w:spacing w:val="-10"/>
          <w:sz w:val="32"/>
        </w:rPr>
        <w:t>目</w:t>
      </w:r>
      <w:r>
        <w:rPr>
          <w:rFonts w:hint="eastAsia"/>
          <w:b/>
          <w:spacing w:val="-10"/>
          <w:sz w:val="32"/>
        </w:rPr>
        <w:t xml:space="preserve">  </w:t>
      </w:r>
      <w:r>
        <w:rPr>
          <w:b/>
          <w:spacing w:val="-10"/>
          <w:sz w:val="32"/>
        </w:rPr>
        <w:t>名</w:t>
      </w:r>
      <w:r>
        <w:rPr>
          <w:rFonts w:hint="eastAsia"/>
          <w:b/>
          <w:spacing w:val="-10"/>
          <w:sz w:val="32"/>
        </w:rPr>
        <w:t xml:space="preserve">  </w:t>
      </w:r>
      <w:r>
        <w:rPr>
          <w:b/>
          <w:spacing w:val="-10"/>
          <w:sz w:val="32"/>
        </w:rPr>
        <w:t>称</w:t>
      </w:r>
      <w:r>
        <w:rPr>
          <w:b/>
          <w:sz w:val="32"/>
        </w:rPr>
        <w:t>：</w:t>
      </w:r>
      <w:r>
        <w:rPr>
          <w:rFonts w:hint="eastAsia"/>
          <w:b/>
          <w:w w:val="90"/>
          <w:sz w:val="32"/>
          <w:szCs w:val="22"/>
          <w:u w:val="single"/>
          <w:lang w:eastAsia="zh-CN"/>
        </w:rPr>
        <w:t xml:space="preserve"> 双清区渡头桥污水处理厂及周边配套管网工程</w:t>
      </w:r>
      <w:r>
        <w:rPr>
          <w:rFonts w:hint="eastAsia"/>
          <w:b/>
          <w:w w:val="90"/>
          <w:sz w:val="32"/>
          <w:szCs w:val="22"/>
          <w:u w:val="single"/>
          <w:lang w:val="en-US" w:eastAsia="zh-CN"/>
        </w:rPr>
        <w:t xml:space="preserve"> </w:t>
      </w:r>
    </w:p>
    <w:p>
      <w:pPr>
        <w:spacing w:beforeLines="100" w:line="480" w:lineRule="auto"/>
        <w:ind w:left="1268" w:leftChars="-85" w:hanging="1446" w:hangingChars="500"/>
        <w:jc w:val="left"/>
        <w:rPr>
          <w:spacing w:val="20"/>
          <w:w w:val="90"/>
          <w:sz w:val="28"/>
          <w:szCs w:val="28"/>
          <w:u w:val="single"/>
        </w:rPr>
      </w:pPr>
      <w:r>
        <w:rPr>
          <w:b/>
          <w:w w:val="90"/>
          <w:sz w:val="32"/>
        </w:rPr>
        <w:t xml:space="preserve">  建设单位（盖章）：</w:t>
      </w:r>
      <w:r>
        <w:rPr>
          <w:b/>
          <w:w w:val="90"/>
          <w:sz w:val="32"/>
          <w:u w:val="single"/>
        </w:rPr>
        <w:t xml:space="preserve"> </w:t>
      </w:r>
      <w:r>
        <w:rPr>
          <w:rFonts w:hint="eastAsia"/>
          <w:b/>
          <w:w w:val="90"/>
          <w:sz w:val="32"/>
          <w:u w:val="single"/>
          <w:lang w:val="en-US" w:eastAsia="zh-CN"/>
        </w:rPr>
        <w:t xml:space="preserve">     </w:t>
      </w:r>
      <w:r>
        <w:rPr>
          <w:rFonts w:hint="eastAsia"/>
          <w:b/>
          <w:w w:val="90"/>
          <w:sz w:val="32"/>
          <w:szCs w:val="22"/>
          <w:u w:val="single"/>
          <w:lang w:eastAsia="zh-CN"/>
        </w:rPr>
        <w:t>邵阳市双清区住房和城乡建设局</w:t>
      </w:r>
      <w:r>
        <w:rPr>
          <w:rFonts w:hint="eastAsia"/>
          <w:b/>
          <w:w w:val="90"/>
          <w:sz w:val="32"/>
          <w:szCs w:val="22"/>
          <w:u w:val="single"/>
          <w:lang w:val="en-US" w:eastAsia="zh-CN"/>
        </w:rPr>
        <w:t xml:space="preserve">  </w:t>
      </w:r>
      <w:r>
        <w:rPr>
          <w:b/>
          <w:w w:val="90"/>
          <w:sz w:val="32"/>
          <w:u w:val="single"/>
        </w:rPr>
        <w:t xml:space="preserve"> </w:t>
      </w:r>
    </w:p>
    <w:p>
      <w:pPr>
        <w:spacing w:beforeLines="100" w:line="480" w:lineRule="auto"/>
        <w:rPr>
          <w:w w:val="80"/>
          <w:sz w:val="32"/>
        </w:rPr>
      </w:pPr>
    </w:p>
    <w:p>
      <w:pPr>
        <w:rPr>
          <w:w w:val="80"/>
          <w:sz w:val="32"/>
        </w:rPr>
      </w:pPr>
    </w:p>
    <w:p>
      <w:pPr>
        <w:rPr>
          <w:w w:val="80"/>
          <w:sz w:val="32"/>
        </w:rPr>
      </w:pPr>
    </w:p>
    <w:p>
      <w:pPr>
        <w:rPr>
          <w:w w:val="80"/>
          <w:sz w:val="32"/>
        </w:rPr>
      </w:pPr>
    </w:p>
    <w:p>
      <w:pPr>
        <w:rPr>
          <w:w w:val="80"/>
          <w:sz w:val="32"/>
        </w:rPr>
      </w:pPr>
    </w:p>
    <w:p>
      <w:pPr>
        <w:pStyle w:val="9"/>
        <w:rPr>
          <w:w w:val="80"/>
          <w:sz w:val="32"/>
        </w:rPr>
      </w:pPr>
    </w:p>
    <w:p>
      <w:pPr>
        <w:pStyle w:val="9"/>
        <w:rPr>
          <w:w w:val="80"/>
          <w:sz w:val="32"/>
        </w:rPr>
      </w:pPr>
    </w:p>
    <w:p>
      <w:pPr>
        <w:pStyle w:val="9"/>
        <w:rPr>
          <w:w w:val="80"/>
          <w:sz w:val="32"/>
        </w:rPr>
      </w:pPr>
    </w:p>
    <w:p>
      <w:pPr>
        <w:rPr>
          <w:w w:val="80"/>
          <w:sz w:val="32"/>
        </w:rPr>
      </w:pPr>
    </w:p>
    <w:p>
      <w:pPr>
        <w:spacing w:line="480" w:lineRule="auto"/>
        <w:ind w:firstLine="1928" w:firstLineChars="600"/>
        <w:rPr>
          <w:b/>
          <w:sz w:val="32"/>
        </w:rPr>
      </w:pP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b/>
          <w:spacing w:val="38"/>
          <w:sz w:val="32"/>
        </w:rPr>
      </w:pPr>
      <w:r>
        <w:rPr>
          <w:b/>
          <w:sz w:val="32"/>
        </w:rPr>
        <w:t>编制日期：20</w:t>
      </w:r>
      <w:r>
        <w:rPr>
          <w:rFonts w:hint="eastAsia"/>
          <w:b/>
          <w:sz w:val="32"/>
          <w:lang w:val="en-US" w:eastAsia="zh-CN"/>
        </w:rPr>
        <w:t>20</w:t>
      </w:r>
      <w:r>
        <w:rPr>
          <w:b/>
          <w:spacing w:val="38"/>
          <w:sz w:val="32"/>
        </w:rPr>
        <w:t>年</w:t>
      </w:r>
      <w:r>
        <w:rPr>
          <w:rFonts w:hint="eastAsia"/>
          <w:b/>
          <w:spacing w:val="38"/>
          <w:sz w:val="32"/>
          <w:lang w:val="en-US" w:eastAsia="zh-CN"/>
        </w:rPr>
        <w:t>9</w:t>
      </w:r>
      <w:r>
        <w:rPr>
          <w:b/>
          <w:spacing w:val="38"/>
          <w:sz w:val="32"/>
        </w:rPr>
        <w:t>月</w:t>
      </w:r>
    </w:p>
    <w:p>
      <w:pPr>
        <w:spacing w:line="480" w:lineRule="auto"/>
        <w:jc w:val="center"/>
        <w:rPr>
          <w:b/>
          <w:sz w:val="32"/>
        </w:rPr>
      </w:pPr>
      <w:r>
        <w:rPr>
          <w:rFonts w:hint="eastAsia"/>
          <w:b/>
          <w:sz w:val="32"/>
        </w:rPr>
        <w:t>生态环境部制</w:t>
      </w:r>
    </w:p>
    <w:p>
      <w:pPr>
        <w:spacing w:beforeLines="100" w:afterLines="100"/>
        <w:jc w:val="both"/>
        <w:rPr>
          <w:b/>
          <w:bCs/>
          <w:sz w:val="36"/>
          <w:szCs w:val="24"/>
        </w:rPr>
        <w:sectPr>
          <w:headerReference r:id="rId3" w:type="first"/>
          <w:footerReference r:id="rId4" w:type="first"/>
          <w:pgSz w:w="11906" w:h="16838"/>
          <w:pgMar w:top="1417" w:right="1786" w:bottom="1417" w:left="1786" w:header="850" w:footer="992" w:gutter="0"/>
          <w:pgBorders>
            <w:top w:val="none" w:sz="0" w:space="0"/>
            <w:left w:val="none" w:sz="0" w:space="0"/>
            <w:bottom w:val="none" w:sz="0" w:space="0"/>
            <w:right w:val="none" w:sz="0" w:space="0"/>
          </w:pgBorders>
          <w:pgNumType w:start="1"/>
          <w:cols w:space="720" w:num="1"/>
          <w:docGrid w:linePitch="312" w:charSpace="0"/>
        </w:sectPr>
      </w:pPr>
    </w:p>
    <w:p>
      <w:pPr>
        <w:pStyle w:val="9"/>
      </w:pPr>
    </w:p>
    <w:p>
      <w:pPr>
        <w:spacing w:beforeLines="100" w:afterLines="100"/>
        <w:jc w:val="center"/>
        <w:rPr>
          <w:b/>
          <w:bCs/>
          <w:sz w:val="36"/>
          <w:szCs w:val="24"/>
        </w:rPr>
      </w:pPr>
      <w:r>
        <w:rPr>
          <w:b/>
          <w:bCs/>
          <w:sz w:val="36"/>
          <w:szCs w:val="24"/>
        </w:rPr>
        <w:t>《建设项目环境影响报告表》编制说明</w:t>
      </w:r>
    </w:p>
    <w:p>
      <w:pPr>
        <w:spacing w:line="360" w:lineRule="auto"/>
        <w:ind w:right="-29" w:rightChars="-14" w:firstLine="560" w:firstLineChars="200"/>
        <w:rPr>
          <w:sz w:val="28"/>
          <w:szCs w:val="28"/>
        </w:rPr>
      </w:pPr>
      <w:r>
        <w:rPr>
          <w:sz w:val="28"/>
          <w:szCs w:val="28"/>
        </w:rPr>
        <w:t>《建设项目环境影响报告表》由具有从事环境影响评价工作资质的单位编制。</w:t>
      </w:r>
    </w:p>
    <w:p>
      <w:pPr>
        <w:spacing w:line="360" w:lineRule="auto"/>
        <w:ind w:right="-29" w:rightChars="-14" w:firstLine="560" w:firstLineChars="200"/>
        <w:rPr>
          <w:sz w:val="28"/>
          <w:szCs w:val="28"/>
        </w:rPr>
      </w:pPr>
      <w:r>
        <w:rPr>
          <w:sz w:val="28"/>
          <w:szCs w:val="28"/>
        </w:rPr>
        <w:t>1.项目名称——指项目立项批复时的名称，应不超过30个字（两个英文字段作一个汉字）。</w:t>
      </w:r>
    </w:p>
    <w:p>
      <w:pPr>
        <w:spacing w:line="360" w:lineRule="auto"/>
        <w:ind w:right="-29" w:rightChars="-14" w:firstLine="560" w:firstLineChars="200"/>
        <w:rPr>
          <w:sz w:val="28"/>
          <w:szCs w:val="28"/>
        </w:rPr>
      </w:pPr>
      <w:r>
        <w:rPr>
          <w:sz w:val="28"/>
          <w:szCs w:val="28"/>
        </w:rPr>
        <w:t>2.建设地点——指项目所在地详细地址，公路、铁路应填写起止地点。</w:t>
      </w:r>
    </w:p>
    <w:p>
      <w:pPr>
        <w:spacing w:line="360" w:lineRule="auto"/>
        <w:ind w:right="-29" w:rightChars="-14" w:firstLine="560" w:firstLineChars="200"/>
        <w:rPr>
          <w:sz w:val="28"/>
          <w:szCs w:val="28"/>
        </w:rPr>
      </w:pPr>
      <w:r>
        <w:rPr>
          <w:sz w:val="28"/>
          <w:szCs w:val="28"/>
        </w:rPr>
        <w:t>3.行业类别——按国标填写。</w:t>
      </w:r>
    </w:p>
    <w:p>
      <w:pPr>
        <w:spacing w:line="360" w:lineRule="auto"/>
        <w:ind w:right="-29" w:rightChars="-14" w:firstLine="560" w:firstLineChars="200"/>
        <w:rPr>
          <w:sz w:val="28"/>
          <w:szCs w:val="28"/>
        </w:rPr>
      </w:pPr>
      <w:r>
        <w:rPr>
          <w:sz w:val="28"/>
          <w:szCs w:val="28"/>
        </w:rPr>
        <w:t>4.总投资——指项目投资总额。</w:t>
      </w:r>
    </w:p>
    <w:p>
      <w:pPr>
        <w:spacing w:line="360" w:lineRule="auto"/>
        <w:ind w:right="-29" w:rightChars="-14" w:firstLine="560" w:firstLineChars="200"/>
        <w:rPr>
          <w:sz w:val="28"/>
          <w:szCs w:val="28"/>
        </w:rPr>
      </w:pPr>
      <w:r>
        <w:rPr>
          <w:sz w:val="28"/>
          <w:szCs w:val="28"/>
        </w:rPr>
        <w:t>5.主要环境保护目标——指项目区周围一定范围内集中居民住宅区、学校、医院、保护文物、风景名胜区、水源地和生态敏感点等，应尽可能给出保护目标、性质、规模和距厂界距离等。</w:t>
      </w:r>
    </w:p>
    <w:p>
      <w:pPr>
        <w:spacing w:line="360" w:lineRule="auto"/>
        <w:ind w:right="-29" w:rightChars="-14" w:firstLine="560" w:firstLineChars="200"/>
        <w:rPr>
          <w:sz w:val="28"/>
          <w:szCs w:val="28"/>
        </w:rPr>
      </w:pPr>
      <w:r>
        <w:rPr>
          <w:sz w:val="28"/>
          <w:szCs w:val="28"/>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360" w:lineRule="auto"/>
        <w:ind w:right="-29" w:rightChars="-14" w:firstLine="560" w:firstLineChars="200"/>
        <w:rPr>
          <w:sz w:val="28"/>
          <w:szCs w:val="28"/>
        </w:rPr>
      </w:pPr>
      <w:r>
        <w:rPr>
          <w:sz w:val="28"/>
          <w:szCs w:val="28"/>
        </w:rPr>
        <w:t>7.预审意见——由行业主管部门填写答复意见，无主管部门项目，可不填。</w:t>
      </w:r>
    </w:p>
    <w:p>
      <w:pPr>
        <w:spacing w:line="360" w:lineRule="auto"/>
        <w:ind w:right="-29" w:rightChars="-14" w:firstLine="560" w:firstLineChars="200"/>
        <w:rPr>
          <w:sz w:val="28"/>
          <w:szCs w:val="28"/>
        </w:rPr>
      </w:pPr>
      <w:r>
        <w:rPr>
          <w:sz w:val="28"/>
          <w:szCs w:val="28"/>
        </w:rPr>
        <w:t>8.审批意见——由负责审批该项目的环境保护行政主管部门批复。</w:t>
      </w:r>
    </w:p>
    <w:p>
      <w:pPr>
        <w:pStyle w:val="21"/>
        <w:ind w:left="0" w:leftChars="0"/>
        <w:sectPr>
          <w:footerReference r:id="rId5" w:type="default"/>
          <w:pgSz w:w="11907" w:h="16840"/>
          <w:pgMar w:top="1418" w:right="1786" w:bottom="1418" w:left="1786" w:header="454" w:footer="964" w:gutter="0"/>
          <w:pgBorders>
            <w:top w:val="none" w:sz="0" w:space="0"/>
            <w:left w:val="none" w:sz="0" w:space="0"/>
            <w:bottom w:val="none" w:sz="0" w:space="0"/>
            <w:right w:val="none" w:sz="0" w:space="0"/>
          </w:pgBorders>
          <w:pgNumType w:start="1"/>
          <w:cols w:space="720" w:num="1"/>
          <w:titlePg/>
          <w:docGrid w:linePitch="380" w:charSpace="0"/>
        </w:sectPr>
      </w:pPr>
    </w:p>
    <w:p/>
    <w:p>
      <w:pPr>
        <w:spacing w:line="400" w:lineRule="exact"/>
        <w:rPr>
          <w:rFonts w:ascii="宋体" w:hAnsi="宋体"/>
          <w:b/>
          <w:sz w:val="36"/>
          <w:szCs w:val="36"/>
        </w:rPr>
      </w:pPr>
    </w:p>
    <w:p>
      <w:pPr>
        <w:spacing w:line="400" w:lineRule="exact"/>
        <w:jc w:val="center"/>
        <w:rPr>
          <w:rFonts w:ascii="宋体" w:hAnsi="宋体"/>
          <w:b/>
          <w:sz w:val="36"/>
          <w:szCs w:val="36"/>
        </w:rPr>
      </w:pPr>
      <w:r>
        <w:rPr>
          <w:rFonts w:hint="eastAsia" w:ascii="宋体" w:hAnsi="宋体"/>
          <w:b/>
          <w:sz w:val="36"/>
          <w:szCs w:val="36"/>
        </w:rPr>
        <w:t>目   录</w:t>
      </w:r>
    </w:p>
    <w:p>
      <w:pPr>
        <w:spacing w:line="480" w:lineRule="auto"/>
        <w:jc w:val="center"/>
        <w:rPr>
          <w:rFonts w:ascii="宋体" w:hAnsi="宋体"/>
          <w:b/>
          <w:sz w:val="36"/>
          <w:szCs w:val="36"/>
        </w:rPr>
      </w:pPr>
    </w:p>
    <w:p>
      <w:pPr>
        <w:pStyle w:val="18"/>
        <w:tabs>
          <w:tab w:val="right" w:leader="dot" w:pos="8901"/>
          <w:tab w:val="clear" w:pos="8891"/>
        </w:tabs>
        <w:rPr>
          <w:rFonts w:hint="default" w:ascii="Times New Roman" w:hAnsi="Times New Roman" w:eastAsia="宋体" w:cs="Times New Roman"/>
        </w:rPr>
      </w:pPr>
      <w:r>
        <w:rPr>
          <w:rFonts w:ascii="宋体" w:hAnsi="宋体"/>
          <w:sz w:val="24"/>
          <w:szCs w:val="24"/>
        </w:rPr>
        <w:fldChar w:fldCharType="begin"/>
      </w:r>
      <w:r>
        <w:rPr>
          <w:rFonts w:ascii="宋体" w:hAnsi="宋体"/>
          <w:sz w:val="24"/>
          <w:szCs w:val="24"/>
        </w:rPr>
        <w:instrText xml:space="preserve">TOC \o "1-1" \h \u </w:instrText>
      </w:r>
      <w:r>
        <w:rPr>
          <w:rFonts w:ascii="宋体" w:hAnsi="宋体"/>
          <w:sz w:val="24"/>
          <w:szCs w:val="24"/>
        </w:rPr>
        <w:fldChar w:fldCharType="separate"/>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_Toc10454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rPr>
        <w:t>一、建设项目基本情况</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_Toc10454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18"/>
        <w:tabs>
          <w:tab w:val="right" w:leader="dot" w:pos="8901"/>
          <w:tab w:val="clear" w:pos="8891"/>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_Toc25850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rPr>
        <w:t>二、建设项目所在地自然环境简况</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_Toc25850 </w:instrText>
      </w:r>
      <w:r>
        <w:rPr>
          <w:rFonts w:hint="default" w:ascii="Times New Roman" w:hAnsi="Times New Roman" w:eastAsia="宋体" w:cs="Times New Roman"/>
        </w:rPr>
        <w:fldChar w:fldCharType="separate"/>
      </w:r>
      <w:r>
        <w:rPr>
          <w:rFonts w:hint="default" w:ascii="Times New Roman" w:hAnsi="Times New Roman" w:eastAsia="宋体" w:cs="Times New Roman"/>
        </w:rPr>
        <w:t>13</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18"/>
        <w:tabs>
          <w:tab w:val="right" w:leader="dot" w:pos="8901"/>
          <w:tab w:val="clear" w:pos="8891"/>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_Toc27400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rPr>
        <w:t>三、环境质量状况</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_Toc27400 </w:instrText>
      </w:r>
      <w:r>
        <w:rPr>
          <w:rFonts w:hint="default" w:ascii="Times New Roman" w:hAnsi="Times New Roman" w:eastAsia="宋体" w:cs="Times New Roman"/>
        </w:rPr>
        <w:fldChar w:fldCharType="separate"/>
      </w:r>
      <w:r>
        <w:rPr>
          <w:rFonts w:hint="default" w:ascii="Times New Roman" w:hAnsi="Times New Roman" w:eastAsia="宋体" w:cs="Times New Roman"/>
        </w:rPr>
        <w:t>18</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18"/>
        <w:tabs>
          <w:tab w:val="right" w:leader="dot" w:pos="8901"/>
          <w:tab w:val="clear" w:pos="8891"/>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_Toc11808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32"/>
        </w:rPr>
        <w:t>四、</w:t>
      </w:r>
      <w:r>
        <w:rPr>
          <w:rFonts w:hint="default" w:ascii="Times New Roman" w:hAnsi="Times New Roman" w:eastAsia="宋体" w:cs="Times New Roman"/>
        </w:rPr>
        <w:t>评价适用标准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_Toc11808 </w:instrText>
      </w:r>
      <w:r>
        <w:rPr>
          <w:rFonts w:hint="default" w:ascii="Times New Roman" w:hAnsi="Times New Roman" w:eastAsia="宋体" w:cs="Times New Roman"/>
        </w:rPr>
        <w:fldChar w:fldCharType="separate"/>
      </w:r>
      <w:r>
        <w:rPr>
          <w:rFonts w:hint="default" w:ascii="Times New Roman" w:hAnsi="Times New Roman" w:eastAsia="宋体" w:cs="Times New Roman"/>
        </w:rPr>
        <w:t>28</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18"/>
        <w:tabs>
          <w:tab w:val="right" w:leader="dot" w:pos="8901"/>
          <w:tab w:val="clear" w:pos="8891"/>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_Toc5885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rPr>
        <w:t>五、建设项目工程分析</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_Toc5885 </w:instrText>
      </w:r>
      <w:r>
        <w:rPr>
          <w:rFonts w:hint="default" w:ascii="Times New Roman" w:hAnsi="Times New Roman" w:eastAsia="宋体" w:cs="Times New Roman"/>
        </w:rPr>
        <w:fldChar w:fldCharType="separate"/>
      </w:r>
      <w:r>
        <w:rPr>
          <w:rFonts w:hint="default" w:ascii="Times New Roman" w:hAnsi="Times New Roman" w:eastAsia="宋体" w:cs="Times New Roman"/>
        </w:rPr>
        <w:t>32</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18"/>
        <w:tabs>
          <w:tab w:val="right" w:leader="dot" w:pos="8901"/>
          <w:tab w:val="clear" w:pos="8891"/>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_Toc28711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32"/>
        </w:rPr>
        <w:t>六、项目主要污染物产生及预计排放情况</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_Toc28711 </w:instrText>
      </w:r>
      <w:r>
        <w:rPr>
          <w:rFonts w:hint="default" w:ascii="Times New Roman" w:hAnsi="Times New Roman" w:eastAsia="宋体" w:cs="Times New Roman"/>
        </w:rPr>
        <w:fldChar w:fldCharType="separate"/>
      </w:r>
      <w:r>
        <w:rPr>
          <w:rFonts w:hint="default" w:ascii="Times New Roman" w:hAnsi="Times New Roman" w:eastAsia="宋体" w:cs="Times New Roman"/>
        </w:rPr>
        <w:t>39</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18"/>
        <w:tabs>
          <w:tab w:val="right" w:leader="dot" w:pos="8901"/>
          <w:tab w:val="clear" w:pos="8891"/>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_Toc27350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32"/>
        </w:rPr>
        <w:t>七、环境影响分析</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_Toc27350 </w:instrText>
      </w:r>
      <w:r>
        <w:rPr>
          <w:rFonts w:hint="default" w:ascii="Times New Roman" w:hAnsi="Times New Roman" w:eastAsia="宋体" w:cs="Times New Roman"/>
        </w:rPr>
        <w:fldChar w:fldCharType="separate"/>
      </w:r>
      <w:r>
        <w:rPr>
          <w:rFonts w:hint="default" w:ascii="Times New Roman" w:hAnsi="Times New Roman" w:eastAsia="宋体" w:cs="Times New Roman"/>
        </w:rPr>
        <w:t>40</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18"/>
        <w:tabs>
          <w:tab w:val="right" w:leader="dot" w:pos="8901"/>
          <w:tab w:val="clear" w:pos="8891"/>
        </w:tabs>
        <w:rPr>
          <w:rFonts w:hint="default" w:ascii="Times New Roman" w:hAnsi="Times New Roman" w:eastAsia="宋体"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_Toc25591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32"/>
        </w:rPr>
        <w:t>八、建设项目拟采取的防治措施及</w:t>
      </w:r>
      <w:r>
        <w:rPr>
          <w:rFonts w:hint="default" w:ascii="Times New Roman" w:hAnsi="Times New Roman" w:eastAsia="宋体" w:cs="Times New Roman"/>
        </w:rPr>
        <w:t>预期治理效果</w:t>
      </w:r>
      <w:bookmarkStart w:id="20" w:name="_GoBack"/>
      <w:bookmarkEnd w:id="20"/>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_Toc25591 </w:instrText>
      </w:r>
      <w:r>
        <w:rPr>
          <w:rFonts w:hint="default" w:ascii="Times New Roman" w:hAnsi="Times New Roman" w:eastAsia="宋体" w:cs="Times New Roman"/>
        </w:rPr>
        <w:fldChar w:fldCharType="separate"/>
      </w:r>
      <w:r>
        <w:rPr>
          <w:rFonts w:hint="default" w:ascii="Times New Roman" w:hAnsi="Times New Roman" w:eastAsia="宋体" w:cs="Times New Roman"/>
        </w:rPr>
        <w:t>76</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pStyle w:val="18"/>
        <w:tabs>
          <w:tab w:val="right" w:leader="dot" w:pos="8901"/>
          <w:tab w:val="clear" w:pos="8891"/>
        </w:tabs>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_Toc2552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rPr>
        <w:t>九、结论与建议</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_Toc2552 </w:instrText>
      </w:r>
      <w:r>
        <w:rPr>
          <w:rFonts w:hint="default" w:ascii="Times New Roman" w:hAnsi="Times New Roman" w:eastAsia="宋体" w:cs="Times New Roman"/>
        </w:rPr>
        <w:fldChar w:fldCharType="separate"/>
      </w:r>
      <w:r>
        <w:rPr>
          <w:rFonts w:hint="default" w:ascii="Times New Roman" w:hAnsi="Times New Roman" w:eastAsia="宋体" w:cs="Times New Roman"/>
        </w:rPr>
        <w:t>77</w:t>
      </w:r>
      <w:r>
        <w:rPr>
          <w:rFonts w:hint="default" w:ascii="Times New Roman" w:hAnsi="Times New Roman" w:eastAsia="宋体" w:cs="Times New Roman"/>
        </w:rPr>
        <w:fldChar w:fldCharType="end"/>
      </w:r>
      <w:r>
        <w:rPr>
          <w:rFonts w:hint="default" w:ascii="Times New Roman" w:hAnsi="Times New Roman" w:eastAsia="宋体" w:cs="Times New Roman"/>
          <w:szCs w:val="24"/>
        </w:rPr>
        <w:fldChar w:fldCharType="end"/>
      </w:r>
    </w:p>
    <w:p>
      <w:pPr>
        <w:spacing w:line="480" w:lineRule="auto"/>
        <w:jc w:val="left"/>
        <w:rPr>
          <w:rFonts w:ascii="宋体" w:hAnsi="宋体" w:cs="宋体"/>
          <w:sz w:val="24"/>
          <w:szCs w:val="24"/>
        </w:rPr>
      </w:pPr>
      <w:r>
        <w:rPr>
          <w:rFonts w:ascii="宋体" w:hAnsi="宋体"/>
          <w:szCs w:val="24"/>
        </w:rPr>
        <w:fldChar w:fldCharType="end"/>
      </w:r>
    </w:p>
    <w:p>
      <w:pPr>
        <w:spacing w:line="360" w:lineRule="auto"/>
        <w:rPr>
          <w:rFonts w:eastAsia="黑体"/>
          <w:sz w:val="32"/>
          <w:szCs w:val="32"/>
        </w:rPr>
      </w:pPr>
    </w:p>
    <w:p>
      <w:pPr>
        <w:spacing w:line="360" w:lineRule="auto"/>
        <w:rPr>
          <w:rFonts w:eastAsia="黑体"/>
          <w:sz w:val="32"/>
          <w:szCs w:val="32"/>
        </w:rPr>
      </w:pPr>
    </w:p>
    <w:p>
      <w:pPr>
        <w:spacing w:line="360" w:lineRule="auto"/>
        <w:rPr>
          <w:rFonts w:eastAsia="黑体"/>
          <w:sz w:val="32"/>
          <w:szCs w:val="32"/>
        </w:rPr>
      </w:pPr>
    </w:p>
    <w:p>
      <w:pPr>
        <w:spacing w:line="360" w:lineRule="auto"/>
        <w:rPr>
          <w:rFonts w:eastAsia="黑体"/>
          <w:sz w:val="32"/>
          <w:szCs w:val="32"/>
        </w:rPr>
      </w:pPr>
    </w:p>
    <w:p>
      <w:pPr>
        <w:spacing w:line="360" w:lineRule="auto"/>
        <w:rPr>
          <w:rFonts w:eastAsia="黑体"/>
          <w:sz w:val="32"/>
          <w:szCs w:val="32"/>
        </w:rPr>
      </w:pPr>
    </w:p>
    <w:p>
      <w:pPr>
        <w:spacing w:line="360" w:lineRule="auto"/>
        <w:rPr>
          <w:rFonts w:eastAsia="黑体"/>
          <w:sz w:val="32"/>
          <w:szCs w:val="32"/>
        </w:rPr>
      </w:pPr>
    </w:p>
    <w:p>
      <w:pPr>
        <w:pStyle w:val="21"/>
        <w:ind w:left="0" w:leftChars="0"/>
        <w:sectPr>
          <w:pgSz w:w="11907" w:h="16840"/>
          <w:pgMar w:top="1418" w:right="1418" w:bottom="1418" w:left="1588" w:header="454" w:footer="964" w:gutter="0"/>
          <w:pgBorders>
            <w:top w:val="none" w:sz="0" w:space="0"/>
            <w:left w:val="none" w:sz="0" w:space="0"/>
            <w:bottom w:val="none" w:sz="0" w:space="0"/>
            <w:right w:val="none" w:sz="0" w:space="0"/>
          </w:pgBorders>
          <w:pgNumType w:start="1"/>
          <w:cols w:space="720" w:num="1"/>
          <w:titlePg/>
          <w:docGrid w:linePitch="380" w:charSpace="0"/>
        </w:sectPr>
      </w:pPr>
    </w:p>
    <w:p/>
    <w:p>
      <w:pPr>
        <w:spacing w:line="360" w:lineRule="auto"/>
        <w:jc w:val="left"/>
        <w:rPr>
          <w:sz w:val="24"/>
          <w:szCs w:val="24"/>
        </w:rPr>
      </w:pPr>
      <w:r>
        <w:rPr>
          <w:b/>
          <w:sz w:val="24"/>
          <w:szCs w:val="24"/>
        </w:rPr>
        <w:t>附图</w:t>
      </w:r>
      <w:r>
        <w:rPr>
          <w:sz w:val="24"/>
          <w:szCs w:val="24"/>
        </w:rPr>
        <w:t>：</w:t>
      </w:r>
    </w:p>
    <w:p>
      <w:pPr>
        <w:spacing w:line="360" w:lineRule="auto"/>
        <w:jc w:val="left"/>
        <w:rPr>
          <w:sz w:val="24"/>
          <w:szCs w:val="24"/>
        </w:rPr>
      </w:pPr>
      <w:r>
        <w:rPr>
          <w:sz w:val="24"/>
          <w:szCs w:val="24"/>
        </w:rPr>
        <w:t>附图1</w:t>
      </w:r>
      <w:r>
        <w:rPr>
          <w:rFonts w:hint="eastAsia"/>
          <w:sz w:val="24"/>
          <w:szCs w:val="24"/>
        </w:rPr>
        <w:t>：项目</w:t>
      </w:r>
      <w:r>
        <w:rPr>
          <w:sz w:val="24"/>
          <w:szCs w:val="24"/>
        </w:rPr>
        <w:t>地理位置图</w:t>
      </w:r>
    </w:p>
    <w:p>
      <w:pPr>
        <w:spacing w:line="360" w:lineRule="auto"/>
        <w:jc w:val="left"/>
        <w:rPr>
          <w:color w:val="auto"/>
          <w:sz w:val="24"/>
          <w:szCs w:val="24"/>
          <w:u w:val="none"/>
        </w:rPr>
      </w:pPr>
      <w:r>
        <w:rPr>
          <w:color w:val="auto"/>
          <w:sz w:val="24"/>
          <w:szCs w:val="24"/>
          <w:u w:val="none"/>
        </w:rPr>
        <w:t>附图2</w:t>
      </w:r>
      <w:r>
        <w:rPr>
          <w:rFonts w:hint="eastAsia"/>
          <w:color w:val="auto"/>
          <w:sz w:val="24"/>
          <w:szCs w:val="24"/>
          <w:u w:val="none"/>
        </w:rPr>
        <w:t>：总平面布置图</w:t>
      </w:r>
    </w:p>
    <w:p>
      <w:pPr>
        <w:spacing w:line="360" w:lineRule="auto"/>
        <w:jc w:val="left"/>
        <w:rPr>
          <w:color w:val="auto"/>
          <w:sz w:val="24"/>
          <w:szCs w:val="24"/>
          <w:u w:val="none"/>
        </w:rPr>
      </w:pPr>
      <w:r>
        <w:rPr>
          <w:color w:val="auto"/>
          <w:sz w:val="24"/>
          <w:szCs w:val="24"/>
          <w:u w:val="none"/>
        </w:rPr>
        <w:t>附图3</w:t>
      </w:r>
      <w:r>
        <w:rPr>
          <w:rFonts w:hint="eastAsia"/>
          <w:color w:val="auto"/>
          <w:sz w:val="24"/>
          <w:szCs w:val="24"/>
          <w:u w:val="none"/>
        </w:rPr>
        <w:t>：环境保护目标分布示意图</w:t>
      </w:r>
    </w:p>
    <w:p>
      <w:pPr>
        <w:spacing w:line="360" w:lineRule="auto"/>
        <w:jc w:val="left"/>
        <w:rPr>
          <w:color w:val="auto"/>
          <w:sz w:val="24"/>
          <w:szCs w:val="24"/>
          <w:u w:val="none"/>
        </w:rPr>
      </w:pPr>
      <w:r>
        <w:rPr>
          <w:rFonts w:hint="eastAsia"/>
          <w:color w:val="auto"/>
          <w:sz w:val="24"/>
          <w:szCs w:val="24"/>
          <w:u w:val="none"/>
        </w:rPr>
        <w:t>附图4：环境现状监测布点图</w:t>
      </w:r>
    </w:p>
    <w:p>
      <w:pPr>
        <w:spacing w:line="360" w:lineRule="auto"/>
        <w:jc w:val="left"/>
        <w:rPr>
          <w:rFonts w:hint="eastAsia"/>
          <w:color w:val="auto"/>
          <w:sz w:val="24"/>
          <w:szCs w:val="24"/>
          <w:u w:val="none"/>
          <w:lang w:val="en-US" w:eastAsia="zh-CN"/>
        </w:rPr>
      </w:pPr>
      <w:r>
        <w:rPr>
          <w:rFonts w:hint="eastAsia"/>
          <w:color w:val="auto"/>
          <w:sz w:val="24"/>
          <w:szCs w:val="24"/>
          <w:u w:val="none"/>
          <w:lang w:eastAsia="zh-CN"/>
        </w:rPr>
        <w:t>附图</w:t>
      </w:r>
      <w:r>
        <w:rPr>
          <w:rFonts w:hint="eastAsia"/>
          <w:color w:val="auto"/>
          <w:sz w:val="24"/>
          <w:szCs w:val="24"/>
          <w:u w:val="none"/>
          <w:lang w:val="en-US" w:eastAsia="zh-CN"/>
        </w:rPr>
        <w:t>5：卫生防护距离包络图</w:t>
      </w:r>
    </w:p>
    <w:p>
      <w:pPr>
        <w:spacing w:line="360" w:lineRule="auto"/>
        <w:jc w:val="left"/>
        <w:rPr>
          <w:rFonts w:hint="eastAsia"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附图6：项目污水厂服务范围图</w:t>
      </w:r>
    </w:p>
    <w:p>
      <w:pPr>
        <w:spacing w:line="360" w:lineRule="auto"/>
        <w:jc w:val="left"/>
        <w:rPr>
          <w:rFonts w:hint="eastAsia"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附图7：</w:t>
      </w:r>
      <w:r>
        <w:rPr>
          <w:rFonts w:hint="eastAsia" w:ascii="Times New Roman" w:hAnsi="Times New Roman" w:eastAsia="宋体" w:cs="Times New Roman"/>
          <w:color w:val="auto"/>
          <w:sz w:val="24"/>
          <w:szCs w:val="24"/>
          <w:u w:val="none"/>
          <w:lang w:val="en-US" w:eastAsia="zh-CN"/>
        </w:rPr>
        <w:pict>
          <v:shape id="文本框 84" o:spid="_x0000_s2390" o:spt="202" type="#_x0000_t202" style="position:absolute;left:0pt;margin-left:591.45pt;margin-top:7pt;height:79.75pt;width:84.65pt;z-index:-921819136;mso-width-relative:page;mso-height-relative:page;" filled="f" stroked="f" coordsize="21600,21600" o:gfxdata="UEsDBAoAAAAAAIdO4kAAAAAAAAAAAAAAAAAEAAAAZHJzL1BLAwQUAAAACACHTuJAAEJ/S9sAAAAM&#10;AQAADwAAAGRycy9kb3ducmV2LnhtbE2PS0/DMBCE70j8B2uRuFEnLoE0jVOhSBUSgkNLL9w2sZtE&#10;+BFi9wG/nu0JbjPaT7Mz5epsDTvqKQzeSUhnCTDtWq8G10nYva/vcmAholNovNMSvnWAVXV9VWKh&#10;/Mlt9HEbO0YhLhQooY9xLDgPba8thpkftaPb3k8WI9mp42rCE4Vbw0WSPHCLg6MPPY667nX7uT1Y&#10;CS/1+g03jbD5j6mfX/dP49fuI5Py9iZNlsCiPsc/GC71qTpU1KnxB6cCM+TTXCyIJXVPoy7EPBMC&#10;WEPqcZ4Br0r+f0T1C1BLAwQUAAAACACHTuJAx6hj0CECAAAbBAAADgAAAGRycy9lMm9Eb2MueG1s&#10;rVPBjtMwEL0j8Q+W7zRpaXZL1XRVdlWEtGJXKoiz69hNJNtjbLdJ+QD4A05cuPNd/Q7GTtutgBPi&#10;4oxnJjN+b97MbjqtyE4434Ap6XCQUyIMh6oxm5J+eL98MaHEB2YqpsCIku6Fpzfz589mrZ2KEdSg&#10;KuEIFjF+2tqS1iHYaZZ5XgvN/ACsMBiU4DQLeHWbrHKsxepaZaM8v8pacJV1wIX36L3rg3Se6ksp&#10;eHiQ0otAVEnxbSGdLp3reGbzGZtuHLN1w4/PYP/wCs0ag03Ppe5YYGTrmj9K6YY78CDDgIPOQMqG&#10;i4QB0Qzz39CsamZFwoLkeHumyf+/svzd7tGRpirpZEyJYRpndPj29fD95+HHF4I+JKi1fop5K4uZ&#10;oXsNHQ765PfojLg76XT8IiKCcaR6f6ZXdIHw+FN+XeRFQQnH2DAfjiajItbJnn63zoc3AjSJRkkd&#10;zi/Rynb3PvSpp5TYzcCyUSrNUBnSlvTqZZGnH84RLK4M9ogg+sdGK3Tr7ohsDdUegTnoteEtXzbY&#10;/J758MgcigGxoMDDAx5SATaBo0VJDe7z3/wxH2eEUUpaFFdJ/actc4IS9dbg9F4Nx+OoxnQZF9cj&#10;vLjLyPoyYrb6FlC/Q1wly5MZ84M6mdKB/oh7sIhdMcQMx94lDSfzNvSSxz3iYrFISag/y8K9WVke&#10;S/d0LrYBZJOYjjT13BzZQwWmWR23JUr88p6ynnZ6/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A&#10;Qn9L2wAAAAwBAAAPAAAAAAAAAAEAIAAAACIAAABkcnMvZG93bnJldi54bWxQSwECFAAUAAAACACH&#10;TuJAx6hj0CECAAAbBAAADgAAAAAAAAABACAAAAAqAQAAZHJzL2Uyb0RvYy54bWxQSwUGAAAAAAYA&#10;BgBZAQAAvQUAAAAA&#10;">
            <v:path/>
            <v:fill on="f" focussize="0,0"/>
            <v:stroke on="f" weight="0.5pt"/>
            <v:imagedata o:title=""/>
            <o:lock v:ext="edit" aspectratio="f"/>
            <v:textbox>
              <w:txbxContent>
                <w:p>
                  <w:r>
                    <w:rPr>
                      <w:lang w:val="zh-CN"/>
                    </w:rPr>
                    <w:drawing>
                      <wp:inline distT="0" distB="0" distL="0" distR="0">
                        <wp:extent cx="839470" cy="847725"/>
                        <wp:effectExtent l="0" t="0" r="17780" b="9525"/>
                        <wp:docPr id="85" name="图片 85" descr="C:\Users\Administrator\AppData\Local\Temp\ksohtml792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C:\Users\Administrator\AppData\Local\Temp\ksohtml7928\wps1.jpg"/>
                                <pic:cNvPicPr>
                                  <a:picLocks noChangeAspect="1" noChangeArrowheads="1"/>
                                </pic:cNvPicPr>
                              </pic:nvPicPr>
                              <pic:blipFill>
                                <a:blip r:embed="rId10"/>
                                <a:srcRect/>
                                <a:stretch>
                                  <a:fillRect/>
                                </a:stretch>
                              </pic:blipFill>
                              <pic:spPr>
                                <a:xfrm>
                                  <a:off x="0" y="0"/>
                                  <a:ext cx="839470" cy="847725"/>
                                </a:xfrm>
                                <a:prstGeom prst="rect">
                                  <a:avLst/>
                                </a:prstGeom>
                                <a:noFill/>
                                <a:ln w="9525">
                                  <a:noFill/>
                                  <a:miter lim="800000"/>
                                  <a:headEnd/>
                                  <a:tailEnd/>
                                </a:ln>
                              </pic:spPr>
                            </pic:pic>
                          </a:graphicData>
                        </a:graphic>
                      </wp:inline>
                    </w:drawing>
                  </w:r>
                </w:p>
              </w:txbxContent>
            </v:textbox>
          </v:shape>
        </w:pict>
      </w:r>
      <w:r>
        <w:rPr>
          <w:rFonts w:hint="eastAsia" w:ascii="Times New Roman" w:hAnsi="Times New Roman" w:eastAsia="宋体" w:cs="Times New Roman"/>
          <w:color w:val="auto"/>
          <w:sz w:val="24"/>
          <w:szCs w:val="24"/>
          <w:u w:val="none"/>
          <w:lang w:val="en-US" w:eastAsia="zh-CN"/>
        </w:rPr>
        <w:t>惠民水厂水源地（邵水）饮用水水源保护区划区域图</w:t>
      </w:r>
    </w:p>
    <w:p>
      <w:pPr>
        <w:spacing w:line="360" w:lineRule="auto"/>
        <w:jc w:val="left"/>
        <w:rPr>
          <w:rFonts w:hint="eastAsia"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pict>
          <v:shape id="文本框 29" o:spid="_x0000_s2391" o:spt="202" type="#_x0000_t202" style="position:absolute;left:0pt;margin-left:621.45pt;margin-top:7.15pt;height:79.75pt;width:84.65pt;z-index:1421296640;mso-width-relative:page;mso-height-relative:page;" filled="f" stroked="f" coordsize="21600,21600" o:gfxdata="UEsDBAoAAAAAAIdO4kAAAAAAAAAAAAAAAAAEAAAAZHJzL1BLAwQUAAAACACHTuJA6mAoYtsAAAAM&#10;AQAADwAAAGRycy9kb3ducmV2LnhtbE2PS0/DMBCE70j8B2uRuFEnboA0jVOhSBUSgkNLL9yceJtE&#10;+BFi9wG/nu0JbjPaT7Mz5epsDTviFAbvJKSzBBi61uvBdRJ27+u7HFiIymllvEMJ3xhgVV1flarQ&#10;/uQ2eNzGjlGIC4WS0Mc4FpyHtkerwsyP6Oi295NVkezUcT2pE4Vbw0WSPHCrBkcfejVi3WP7uT1Y&#10;CS/1+k1tGmHzH1M/v+6fxq/dx72UtzdpsgQW8Rz/YLjUp+pQUafGH5wOzJAXmVgQSyqbA7sQWSoE&#10;sIbU4zwHXpX8/4jqF1BLAwQUAAAACACHTuJA5IL9RyICAAAbBAAADgAAAGRycy9lMm9Eb2MueG1s&#10;rVPNjtMwEL4j8Q6W7zQ/NPtTNV2VXRUhrdiVCuLsOk4TyfYY221SHgDeYE9cuPNcfQ7GTtutgBPi&#10;4oxnJjP+vvlmetMrSbbCuhZ0SbNRSonQHKpWr0v68cPi1RUlzjNdMQlalHQnHL2ZvXwx7cxE5NCA&#10;rIQlWES7SWdK2nhvJknieCMUcyMwQmOwBquYx6tdJ5VlHVZXMsnT9CLpwFbGAhfOofduCNJZrF/X&#10;gvuHunbCE1lSfJuPp43nKpzJbMoma8tM0/LDM9g/vEKxVmPTU6k75hnZ2PaPUqrlFhzUfsRBJVDX&#10;LRcRA6LJ0t/QLBtmRMSC5Dhzosn9v7L8/fbRkrYqaX5NiWYKZ7R/+rb//nP/4ytBHxLUGTfBvKXB&#10;TN+/gR4HffQ7dAbcfW1V+CIignGkeneiV/Se8PBTelmkRUEJx1iWZvlVXoQ6yfPvxjr/VoAiwSip&#10;xflFWtn23vkh9ZgSumlYtFLGGUpNupJevC7S+MMpgsWlxh4BxPDYYPl+1R+QraDaITALgzac4YsW&#10;m98z5x+ZRTEgFhS4f8CjloBN4GBR0oD98jd/yMcZYZSSDsVVUvd5w6ygRL7TOL3rbDwOaoyXcXGZ&#10;48WeR1bnEb1Rt4D6zXCVDI9myPfyaNYW1Cfcg3noiiGmOfYuqT+at36QPO4RF/N5TEL9Gebv9dLw&#10;UHqgc77xULeR6UDTwM2BPVRgnNVhW4LEz+8x63mnZ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6mAoYtsAAAAMAQAADwAAAAAAAAABACAAAAAiAAAAZHJzL2Rvd25yZXYueG1sUEsBAhQAFAAAAAgA&#10;h07iQOSC/UciAgAAGwQAAA4AAAAAAAAAAQAgAAAAKgEAAGRycy9lMm9Eb2MueG1sUEsFBgAAAAAG&#10;AAYAWQEAAL4FAAAAAA==&#10;">
            <v:path/>
            <v:fill on="f" focussize="0,0"/>
            <v:stroke on="f" weight="0.5pt"/>
            <v:imagedata o:title=""/>
            <o:lock v:ext="edit" aspectratio="f"/>
            <v:textbox>
              <w:txbxContent>
                <w:p>
                  <w:r>
                    <w:rPr>
                      <w:lang w:val="zh-CN"/>
                    </w:rPr>
                    <w:drawing>
                      <wp:inline distT="0" distB="0" distL="0" distR="0">
                        <wp:extent cx="839470" cy="847725"/>
                        <wp:effectExtent l="0" t="0" r="17780" b="9525"/>
                        <wp:docPr id="30" name="图片 30" descr="C:\Users\Administrator\AppData\Local\Temp\ksohtml792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Administrator\AppData\Local\Temp\ksohtml7928\wps1.jpg"/>
                                <pic:cNvPicPr>
                                  <a:picLocks noChangeAspect="1" noChangeArrowheads="1"/>
                                </pic:cNvPicPr>
                              </pic:nvPicPr>
                              <pic:blipFill>
                                <a:blip r:embed="rId10"/>
                                <a:srcRect/>
                                <a:stretch>
                                  <a:fillRect/>
                                </a:stretch>
                              </pic:blipFill>
                              <pic:spPr>
                                <a:xfrm>
                                  <a:off x="0" y="0"/>
                                  <a:ext cx="839470" cy="847725"/>
                                </a:xfrm>
                                <a:prstGeom prst="rect">
                                  <a:avLst/>
                                </a:prstGeom>
                                <a:noFill/>
                                <a:ln w="9525">
                                  <a:noFill/>
                                  <a:miter lim="800000"/>
                                  <a:headEnd/>
                                  <a:tailEnd/>
                                </a:ln>
                              </pic:spPr>
                            </pic:pic>
                          </a:graphicData>
                        </a:graphic>
                      </wp:inline>
                    </w:drawing>
                  </w:r>
                </w:p>
              </w:txbxContent>
            </v:textbox>
          </v:shape>
        </w:pict>
      </w:r>
      <w:r>
        <w:rPr>
          <w:rFonts w:hint="eastAsia" w:ascii="Times New Roman" w:hAnsi="Times New Roman" w:eastAsia="宋体" w:cs="Times New Roman"/>
          <w:color w:val="auto"/>
          <w:sz w:val="24"/>
          <w:szCs w:val="24"/>
          <w:u w:val="none"/>
          <w:lang w:val="en-US" w:eastAsia="zh-CN"/>
        </w:rPr>
        <w:t>附图8：渡头桥镇水厂取水口位置、云水电站库区与本项目的位置关系</w:t>
      </w:r>
    </w:p>
    <w:p>
      <w:pPr>
        <w:rPr>
          <w:rFonts w:hint="eastAsia"/>
          <w:lang w:val="en-US" w:eastAsia="zh-CN"/>
        </w:rPr>
      </w:pPr>
    </w:p>
    <w:p>
      <w:pPr>
        <w:spacing w:line="360" w:lineRule="auto"/>
        <w:jc w:val="left"/>
        <w:rPr>
          <w:rFonts w:hint="eastAsia" w:ascii="Times New Roman" w:hAnsi="Times New Roman" w:eastAsia="宋体" w:cs="Times New Roman"/>
          <w:color w:val="auto"/>
          <w:sz w:val="24"/>
          <w:szCs w:val="24"/>
          <w:u w:val="none"/>
          <w:lang w:val="en-US" w:eastAsia="zh-CN"/>
        </w:rPr>
      </w:pPr>
    </w:p>
    <w:p>
      <w:pPr>
        <w:pStyle w:val="2"/>
        <w:rPr>
          <w:rFonts w:hint="default"/>
          <w:lang w:val="en-US" w:eastAsia="zh-CN"/>
        </w:rPr>
      </w:pPr>
    </w:p>
    <w:p>
      <w:pPr>
        <w:spacing w:line="360" w:lineRule="auto"/>
        <w:jc w:val="left"/>
        <w:rPr>
          <w:b/>
          <w:sz w:val="24"/>
          <w:szCs w:val="24"/>
        </w:rPr>
      </w:pPr>
      <w:r>
        <w:rPr>
          <w:b/>
          <w:sz w:val="24"/>
          <w:szCs w:val="24"/>
        </w:rPr>
        <w:t>附件：</w:t>
      </w:r>
    </w:p>
    <w:p>
      <w:pPr>
        <w:spacing w:line="360" w:lineRule="auto"/>
        <w:jc w:val="left"/>
        <w:rPr>
          <w:sz w:val="24"/>
          <w:szCs w:val="24"/>
        </w:rPr>
      </w:pPr>
      <w:r>
        <w:rPr>
          <w:sz w:val="24"/>
          <w:szCs w:val="24"/>
        </w:rPr>
        <w:t>附件1</w:t>
      </w:r>
      <w:r>
        <w:rPr>
          <w:rFonts w:hint="eastAsia"/>
          <w:sz w:val="24"/>
          <w:szCs w:val="24"/>
        </w:rPr>
        <w:t>：环评委托书</w:t>
      </w:r>
    </w:p>
    <w:p>
      <w:pPr>
        <w:spacing w:line="360" w:lineRule="auto"/>
        <w:jc w:val="left"/>
        <w:rPr>
          <w:rFonts w:hint="eastAsia" w:eastAsia="宋体"/>
          <w:sz w:val="24"/>
          <w:szCs w:val="24"/>
          <w:lang w:eastAsia="zh-CN"/>
        </w:rPr>
      </w:pPr>
      <w:r>
        <w:rPr>
          <w:rFonts w:hint="eastAsia" w:eastAsia="宋体"/>
          <w:sz w:val="24"/>
          <w:szCs w:val="24"/>
        </w:rPr>
        <w:t>附件2：</w:t>
      </w:r>
      <w:r>
        <w:rPr>
          <w:rFonts w:hint="eastAsia" w:eastAsia="宋体"/>
          <w:sz w:val="24"/>
          <w:szCs w:val="24"/>
          <w:lang w:eastAsia="zh-CN"/>
        </w:rPr>
        <w:t>建设单位统一社会信用代码证书</w:t>
      </w:r>
    </w:p>
    <w:p>
      <w:pPr>
        <w:spacing w:line="360" w:lineRule="auto"/>
        <w:jc w:val="left"/>
        <w:rPr>
          <w:rFonts w:hint="eastAsia"/>
          <w:sz w:val="24"/>
          <w:szCs w:val="24"/>
          <w:lang w:eastAsia="zh-CN"/>
        </w:rPr>
      </w:pPr>
      <w:r>
        <w:rPr>
          <w:rFonts w:hint="eastAsia" w:eastAsia="宋体"/>
          <w:sz w:val="24"/>
          <w:szCs w:val="24"/>
          <w:lang w:eastAsia="zh-CN"/>
        </w:rPr>
        <w:t>附件3</w:t>
      </w:r>
      <w:r>
        <w:rPr>
          <w:rFonts w:hint="eastAsia"/>
          <w:sz w:val="24"/>
          <w:szCs w:val="24"/>
          <w:lang w:eastAsia="zh-CN"/>
        </w:rPr>
        <w:t>：</w:t>
      </w:r>
      <w:r>
        <w:rPr>
          <w:rFonts w:hint="eastAsia" w:eastAsia="宋体"/>
          <w:sz w:val="24"/>
          <w:szCs w:val="24"/>
          <w:lang w:eastAsia="zh-CN"/>
        </w:rPr>
        <w:t>湘建村[2019]230号</w:t>
      </w:r>
      <w:r>
        <w:rPr>
          <w:rFonts w:hint="eastAsia"/>
          <w:sz w:val="24"/>
          <w:szCs w:val="24"/>
          <w:lang w:eastAsia="zh-CN"/>
        </w:rPr>
        <w:t>文件部分摘录</w:t>
      </w:r>
    </w:p>
    <w:p>
      <w:pPr>
        <w:spacing w:line="360" w:lineRule="auto"/>
        <w:jc w:val="left"/>
        <w:rPr>
          <w:rFonts w:hint="eastAsia" w:eastAsia="宋体"/>
          <w:sz w:val="24"/>
          <w:szCs w:val="24"/>
          <w:lang w:val="en-US" w:eastAsia="zh-CN"/>
        </w:rPr>
      </w:pPr>
      <w:r>
        <w:rPr>
          <w:rFonts w:hint="eastAsia" w:eastAsia="宋体"/>
          <w:sz w:val="24"/>
          <w:szCs w:val="24"/>
          <w:lang w:eastAsia="zh-CN"/>
        </w:rPr>
        <w:t>附件</w:t>
      </w:r>
      <w:r>
        <w:rPr>
          <w:rFonts w:hint="eastAsia"/>
          <w:sz w:val="24"/>
          <w:szCs w:val="24"/>
          <w:lang w:val="en-US" w:eastAsia="zh-CN"/>
        </w:rPr>
        <w:t>4</w:t>
      </w:r>
      <w:r>
        <w:rPr>
          <w:rFonts w:hint="eastAsia" w:eastAsia="宋体"/>
          <w:sz w:val="24"/>
          <w:szCs w:val="24"/>
          <w:lang w:val="en-US" w:eastAsia="zh-CN"/>
        </w:rPr>
        <w:t>：技术评审意见</w:t>
      </w:r>
    </w:p>
    <w:p>
      <w:pPr>
        <w:spacing w:line="360" w:lineRule="auto"/>
        <w:jc w:val="left"/>
        <w:rPr>
          <w:rFonts w:hint="default" w:eastAsia="宋体"/>
          <w:sz w:val="24"/>
          <w:szCs w:val="24"/>
          <w:lang w:val="en-US" w:eastAsia="zh-CN"/>
        </w:rPr>
      </w:pPr>
      <w:r>
        <w:rPr>
          <w:rFonts w:hint="eastAsia" w:eastAsia="宋体"/>
          <w:sz w:val="24"/>
          <w:szCs w:val="24"/>
          <w:lang w:val="en-US" w:eastAsia="zh-CN"/>
        </w:rPr>
        <w:t>附件</w:t>
      </w:r>
      <w:r>
        <w:rPr>
          <w:rFonts w:hint="eastAsia"/>
          <w:sz w:val="24"/>
          <w:szCs w:val="24"/>
          <w:lang w:val="en-US" w:eastAsia="zh-CN"/>
        </w:rPr>
        <w:t>5</w:t>
      </w:r>
      <w:r>
        <w:rPr>
          <w:rFonts w:hint="eastAsia" w:eastAsia="宋体"/>
          <w:sz w:val="24"/>
          <w:szCs w:val="24"/>
          <w:lang w:val="en-US" w:eastAsia="zh-CN"/>
        </w:rPr>
        <w:t>：专家签名单</w:t>
      </w:r>
    </w:p>
    <w:p>
      <w:pPr>
        <w:pStyle w:val="35"/>
        <w:rPr>
          <w:rFonts w:hint="eastAsia"/>
        </w:rPr>
      </w:pPr>
    </w:p>
    <w:p>
      <w:pPr>
        <w:bidi w:val="0"/>
      </w:pPr>
    </w:p>
    <w:p>
      <w:pPr>
        <w:spacing w:line="360" w:lineRule="auto"/>
        <w:jc w:val="left"/>
        <w:rPr>
          <w:b/>
          <w:sz w:val="24"/>
          <w:szCs w:val="24"/>
        </w:rPr>
      </w:pPr>
      <w:r>
        <w:rPr>
          <w:rFonts w:hint="eastAsia"/>
          <w:b/>
          <w:sz w:val="24"/>
          <w:szCs w:val="24"/>
        </w:rPr>
        <w:t>附表：</w:t>
      </w:r>
    </w:p>
    <w:p>
      <w:pPr>
        <w:spacing w:line="360" w:lineRule="auto"/>
        <w:jc w:val="left"/>
        <w:rPr>
          <w:rFonts w:hint="eastAsia"/>
          <w:sz w:val="24"/>
          <w:szCs w:val="24"/>
        </w:rPr>
      </w:pPr>
      <w:r>
        <w:rPr>
          <w:rFonts w:hint="eastAsia"/>
          <w:sz w:val="24"/>
          <w:szCs w:val="24"/>
          <w:lang w:eastAsia="zh-CN"/>
        </w:rPr>
        <w:t>附表</w:t>
      </w:r>
      <w:r>
        <w:rPr>
          <w:rFonts w:hint="eastAsia"/>
          <w:sz w:val="24"/>
          <w:szCs w:val="24"/>
          <w:lang w:val="en-US" w:eastAsia="zh-CN"/>
        </w:rPr>
        <w:t xml:space="preserve">1 </w:t>
      </w:r>
      <w:r>
        <w:rPr>
          <w:rFonts w:hint="eastAsia"/>
          <w:sz w:val="24"/>
          <w:szCs w:val="24"/>
        </w:rPr>
        <w:t>建设项目环评审批基础信息表</w:t>
      </w:r>
    </w:p>
    <w:p>
      <w:pPr>
        <w:spacing w:line="360" w:lineRule="auto"/>
        <w:jc w:val="left"/>
        <w:rPr>
          <w:sz w:val="24"/>
          <w:szCs w:val="24"/>
        </w:rPr>
      </w:pPr>
      <w:r>
        <w:rPr>
          <w:sz w:val="24"/>
          <w:szCs w:val="24"/>
        </w:rPr>
        <w:t>附件</w:t>
      </w:r>
      <w:r>
        <w:rPr>
          <w:rFonts w:hint="eastAsia"/>
          <w:sz w:val="24"/>
          <w:szCs w:val="24"/>
          <w:lang w:val="en-US" w:eastAsia="zh-CN"/>
        </w:rPr>
        <w:t xml:space="preserve">2 </w:t>
      </w:r>
      <w:r>
        <w:rPr>
          <w:sz w:val="24"/>
          <w:szCs w:val="24"/>
        </w:rPr>
        <w:t>建设项目环境风险评价自查表</w:t>
      </w:r>
    </w:p>
    <w:p>
      <w:pPr>
        <w:spacing w:line="360" w:lineRule="auto"/>
        <w:jc w:val="left"/>
        <w:rPr>
          <w:sz w:val="24"/>
          <w:szCs w:val="24"/>
        </w:rPr>
      </w:pPr>
      <w:r>
        <w:rPr>
          <w:sz w:val="24"/>
          <w:szCs w:val="24"/>
        </w:rPr>
        <w:t>附件</w:t>
      </w:r>
      <w:r>
        <w:rPr>
          <w:rFonts w:hint="eastAsia"/>
          <w:sz w:val="24"/>
          <w:szCs w:val="24"/>
          <w:lang w:val="en-US" w:eastAsia="zh-CN"/>
        </w:rPr>
        <w:t xml:space="preserve">3 </w:t>
      </w:r>
      <w:r>
        <w:rPr>
          <w:sz w:val="24"/>
          <w:szCs w:val="24"/>
        </w:rPr>
        <w:t>建设项目大气环境评价自查表</w:t>
      </w:r>
    </w:p>
    <w:p>
      <w:pPr>
        <w:spacing w:line="360" w:lineRule="auto"/>
        <w:jc w:val="left"/>
        <w:rPr>
          <w:sz w:val="24"/>
          <w:szCs w:val="24"/>
        </w:rPr>
      </w:pPr>
      <w:r>
        <w:rPr>
          <w:sz w:val="24"/>
          <w:szCs w:val="24"/>
        </w:rPr>
        <w:t>附件</w:t>
      </w:r>
      <w:r>
        <w:rPr>
          <w:rFonts w:hint="eastAsia"/>
          <w:sz w:val="24"/>
          <w:szCs w:val="24"/>
          <w:lang w:val="en-US" w:eastAsia="zh-CN"/>
        </w:rPr>
        <w:t xml:space="preserve">4 </w:t>
      </w:r>
      <w:r>
        <w:rPr>
          <w:sz w:val="24"/>
          <w:szCs w:val="24"/>
        </w:rPr>
        <w:t>建设项目地表水环境评价自查表</w:t>
      </w:r>
    </w:p>
    <w:p>
      <w:pPr>
        <w:pStyle w:val="36"/>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附件5 土壤环境影响评价自查表</w:t>
      </w:r>
    </w:p>
    <w:p>
      <w:pPr>
        <w:pStyle w:val="35"/>
      </w:pPr>
    </w:p>
    <w:p>
      <w:pPr>
        <w:pStyle w:val="21"/>
        <w:ind w:left="0" w:leftChars="0"/>
      </w:pPr>
    </w:p>
    <w:p>
      <w:pPr>
        <w:sectPr>
          <w:pgSz w:w="11907" w:h="16840"/>
          <w:pgMar w:top="1418" w:right="1418" w:bottom="1418" w:left="1588" w:header="454" w:footer="964" w:gutter="0"/>
          <w:pgBorders>
            <w:top w:val="none" w:sz="0" w:space="0"/>
            <w:left w:val="none" w:sz="0" w:space="0"/>
            <w:bottom w:val="none" w:sz="0" w:space="0"/>
            <w:right w:val="none" w:sz="0" w:space="0"/>
          </w:pgBorders>
          <w:pgNumType w:start="1"/>
          <w:cols w:space="720" w:num="1"/>
          <w:titlePg/>
          <w:docGrid w:linePitch="380" w:charSpace="0"/>
        </w:sectPr>
      </w:pPr>
    </w:p>
    <w:p>
      <w:pPr>
        <w:snapToGrid w:val="0"/>
        <w:outlineLvl w:val="0"/>
        <w:rPr>
          <w:rFonts w:eastAsia="黑体"/>
          <w:sz w:val="32"/>
        </w:rPr>
      </w:pPr>
      <w:bookmarkStart w:id="0" w:name="_Toc10454"/>
      <w:r>
        <w:rPr>
          <w:rFonts w:hint="eastAsia" w:eastAsia="黑体"/>
          <w:sz w:val="32"/>
        </w:rPr>
        <w:t>一、</w:t>
      </w:r>
      <w:r>
        <w:rPr>
          <w:rFonts w:eastAsia="黑体"/>
          <w:sz w:val="32"/>
        </w:rPr>
        <w:t>建设项目基本情况</w:t>
      </w:r>
      <w:bookmarkEnd w:id="0"/>
    </w:p>
    <w:tbl>
      <w:tblPr>
        <w:tblStyle w:val="27"/>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Layout w:type="fixed"/>
        <w:tblCellMar>
          <w:top w:w="0" w:type="dxa"/>
          <w:left w:w="85" w:type="dxa"/>
          <w:bottom w:w="0" w:type="dxa"/>
          <w:right w:w="85" w:type="dxa"/>
        </w:tblCellMar>
      </w:tblPr>
      <w:tblGrid>
        <w:gridCol w:w="1936"/>
        <w:gridCol w:w="1687"/>
        <w:gridCol w:w="813"/>
        <w:gridCol w:w="591"/>
        <w:gridCol w:w="1499"/>
        <w:gridCol w:w="1250"/>
        <w:gridCol w:w="17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85" w:type="dxa"/>
            <w:bottom w:w="0" w:type="dxa"/>
            <w:right w:w="85" w:type="dxa"/>
          </w:tblCellMar>
        </w:tblPrEx>
        <w:trPr>
          <w:trHeight w:val="405" w:hRule="atLeast"/>
          <w:jc w:val="center"/>
        </w:trPr>
        <w:tc>
          <w:tcPr>
            <w:tcW w:w="1936" w:type="dxa"/>
            <w:tcBorders>
              <w:tl2br w:val="nil"/>
              <w:tr2bl w:val="nil"/>
            </w:tcBorders>
            <w:vAlign w:val="center"/>
          </w:tcPr>
          <w:p>
            <w:pPr>
              <w:snapToGrid w:val="0"/>
              <w:jc w:val="center"/>
              <w:rPr>
                <w:color w:val="auto"/>
                <w:kern w:val="24"/>
                <w:sz w:val="24"/>
                <w:u w:val="none"/>
              </w:rPr>
            </w:pPr>
            <w:r>
              <w:rPr>
                <w:color w:val="auto"/>
                <w:sz w:val="24"/>
                <w:u w:val="none"/>
              </w:rPr>
              <w:t>项目名称</w:t>
            </w:r>
          </w:p>
        </w:tc>
        <w:tc>
          <w:tcPr>
            <w:tcW w:w="7406" w:type="dxa"/>
            <w:gridSpan w:val="7"/>
            <w:tcBorders>
              <w:tl2br w:val="nil"/>
              <w:tr2bl w:val="nil"/>
            </w:tcBorders>
            <w:vAlign w:val="center"/>
          </w:tcPr>
          <w:p>
            <w:pPr>
              <w:adjustRightInd w:val="0"/>
              <w:snapToGrid w:val="0"/>
              <w:jc w:val="center"/>
              <w:rPr>
                <w:rFonts w:hint="eastAsia" w:eastAsia="宋体"/>
                <w:color w:val="auto"/>
                <w:sz w:val="24"/>
                <w:u w:val="none"/>
                <w:lang w:eastAsia="zh-CN"/>
              </w:rPr>
            </w:pPr>
            <w:r>
              <w:rPr>
                <w:rFonts w:hint="eastAsia" w:eastAsia="宋体"/>
                <w:color w:val="auto"/>
                <w:sz w:val="24"/>
                <w:u w:val="none"/>
                <w:lang w:val="en-US" w:eastAsia="zh-CN"/>
              </w:rPr>
              <w:t>双清区渡头桥污水处理厂及周边配套管网工程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85" w:type="dxa"/>
            <w:bottom w:w="0" w:type="dxa"/>
            <w:right w:w="85" w:type="dxa"/>
          </w:tblCellMar>
        </w:tblPrEx>
        <w:trPr>
          <w:trHeight w:val="445" w:hRule="atLeast"/>
          <w:jc w:val="center"/>
        </w:trPr>
        <w:tc>
          <w:tcPr>
            <w:tcW w:w="1936" w:type="dxa"/>
            <w:tcBorders>
              <w:tl2br w:val="nil"/>
              <w:tr2bl w:val="nil"/>
            </w:tcBorders>
            <w:vAlign w:val="center"/>
          </w:tcPr>
          <w:p>
            <w:pPr>
              <w:snapToGrid w:val="0"/>
              <w:jc w:val="center"/>
              <w:rPr>
                <w:color w:val="auto"/>
                <w:kern w:val="24"/>
                <w:sz w:val="24"/>
                <w:u w:val="none"/>
              </w:rPr>
            </w:pPr>
            <w:r>
              <w:rPr>
                <w:color w:val="auto"/>
                <w:sz w:val="24"/>
                <w:u w:val="none"/>
              </w:rPr>
              <w:t>建设单位</w:t>
            </w:r>
          </w:p>
        </w:tc>
        <w:tc>
          <w:tcPr>
            <w:tcW w:w="7406" w:type="dxa"/>
            <w:gridSpan w:val="7"/>
            <w:tcBorders>
              <w:tl2br w:val="nil"/>
              <w:tr2bl w:val="nil"/>
            </w:tcBorders>
            <w:vAlign w:val="center"/>
          </w:tcPr>
          <w:p>
            <w:pPr>
              <w:adjustRightInd w:val="0"/>
              <w:snapToGrid w:val="0"/>
              <w:jc w:val="center"/>
              <w:rPr>
                <w:color w:val="auto"/>
                <w:sz w:val="24"/>
                <w:u w:val="none"/>
              </w:rPr>
            </w:pPr>
            <w:r>
              <w:rPr>
                <w:rFonts w:hint="eastAsia"/>
                <w:color w:val="auto"/>
                <w:sz w:val="24"/>
                <w:u w:val="none"/>
                <w:lang w:eastAsia="zh-CN"/>
              </w:rPr>
              <w:t>邵阳市双清区住房和城乡建设局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85" w:type="dxa"/>
            <w:bottom w:w="0" w:type="dxa"/>
            <w:right w:w="85" w:type="dxa"/>
          </w:tblCellMar>
        </w:tblPrEx>
        <w:trPr>
          <w:trHeight w:val="405" w:hRule="atLeast"/>
          <w:jc w:val="center"/>
        </w:trPr>
        <w:tc>
          <w:tcPr>
            <w:tcW w:w="1936" w:type="dxa"/>
            <w:tcBorders>
              <w:tl2br w:val="nil"/>
              <w:tr2bl w:val="nil"/>
            </w:tcBorders>
            <w:vAlign w:val="center"/>
          </w:tcPr>
          <w:p>
            <w:pPr>
              <w:snapToGrid w:val="0"/>
              <w:jc w:val="center"/>
              <w:rPr>
                <w:color w:val="auto"/>
                <w:kern w:val="24"/>
                <w:sz w:val="24"/>
                <w:u w:val="none"/>
              </w:rPr>
            </w:pPr>
            <w:r>
              <w:rPr>
                <w:color w:val="auto"/>
                <w:sz w:val="24"/>
                <w:u w:val="none"/>
              </w:rPr>
              <w:t>法人代表</w:t>
            </w:r>
          </w:p>
        </w:tc>
        <w:tc>
          <w:tcPr>
            <w:tcW w:w="2500" w:type="dxa"/>
            <w:gridSpan w:val="2"/>
            <w:tcBorders>
              <w:tl2br w:val="nil"/>
              <w:tr2bl w:val="nil"/>
            </w:tcBorders>
            <w:vAlign w:val="center"/>
          </w:tcPr>
          <w:p>
            <w:pPr>
              <w:snapToGrid w:val="0"/>
              <w:jc w:val="center"/>
              <w:rPr>
                <w:rFonts w:hint="eastAsia" w:eastAsia="宋体"/>
                <w:color w:val="auto"/>
                <w:kern w:val="24"/>
                <w:sz w:val="24"/>
                <w:u w:val="none"/>
                <w:lang w:eastAsia="zh-CN"/>
              </w:rPr>
            </w:pPr>
            <w:r>
              <w:rPr>
                <w:rFonts w:hint="eastAsia"/>
                <w:color w:val="auto"/>
                <w:kern w:val="24"/>
                <w:sz w:val="24"/>
                <w:u w:val="none"/>
                <w:lang w:eastAsia="zh-CN"/>
              </w:rPr>
              <w:t>朱卫国</w:t>
            </w:r>
          </w:p>
        </w:tc>
        <w:tc>
          <w:tcPr>
            <w:tcW w:w="2090" w:type="dxa"/>
            <w:gridSpan w:val="2"/>
            <w:tcBorders>
              <w:tl2br w:val="nil"/>
              <w:tr2bl w:val="nil"/>
            </w:tcBorders>
            <w:vAlign w:val="center"/>
          </w:tcPr>
          <w:p>
            <w:pPr>
              <w:snapToGrid w:val="0"/>
              <w:jc w:val="center"/>
              <w:rPr>
                <w:color w:val="auto"/>
                <w:kern w:val="24"/>
                <w:sz w:val="24"/>
                <w:u w:val="none"/>
              </w:rPr>
            </w:pPr>
            <w:r>
              <w:rPr>
                <w:color w:val="auto"/>
                <w:sz w:val="24"/>
                <w:u w:val="none"/>
              </w:rPr>
              <w:t>联 系 人</w:t>
            </w:r>
          </w:p>
        </w:tc>
        <w:tc>
          <w:tcPr>
            <w:tcW w:w="2816" w:type="dxa"/>
            <w:gridSpan w:val="3"/>
            <w:tcBorders>
              <w:tl2br w:val="nil"/>
              <w:tr2bl w:val="nil"/>
            </w:tcBorders>
            <w:vAlign w:val="center"/>
          </w:tcPr>
          <w:p>
            <w:pPr>
              <w:snapToGrid w:val="0"/>
              <w:jc w:val="center"/>
              <w:rPr>
                <w:rFonts w:hint="eastAsia" w:eastAsia="宋体"/>
                <w:color w:val="auto"/>
                <w:kern w:val="24"/>
                <w:sz w:val="24"/>
                <w:u w:val="none"/>
                <w:lang w:eastAsia="zh-CN"/>
              </w:rPr>
            </w:pPr>
            <w:r>
              <w:rPr>
                <w:rFonts w:hint="eastAsia"/>
                <w:color w:val="auto"/>
                <w:kern w:val="24"/>
                <w:sz w:val="24"/>
                <w:u w:val="none"/>
                <w:lang w:eastAsia="zh-CN"/>
              </w:rPr>
              <w:t>何吉光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85" w:type="dxa"/>
            <w:bottom w:w="0" w:type="dxa"/>
            <w:right w:w="85" w:type="dxa"/>
          </w:tblCellMar>
        </w:tblPrEx>
        <w:trPr>
          <w:trHeight w:val="405" w:hRule="atLeast"/>
          <w:jc w:val="center"/>
        </w:trPr>
        <w:tc>
          <w:tcPr>
            <w:tcW w:w="1936" w:type="dxa"/>
            <w:tcBorders>
              <w:tl2br w:val="nil"/>
              <w:tr2bl w:val="nil"/>
            </w:tcBorders>
            <w:vAlign w:val="center"/>
          </w:tcPr>
          <w:p>
            <w:pPr>
              <w:snapToGrid w:val="0"/>
              <w:jc w:val="center"/>
              <w:rPr>
                <w:color w:val="auto"/>
                <w:kern w:val="24"/>
                <w:sz w:val="24"/>
                <w:u w:val="none"/>
              </w:rPr>
            </w:pPr>
            <w:r>
              <w:rPr>
                <w:color w:val="auto"/>
                <w:sz w:val="24"/>
                <w:u w:val="none"/>
              </w:rPr>
              <w:t>通讯地址</w:t>
            </w:r>
          </w:p>
        </w:tc>
        <w:tc>
          <w:tcPr>
            <w:tcW w:w="7406" w:type="dxa"/>
            <w:gridSpan w:val="7"/>
            <w:tcBorders>
              <w:tl2br w:val="nil"/>
              <w:tr2bl w:val="nil"/>
            </w:tcBorders>
            <w:vAlign w:val="center"/>
          </w:tcPr>
          <w:p>
            <w:pPr>
              <w:snapToGrid w:val="0"/>
              <w:jc w:val="center"/>
              <w:rPr>
                <w:rFonts w:hint="eastAsia" w:eastAsia="宋体"/>
                <w:color w:val="auto"/>
                <w:kern w:val="24"/>
                <w:sz w:val="24"/>
                <w:u w:val="none"/>
                <w:lang w:eastAsia="zh-CN"/>
              </w:rPr>
            </w:pPr>
            <w:r>
              <w:rPr>
                <w:rFonts w:hint="eastAsia"/>
                <w:color w:val="auto"/>
                <w:kern w:val="24"/>
                <w:sz w:val="24"/>
                <w:u w:val="none"/>
                <w:lang w:eastAsia="zh-CN"/>
              </w:rPr>
              <w:t>邵阳市双清区人民政府二办公楼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85" w:type="dxa"/>
            <w:bottom w:w="0" w:type="dxa"/>
            <w:right w:w="85" w:type="dxa"/>
          </w:tblCellMar>
        </w:tblPrEx>
        <w:trPr>
          <w:trHeight w:val="405" w:hRule="atLeast"/>
          <w:jc w:val="center"/>
        </w:trPr>
        <w:tc>
          <w:tcPr>
            <w:tcW w:w="1936" w:type="dxa"/>
            <w:tcBorders>
              <w:tl2br w:val="nil"/>
              <w:tr2bl w:val="nil"/>
            </w:tcBorders>
            <w:vAlign w:val="center"/>
          </w:tcPr>
          <w:p>
            <w:pPr>
              <w:snapToGrid w:val="0"/>
              <w:jc w:val="center"/>
              <w:rPr>
                <w:color w:val="auto"/>
                <w:kern w:val="24"/>
                <w:sz w:val="24"/>
                <w:u w:val="none"/>
              </w:rPr>
            </w:pPr>
            <w:r>
              <w:rPr>
                <w:color w:val="auto"/>
                <w:sz w:val="24"/>
                <w:u w:val="none"/>
              </w:rPr>
              <w:t>联系电话</w:t>
            </w:r>
          </w:p>
        </w:tc>
        <w:tc>
          <w:tcPr>
            <w:tcW w:w="1687" w:type="dxa"/>
            <w:tcBorders>
              <w:tl2br w:val="nil"/>
              <w:tr2bl w:val="nil"/>
            </w:tcBorders>
            <w:vAlign w:val="center"/>
          </w:tcPr>
          <w:p>
            <w:pPr>
              <w:snapToGrid w:val="0"/>
              <w:jc w:val="center"/>
              <w:rPr>
                <w:rFonts w:hint="default" w:eastAsia="宋体"/>
                <w:color w:val="auto"/>
                <w:kern w:val="0"/>
                <w:sz w:val="24"/>
                <w:u w:val="none"/>
                <w:lang w:val="en-US" w:eastAsia="zh-CN"/>
              </w:rPr>
            </w:pPr>
            <w:r>
              <w:rPr>
                <w:rFonts w:hint="eastAsia"/>
                <w:color w:val="auto"/>
                <w:kern w:val="0"/>
                <w:sz w:val="24"/>
                <w:u w:val="none"/>
                <w:lang w:val="en-US" w:eastAsia="zh-CN"/>
              </w:rPr>
              <w:t>15807399405</w:t>
            </w:r>
          </w:p>
        </w:tc>
        <w:tc>
          <w:tcPr>
            <w:tcW w:w="813" w:type="dxa"/>
            <w:tcBorders>
              <w:tl2br w:val="nil"/>
              <w:tr2bl w:val="nil"/>
            </w:tcBorders>
            <w:vAlign w:val="center"/>
          </w:tcPr>
          <w:p>
            <w:pPr>
              <w:snapToGrid w:val="0"/>
              <w:jc w:val="center"/>
              <w:rPr>
                <w:color w:val="auto"/>
                <w:kern w:val="24"/>
                <w:sz w:val="24"/>
                <w:u w:val="none"/>
              </w:rPr>
            </w:pPr>
            <w:r>
              <w:rPr>
                <w:color w:val="auto"/>
                <w:sz w:val="24"/>
                <w:u w:val="none"/>
              </w:rPr>
              <w:t>传真</w:t>
            </w:r>
          </w:p>
        </w:tc>
        <w:tc>
          <w:tcPr>
            <w:tcW w:w="2090" w:type="dxa"/>
            <w:gridSpan w:val="2"/>
            <w:tcBorders>
              <w:tl2br w:val="nil"/>
              <w:tr2bl w:val="nil"/>
            </w:tcBorders>
            <w:vAlign w:val="center"/>
          </w:tcPr>
          <w:p>
            <w:pPr>
              <w:snapToGrid w:val="0"/>
              <w:jc w:val="center"/>
              <w:rPr>
                <w:color w:val="auto"/>
                <w:kern w:val="24"/>
                <w:sz w:val="24"/>
                <w:u w:val="none"/>
              </w:rPr>
            </w:pPr>
            <w:r>
              <w:rPr>
                <w:color w:val="auto"/>
                <w:kern w:val="24"/>
                <w:sz w:val="24"/>
                <w:u w:val="none"/>
              </w:rPr>
              <w:t>/</w:t>
            </w:r>
          </w:p>
        </w:tc>
        <w:tc>
          <w:tcPr>
            <w:tcW w:w="1250" w:type="dxa"/>
            <w:tcBorders>
              <w:tl2br w:val="nil"/>
              <w:tr2bl w:val="nil"/>
            </w:tcBorders>
            <w:vAlign w:val="center"/>
          </w:tcPr>
          <w:p>
            <w:pPr>
              <w:snapToGrid w:val="0"/>
              <w:jc w:val="center"/>
              <w:rPr>
                <w:color w:val="auto"/>
                <w:kern w:val="24"/>
                <w:sz w:val="24"/>
                <w:u w:val="none"/>
              </w:rPr>
            </w:pPr>
            <w:r>
              <w:rPr>
                <w:color w:val="auto"/>
                <w:sz w:val="24"/>
                <w:u w:val="none"/>
              </w:rPr>
              <w:t>邮政编码</w:t>
            </w:r>
          </w:p>
        </w:tc>
        <w:tc>
          <w:tcPr>
            <w:tcW w:w="1566" w:type="dxa"/>
            <w:gridSpan w:val="2"/>
            <w:tcBorders>
              <w:tl2br w:val="nil"/>
              <w:tr2bl w:val="nil"/>
            </w:tcBorders>
            <w:vAlign w:val="center"/>
          </w:tcPr>
          <w:p>
            <w:pPr>
              <w:snapToGrid w:val="0"/>
              <w:jc w:val="center"/>
              <w:rPr>
                <w:rFonts w:hint="default" w:eastAsia="宋体"/>
                <w:color w:val="auto"/>
                <w:kern w:val="24"/>
                <w:sz w:val="24"/>
                <w:u w:val="none"/>
                <w:lang w:val="en-US" w:eastAsia="zh-CN"/>
              </w:rPr>
            </w:pPr>
            <w:r>
              <w:rPr>
                <w:rFonts w:hint="eastAsia"/>
                <w:color w:val="auto"/>
                <w:kern w:val="24"/>
                <w:sz w:val="24"/>
                <w:u w:val="none"/>
              </w:rPr>
              <w:t>422</w:t>
            </w:r>
            <w:r>
              <w:rPr>
                <w:rFonts w:hint="eastAsia"/>
                <w:color w:val="auto"/>
                <w:kern w:val="24"/>
                <w:sz w:val="24"/>
                <w:u w:val="no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85" w:type="dxa"/>
            <w:bottom w:w="0" w:type="dxa"/>
            <w:right w:w="85" w:type="dxa"/>
          </w:tblCellMar>
        </w:tblPrEx>
        <w:trPr>
          <w:trHeight w:val="405" w:hRule="atLeast"/>
          <w:jc w:val="center"/>
        </w:trPr>
        <w:tc>
          <w:tcPr>
            <w:tcW w:w="1936" w:type="dxa"/>
            <w:tcBorders>
              <w:tl2br w:val="nil"/>
              <w:tr2bl w:val="nil"/>
            </w:tcBorders>
            <w:vAlign w:val="center"/>
          </w:tcPr>
          <w:p>
            <w:pPr>
              <w:snapToGrid w:val="0"/>
              <w:jc w:val="center"/>
              <w:rPr>
                <w:color w:val="auto"/>
                <w:kern w:val="24"/>
                <w:sz w:val="24"/>
                <w:u w:val="none"/>
              </w:rPr>
            </w:pPr>
            <w:r>
              <w:rPr>
                <w:color w:val="auto"/>
                <w:sz w:val="24"/>
                <w:u w:val="none"/>
              </w:rPr>
              <w:t>建设地点</w:t>
            </w:r>
          </w:p>
        </w:tc>
        <w:tc>
          <w:tcPr>
            <w:tcW w:w="7406" w:type="dxa"/>
            <w:gridSpan w:val="7"/>
            <w:tcBorders>
              <w:tl2br w:val="nil"/>
              <w:tr2bl w:val="nil"/>
            </w:tcBorders>
            <w:vAlign w:val="center"/>
          </w:tcPr>
          <w:p>
            <w:pPr>
              <w:snapToGrid w:val="0"/>
              <w:ind w:left="-105" w:leftChars="-50" w:right="-105" w:rightChars="-50"/>
              <w:jc w:val="center"/>
              <w:rPr>
                <w:rFonts w:hint="default" w:ascii="Times New Roman" w:hAnsi="Times New Roman" w:eastAsia="宋体" w:cs="Times New Roman"/>
                <w:color w:val="FF0000"/>
                <w:sz w:val="24"/>
                <w:szCs w:val="22"/>
                <w:u w:val="wave"/>
                <w:lang w:eastAsia="zh-CN"/>
              </w:rPr>
            </w:pPr>
            <w:r>
              <w:rPr>
                <w:rFonts w:hint="default" w:ascii="Times New Roman" w:hAnsi="Times New Roman" w:cs="Times New Roman"/>
                <w:color w:val="FF0000"/>
                <w:sz w:val="24"/>
                <w:szCs w:val="22"/>
                <w:u w:val="wave"/>
                <w:lang w:eastAsia="zh-CN"/>
              </w:rPr>
              <w:t>邵阳市双清区渡头桥镇渡头社区</w:t>
            </w:r>
          </w:p>
          <w:p>
            <w:pPr>
              <w:snapToGrid w:val="0"/>
              <w:ind w:left="-105" w:leftChars="-50" w:right="-105" w:rightChars="-50"/>
              <w:jc w:val="center"/>
              <w:rPr>
                <w:rFonts w:hint="default" w:ascii="Times New Roman" w:hAnsi="Times New Roman" w:cs="Times New Roman"/>
                <w:color w:val="auto"/>
                <w:sz w:val="24"/>
                <w:u w:val="none"/>
              </w:rPr>
            </w:pPr>
            <w:r>
              <w:rPr>
                <w:rFonts w:hint="default" w:ascii="Times New Roman" w:hAnsi="Times New Roman" w:cs="Times New Roman"/>
                <w:color w:val="FF0000"/>
                <w:kern w:val="24"/>
                <w:sz w:val="24"/>
                <w:highlight w:val="none"/>
                <w:u w:val="wave"/>
              </w:rPr>
              <w:t>（</w:t>
            </w:r>
            <w:r>
              <w:rPr>
                <w:rFonts w:hint="default" w:ascii="Times New Roman" w:hAnsi="Times New Roman" w:cs="Times New Roman"/>
                <w:color w:val="FF0000"/>
                <w:kern w:val="24"/>
                <w:sz w:val="24"/>
                <w:highlight w:val="none"/>
                <w:u w:val="wave"/>
                <w:lang w:eastAsia="zh-CN"/>
              </w:rPr>
              <w:t>E111°54′</w:t>
            </w:r>
            <w:r>
              <w:rPr>
                <w:rFonts w:hint="eastAsia" w:cs="Times New Roman"/>
                <w:color w:val="FF0000"/>
                <w:kern w:val="24"/>
                <w:sz w:val="24"/>
                <w:highlight w:val="none"/>
                <w:u w:val="wave"/>
                <w:lang w:val="en-US" w:eastAsia="zh-CN"/>
              </w:rPr>
              <w:t>77</w:t>
            </w:r>
            <w:r>
              <w:rPr>
                <w:rFonts w:hint="default" w:ascii="Times New Roman" w:hAnsi="Times New Roman" w:cs="Times New Roman"/>
                <w:color w:val="FF0000"/>
                <w:kern w:val="24"/>
                <w:sz w:val="24"/>
                <w:highlight w:val="none"/>
                <w:u w:val="wave"/>
                <w:lang w:eastAsia="zh-CN"/>
              </w:rPr>
              <w:t>.</w:t>
            </w:r>
            <w:r>
              <w:rPr>
                <w:rFonts w:hint="eastAsia" w:cs="Times New Roman"/>
                <w:color w:val="FF0000"/>
                <w:kern w:val="24"/>
                <w:sz w:val="24"/>
                <w:highlight w:val="none"/>
                <w:u w:val="wave"/>
                <w:lang w:val="en-US" w:eastAsia="zh-CN"/>
              </w:rPr>
              <w:t>81</w:t>
            </w:r>
            <w:r>
              <w:rPr>
                <w:rFonts w:hint="default" w:ascii="Times New Roman" w:hAnsi="Times New Roman" w:cs="Times New Roman"/>
                <w:color w:val="FF0000"/>
                <w:kern w:val="24"/>
                <w:sz w:val="24"/>
                <w:highlight w:val="none"/>
                <w:u w:val="wave"/>
                <w:lang w:eastAsia="zh-CN"/>
              </w:rPr>
              <w:t>"，N27°19′4</w:t>
            </w:r>
            <w:r>
              <w:rPr>
                <w:rFonts w:hint="eastAsia" w:cs="Times New Roman"/>
                <w:color w:val="FF0000"/>
                <w:kern w:val="24"/>
                <w:sz w:val="24"/>
                <w:highlight w:val="none"/>
                <w:u w:val="wave"/>
                <w:lang w:val="en-US" w:eastAsia="zh-CN"/>
              </w:rPr>
              <w:t>0</w:t>
            </w:r>
            <w:r>
              <w:rPr>
                <w:rFonts w:hint="default" w:ascii="Times New Roman" w:hAnsi="Times New Roman" w:cs="Times New Roman"/>
                <w:color w:val="FF0000"/>
                <w:kern w:val="24"/>
                <w:sz w:val="24"/>
                <w:highlight w:val="none"/>
                <w:u w:val="wave"/>
                <w:lang w:eastAsia="zh-CN"/>
              </w:rPr>
              <w:t>.</w:t>
            </w:r>
            <w:r>
              <w:rPr>
                <w:rFonts w:hint="eastAsia" w:cs="Times New Roman"/>
                <w:color w:val="FF0000"/>
                <w:kern w:val="24"/>
                <w:sz w:val="24"/>
                <w:highlight w:val="none"/>
                <w:u w:val="wave"/>
                <w:lang w:val="en-US" w:eastAsia="zh-CN"/>
              </w:rPr>
              <w:t>23</w:t>
            </w:r>
            <w:r>
              <w:rPr>
                <w:rFonts w:hint="default" w:ascii="Times New Roman" w:hAnsi="Times New Roman" w:cs="Times New Roman"/>
                <w:color w:val="FF0000"/>
                <w:kern w:val="24"/>
                <w:sz w:val="24"/>
                <w:highlight w:val="none"/>
                <w:u w:val="wave"/>
                <w:lang w:eastAsia="zh-CN"/>
              </w:rPr>
              <w:t>"</w:t>
            </w:r>
            <w:r>
              <w:rPr>
                <w:rFonts w:hint="default" w:ascii="Times New Roman" w:hAnsi="Times New Roman" w:cs="Times New Roman"/>
                <w:color w:val="FF0000"/>
                <w:kern w:val="24"/>
                <w:sz w:val="24"/>
                <w:highlight w:val="none"/>
                <w:u w:val="wav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85" w:type="dxa"/>
            <w:bottom w:w="0" w:type="dxa"/>
            <w:right w:w="85" w:type="dxa"/>
          </w:tblCellMar>
        </w:tblPrEx>
        <w:trPr>
          <w:trHeight w:val="454" w:hRule="atLeast"/>
          <w:jc w:val="center"/>
        </w:trPr>
        <w:tc>
          <w:tcPr>
            <w:tcW w:w="1936" w:type="dxa"/>
            <w:tcBorders>
              <w:tl2br w:val="nil"/>
              <w:tr2bl w:val="nil"/>
            </w:tcBorders>
            <w:vAlign w:val="center"/>
          </w:tcPr>
          <w:p>
            <w:pPr>
              <w:snapToGrid w:val="0"/>
              <w:jc w:val="center"/>
              <w:rPr>
                <w:color w:val="auto"/>
                <w:sz w:val="24"/>
                <w:u w:val="none"/>
              </w:rPr>
            </w:pPr>
            <w:r>
              <w:rPr>
                <w:color w:val="auto"/>
                <w:sz w:val="24"/>
                <w:u w:val="none"/>
              </w:rPr>
              <w:t>立项审批部门</w:t>
            </w:r>
          </w:p>
        </w:tc>
        <w:tc>
          <w:tcPr>
            <w:tcW w:w="3091" w:type="dxa"/>
            <w:gridSpan w:val="3"/>
            <w:tcBorders>
              <w:tl2br w:val="nil"/>
              <w:tr2bl w:val="nil"/>
            </w:tcBorders>
            <w:vAlign w:val="center"/>
          </w:tcPr>
          <w:p>
            <w:pPr>
              <w:snapToGrid w:val="0"/>
              <w:jc w:val="center"/>
              <w:rPr>
                <w:rFonts w:hint="default" w:ascii="Times New Roman" w:hAnsi="Times New Roman" w:cs="Times New Roman"/>
                <w:color w:val="auto"/>
                <w:spacing w:val="-6"/>
                <w:sz w:val="24"/>
                <w:u w:val="none"/>
              </w:rPr>
            </w:pPr>
            <w:r>
              <w:rPr>
                <w:rFonts w:hint="default" w:ascii="Times New Roman" w:hAnsi="Times New Roman" w:cs="Times New Roman"/>
                <w:color w:val="auto"/>
                <w:spacing w:val="-6"/>
                <w:sz w:val="24"/>
                <w:u w:val="none"/>
              </w:rPr>
              <w:t>/</w:t>
            </w:r>
          </w:p>
        </w:tc>
        <w:tc>
          <w:tcPr>
            <w:tcW w:w="1499" w:type="dxa"/>
            <w:tcBorders>
              <w:tl2br w:val="nil"/>
              <w:tr2bl w:val="nil"/>
            </w:tcBorders>
            <w:vAlign w:val="center"/>
          </w:tcPr>
          <w:p>
            <w:pPr>
              <w:snapToGrid w:val="0"/>
              <w:jc w:val="center"/>
              <w:rPr>
                <w:rFonts w:hint="default" w:ascii="Times New Roman" w:hAnsi="Times New Roman" w:cs="Times New Roman"/>
                <w:color w:val="auto"/>
                <w:sz w:val="24"/>
                <w:u w:val="none"/>
              </w:rPr>
            </w:pPr>
            <w:r>
              <w:rPr>
                <w:rFonts w:hint="default" w:ascii="Times New Roman" w:hAnsi="Times New Roman" w:cs="Times New Roman"/>
                <w:color w:val="auto"/>
                <w:sz w:val="24"/>
                <w:u w:val="none"/>
              </w:rPr>
              <w:t>批准文号</w:t>
            </w:r>
          </w:p>
        </w:tc>
        <w:tc>
          <w:tcPr>
            <w:tcW w:w="2816" w:type="dxa"/>
            <w:gridSpan w:val="3"/>
            <w:tcBorders>
              <w:tl2br w:val="nil"/>
              <w:tr2bl w:val="nil"/>
            </w:tcBorders>
            <w:vAlign w:val="center"/>
          </w:tcPr>
          <w:p>
            <w:pPr>
              <w:snapToGrid w:val="0"/>
              <w:jc w:val="center"/>
              <w:rPr>
                <w:rFonts w:hint="default" w:ascii="Times New Roman" w:hAnsi="Times New Roman" w:cs="Times New Roman"/>
                <w:color w:val="auto"/>
                <w:kern w:val="24"/>
                <w:sz w:val="24"/>
                <w:u w:val="none"/>
              </w:rPr>
            </w:pPr>
            <w:r>
              <w:rPr>
                <w:rFonts w:hint="default" w:ascii="Times New Roman" w:hAnsi="Times New Roman" w:cs="Times New Roman"/>
                <w:color w:val="auto"/>
                <w:kern w:val="24"/>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85" w:type="dxa"/>
            <w:bottom w:w="0" w:type="dxa"/>
            <w:right w:w="85" w:type="dxa"/>
          </w:tblCellMar>
        </w:tblPrEx>
        <w:trPr>
          <w:trHeight w:val="90" w:hRule="atLeast"/>
          <w:jc w:val="center"/>
        </w:trPr>
        <w:tc>
          <w:tcPr>
            <w:tcW w:w="1936" w:type="dxa"/>
            <w:tcBorders>
              <w:tl2br w:val="nil"/>
              <w:tr2bl w:val="nil"/>
            </w:tcBorders>
            <w:vAlign w:val="center"/>
          </w:tcPr>
          <w:p>
            <w:pPr>
              <w:snapToGrid w:val="0"/>
              <w:jc w:val="center"/>
              <w:rPr>
                <w:color w:val="auto"/>
                <w:kern w:val="24"/>
                <w:sz w:val="24"/>
                <w:u w:val="none"/>
              </w:rPr>
            </w:pPr>
            <w:r>
              <w:rPr>
                <w:color w:val="auto"/>
                <w:sz w:val="24"/>
                <w:u w:val="none"/>
              </w:rPr>
              <w:t>建设性质</w:t>
            </w:r>
          </w:p>
        </w:tc>
        <w:tc>
          <w:tcPr>
            <w:tcW w:w="3091" w:type="dxa"/>
            <w:gridSpan w:val="3"/>
            <w:tcBorders>
              <w:tl2br w:val="nil"/>
              <w:tr2bl w:val="nil"/>
            </w:tcBorders>
            <w:vAlign w:val="center"/>
          </w:tcPr>
          <w:p>
            <w:pPr>
              <w:snapToGrid w:val="0"/>
              <w:jc w:val="center"/>
              <w:rPr>
                <w:color w:val="auto"/>
                <w:spacing w:val="-6"/>
                <w:kern w:val="24"/>
                <w:sz w:val="24"/>
                <w:u w:val="none"/>
              </w:rPr>
            </w:pPr>
            <w:r>
              <w:rPr>
                <w:color w:val="auto"/>
                <w:sz w:val="24"/>
                <w:u w:val="none"/>
              </w:rPr>
              <w:t>新建</w:t>
            </w:r>
          </w:p>
        </w:tc>
        <w:tc>
          <w:tcPr>
            <w:tcW w:w="1499" w:type="dxa"/>
            <w:tcBorders>
              <w:tl2br w:val="nil"/>
              <w:tr2bl w:val="nil"/>
            </w:tcBorders>
            <w:vAlign w:val="center"/>
          </w:tcPr>
          <w:p>
            <w:pPr>
              <w:snapToGrid w:val="0"/>
              <w:jc w:val="center"/>
              <w:rPr>
                <w:color w:val="auto"/>
                <w:sz w:val="24"/>
                <w:u w:val="none"/>
              </w:rPr>
            </w:pPr>
            <w:r>
              <w:rPr>
                <w:color w:val="auto"/>
                <w:sz w:val="24"/>
                <w:u w:val="none"/>
              </w:rPr>
              <w:t>行业类别</w:t>
            </w:r>
          </w:p>
          <w:p>
            <w:pPr>
              <w:snapToGrid w:val="0"/>
              <w:jc w:val="center"/>
              <w:rPr>
                <w:color w:val="auto"/>
                <w:kern w:val="24"/>
                <w:sz w:val="24"/>
                <w:u w:val="none"/>
              </w:rPr>
            </w:pPr>
            <w:r>
              <w:rPr>
                <w:color w:val="auto"/>
                <w:sz w:val="24"/>
                <w:u w:val="none"/>
              </w:rPr>
              <w:t>及代号</w:t>
            </w:r>
          </w:p>
        </w:tc>
        <w:tc>
          <w:tcPr>
            <w:tcW w:w="2816" w:type="dxa"/>
            <w:gridSpan w:val="3"/>
            <w:tcBorders>
              <w:tl2br w:val="nil"/>
              <w:tr2bl w:val="nil"/>
            </w:tcBorders>
            <w:vAlign w:val="center"/>
          </w:tcPr>
          <w:p>
            <w:pPr>
              <w:snapToGrid w:val="0"/>
              <w:jc w:val="center"/>
              <w:rPr>
                <w:color w:val="auto"/>
                <w:sz w:val="24"/>
                <w:szCs w:val="24"/>
                <w:u w:val="none"/>
              </w:rPr>
            </w:pPr>
            <w:r>
              <w:rPr>
                <w:color w:val="auto"/>
                <w:sz w:val="24"/>
                <w:szCs w:val="24"/>
                <w:u w:val="none"/>
              </w:rPr>
              <w:t>D4620-污水处理及其</w:t>
            </w:r>
          </w:p>
          <w:p>
            <w:pPr>
              <w:snapToGrid w:val="0"/>
              <w:jc w:val="center"/>
              <w:rPr>
                <w:color w:val="auto"/>
                <w:sz w:val="24"/>
                <w:u w:val="none"/>
              </w:rPr>
            </w:pPr>
            <w:r>
              <w:rPr>
                <w:color w:val="auto"/>
                <w:sz w:val="24"/>
                <w:szCs w:val="24"/>
                <w:u w:val="none"/>
              </w:rPr>
              <w:t>再生利用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85" w:type="dxa"/>
            <w:bottom w:w="0" w:type="dxa"/>
            <w:right w:w="85" w:type="dxa"/>
          </w:tblCellMar>
        </w:tblPrEx>
        <w:trPr>
          <w:trHeight w:val="454" w:hRule="atLeast"/>
          <w:jc w:val="center"/>
        </w:trPr>
        <w:tc>
          <w:tcPr>
            <w:tcW w:w="1936" w:type="dxa"/>
            <w:tcBorders>
              <w:tl2br w:val="nil"/>
              <w:tr2bl w:val="nil"/>
            </w:tcBorders>
            <w:vAlign w:val="center"/>
          </w:tcPr>
          <w:p>
            <w:pPr>
              <w:snapToGrid w:val="0"/>
              <w:jc w:val="center"/>
              <w:rPr>
                <w:color w:val="auto"/>
                <w:kern w:val="24"/>
                <w:sz w:val="24"/>
                <w:u w:val="none"/>
              </w:rPr>
            </w:pPr>
            <w:r>
              <w:rPr>
                <w:color w:val="auto"/>
                <w:sz w:val="24"/>
                <w:u w:val="none"/>
              </w:rPr>
              <w:t>占地面积</w:t>
            </w:r>
          </w:p>
          <w:p>
            <w:pPr>
              <w:snapToGrid w:val="0"/>
              <w:jc w:val="center"/>
              <w:rPr>
                <w:color w:val="auto"/>
                <w:kern w:val="24"/>
                <w:sz w:val="24"/>
                <w:u w:val="none"/>
              </w:rPr>
            </w:pPr>
            <w:r>
              <w:rPr>
                <w:color w:val="auto"/>
                <w:sz w:val="24"/>
                <w:u w:val="none"/>
              </w:rPr>
              <w:t>(平方米)</w:t>
            </w:r>
          </w:p>
        </w:tc>
        <w:tc>
          <w:tcPr>
            <w:tcW w:w="3091" w:type="dxa"/>
            <w:gridSpan w:val="3"/>
            <w:tcBorders>
              <w:tl2br w:val="nil"/>
              <w:tr2bl w:val="nil"/>
            </w:tcBorders>
            <w:vAlign w:val="center"/>
          </w:tcPr>
          <w:p>
            <w:pPr>
              <w:snapToGrid w:val="0"/>
              <w:jc w:val="center"/>
              <w:rPr>
                <w:color w:val="auto"/>
                <w:spacing w:val="-6"/>
                <w:sz w:val="24"/>
                <w:u w:val="none"/>
              </w:rPr>
            </w:pPr>
            <w:r>
              <w:rPr>
                <w:rFonts w:hint="eastAsia"/>
                <w:color w:val="auto"/>
                <w:spacing w:val="-6"/>
                <w:sz w:val="24"/>
                <w:u w:val="none"/>
              </w:rPr>
              <w:t>3</w:t>
            </w:r>
            <w:r>
              <w:rPr>
                <w:rFonts w:hint="eastAsia"/>
                <w:color w:val="auto"/>
                <w:spacing w:val="-6"/>
                <w:sz w:val="24"/>
                <w:u w:val="none"/>
                <w:lang w:val="en-US" w:eastAsia="zh-CN"/>
              </w:rPr>
              <w:t>3</w:t>
            </w:r>
            <w:r>
              <w:rPr>
                <w:rFonts w:hint="eastAsia"/>
                <w:color w:val="auto"/>
                <w:spacing w:val="-6"/>
                <w:sz w:val="24"/>
                <w:u w:val="none"/>
              </w:rPr>
              <w:t>33</w:t>
            </w:r>
            <w:r>
              <w:rPr>
                <w:rFonts w:hint="eastAsia"/>
                <w:color w:val="auto"/>
                <w:spacing w:val="-6"/>
                <w:sz w:val="24"/>
                <w:u w:val="none"/>
                <w:lang w:val="en-US" w:eastAsia="zh-CN"/>
              </w:rPr>
              <w:t>.35</w:t>
            </w:r>
            <w:r>
              <w:rPr>
                <w:rFonts w:hint="eastAsia"/>
                <w:color w:val="auto"/>
                <w:spacing w:val="-6"/>
                <w:sz w:val="24"/>
                <w:u w:val="none"/>
              </w:rPr>
              <w:t>（约合5亩）</w:t>
            </w:r>
          </w:p>
        </w:tc>
        <w:tc>
          <w:tcPr>
            <w:tcW w:w="1499" w:type="dxa"/>
            <w:tcBorders>
              <w:tl2br w:val="nil"/>
              <w:tr2bl w:val="nil"/>
            </w:tcBorders>
            <w:vAlign w:val="center"/>
          </w:tcPr>
          <w:p>
            <w:pPr>
              <w:snapToGrid w:val="0"/>
              <w:ind w:left="-105" w:leftChars="-50" w:right="-105" w:rightChars="-50"/>
              <w:jc w:val="center"/>
              <w:rPr>
                <w:color w:val="auto"/>
                <w:sz w:val="24"/>
                <w:u w:val="none"/>
              </w:rPr>
            </w:pPr>
            <w:r>
              <w:rPr>
                <w:color w:val="auto"/>
                <w:sz w:val="24"/>
                <w:u w:val="none"/>
              </w:rPr>
              <w:t>绿化面积</w:t>
            </w:r>
          </w:p>
          <w:p>
            <w:pPr>
              <w:snapToGrid w:val="0"/>
              <w:ind w:left="-105" w:leftChars="-50" w:right="-105" w:rightChars="-50"/>
              <w:jc w:val="center"/>
              <w:rPr>
                <w:color w:val="auto"/>
                <w:sz w:val="24"/>
                <w:u w:val="none"/>
              </w:rPr>
            </w:pPr>
            <w:r>
              <w:rPr>
                <w:color w:val="auto"/>
                <w:sz w:val="24"/>
                <w:u w:val="none"/>
              </w:rPr>
              <w:t>（平方米）</w:t>
            </w:r>
          </w:p>
        </w:tc>
        <w:tc>
          <w:tcPr>
            <w:tcW w:w="2816" w:type="dxa"/>
            <w:gridSpan w:val="3"/>
            <w:tcBorders>
              <w:tl2br w:val="nil"/>
              <w:tr2bl w:val="nil"/>
            </w:tcBorders>
            <w:vAlign w:val="center"/>
          </w:tcPr>
          <w:p>
            <w:pPr>
              <w:snapToGrid w:val="0"/>
              <w:ind w:left="-105" w:leftChars="-50" w:right="-105" w:rightChars="-50"/>
              <w:jc w:val="center"/>
              <w:rPr>
                <w:rFonts w:hint="default" w:eastAsia="宋体"/>
                <w:color w:val="auto"/>
                <w:sz w:val="24"/>
                <w:u w:val="none"/>
                <w:lang w:val="en-US" w:eastAsia="zh-CN"/>
              </w:rPr>
            </w:pPr>
            <w:r>
              <w:rPr>
                <w:rFonts w:hint="default" w:eastAsia="宋体"/>
                <w:color w:val="auto"/>
                <w:sz w:val="24"/>
                <w:u w:val="none"/>
                <w:lang w:val="en-US" w:eastAsia="zh-CN"/>
              </w:rPr>
              <w:t>762.96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85" w:type="dxa"/>
            <w:bottom w:w="0" w:type="dxa"/>
            <w:right w:w="85" w:type="dxa"/>
          </w:tblCellMar>
        </w:tblPrEx>
        <w:trPr>
          <w:trHeight w:val="90" w:hRule="atLeast"/>
          <w:jc w:val="center"/>
        </w:trPr>
        <w:tc>
          <w:tcPr>
            <w:tcW w:w="1936" w:type="dxa"/>
            <w:tcBorders>
              <w:tl2br w:val="nil"/>
              <w:tr2bl w:val="nil"/>
            </w:tcBorders>
            <w:vAlign w:val="center"/>
          </w:tcPr>
          <w:p>
            <w:pPr>
              <w:snapToGrid w:val="0"/>
              <w:jc w:val="center"/>
              <w:rPr>
                <w:color w:val="auto"/>
                <w:kern w:val="24"/>
                <w:sz w:val="24"/>
                <w:u w:val="none"/>
              </w:rPr>
            </w:pPr>
            <w:r>
              <w:rPr>
                <w:color w:val="auto"/>
                <w:sz w:val="24"/>
                <w:u w:val="none"/>
              </w:rPr>
              <w:t>总投资</w:t>
            </w:r>
          </w:p>
          <w:p>
            <w:pPr>
              <w:snapToGrid w:val="0"/>
              <w:jc w:val="center"/>
              <w:rPr>
                <w:color w:val="auto"/>
                <w:kern w:val="24"/>
                <w:sz w:val="24"/>
                <w:u w:val="none"/>
              </w:rPr>
            </w:pPr>
            <w:r>
              <w:rPr>
                <w:color w:val="auto"/>
                <w:sz w:val="24"/>
                <w:u w:val="none"/>
              </w:rPr>
              <w:t>(万元)</w:t>
            </w:r>
          </w:p>
        </w:tc>
        <w:tc>
          <w:tcPr>
            <w:tcW w:w="1687" w:type="dxa"/>
            <w:tcBorders>
              <w:tl2br w:val="nil"/>
              <w:tr2bl w:val="nil"/>
            </w:tcBorders>
            <w:vAlign w:val="center"/>
          </w:tcPr>
          <w:p>
            <w:pPr>
              <w:snapToGrid w:val="0"/>
              <w:jc w:val="center"/>
              <w:rPr>
                <w:rFonts w:hint="default" w:eastAsia="宋体"/>
                <w:color w:val="auto"/>
                <w:kern w:val="24"/>
                <w:sz w:val="24"/>
                <w:u w:val="none"/>
                <w:lang w:val="en-US" w:eastAsia="zh-CN"/>
              </w:rPr>
            </w:pPr>
            <w:r>
              <w:rPr>
                <w:rFonts w:hint="eastAsia"/>
                <w:color w:val="auto"/>
                <w:kern w:val="24"/>
                <w:sz w:val="24"/>
                <w:u w:val="none"/>
                <w:lang w:val="en-US" w:eastAsia="zh-CN"/>
              </w:rPr>
              <w:t>3024.23</w:t>
            </w:r>
          </w:p>
        </w:tc>
        <w:tc>
          <w:tcPr>
            <w:tcW w:w="1404" w:type="dxa"/>
            <w:gridSpan w:val="2"/>
            <w:tcBorders>
              <w:tl2br w:val="nil"/>
              <w:tr2bl w:val="nil"/>
            </w:tcBorders>
            <w:vAlign w:val="center"/>
          </w:tcPr>
          <w:p>
            <w:pPr>
              <w:snapToGrid w:val="0"/>
              <w:jc w:val="center"/>
              <w:rPr>
                <w:color w:val="auto"/>
                <w:kern w:val="24"/>
                <w:sz w:val="24"/>
                <w:highlight w:val="none"/>
                <w:u w:val="none"/>
              </w:rPr>
            </w:pPr>
            <w:r>
              <w:rPr>
                <w:color w:val="auto"/>
                <w:sz w:val="24"/>
                <w:highlight w:val="none"/>
                <w:u w:val="none"/>
              </w:rPr>
              <w:t>其中</w:t>
            </w:r>
            <w:r>
              <w:rPr>
                <w:rFonts w:hint="eastAsia"/>
                <w:color w:val="auto"/>
                <w:sz w:val="24"/>
                <w:highlight w:val="none"/>
                <w:u w:val="none"/>
                <w:lang w:eastAsia="zh-CN"/>
              </w:rPr>
              <w:t>：</w:t>
            </w:r>
            <w:r>
              <w:rPr>
                <w:color w:val="auto"/>
                <w:sz w:val="24"/>
                <w:highlight w:val="none"/>
                <w:u w:val="none"/>
              </w:rPr>
              <w:t>环保投资</w:t>
            </w:r>
            <w:r>
              <w:rPr>
                <w:rFonts w:hint="eastAsia"/>
                <w:color w:val="auto"/>
                <w:sz w:val="24"/>
                <w:highlight w:val="none"/>
                <w:u w:val="none"/>
                <w:lang w:eastAsia="zh-CN"/>
              </w:rPr>
              <w:t>（</w:t>
            </w:r>
            <w:r>
              <w:rPr>
                <w:color w:val="auto"/>
                <w:sz w:val="24"/>
                <w:highlight w:val="none"/>
                <w:u w:val="none"/>
              </w:rPr>
              <w:t>万元</w:t>
            </w:r>
            <w:r>
              <w:rPr>
                <w:rFonts w:hint="eastAsia"/>
                <w:color w:val="auto"/>
                <w:sz w:val="24"/>
                <w:highlight w:val="none"/>
                <w:u w:val="none"/>
                <w:lang w:eastAsia="zh-CN"/>
              </w:rPr>
              <w:t>）</w:t>
            </w:r>
          </w:p>
        </w:tc>
        <w:tc>
          <w:tcPr>
            <w:tcW w:w="1499" w:type="dxa"/>
            <w:tcBorders>
              <w:tl2br w:val="nil"/>
              <w:tr2bl w:val="nil"/>
            </w:tcBorders>
            <w:vAlign w:val="center"/>
          </w:tcPr>
          <w:p>
            <w:pPr>
              <w:snapToGrid w:val="0"/>
              <w:jc w:val="center"/>
              <w:rPr>
                <w:rFonts w:hint="default" w:eastAsia="宋体"/>
                <w:color w:val="auto"/>
                <w:kern w:val="24"/>
                <w:sz w:val="24"/>
                <w:highlight w:val="none"/>
                <w:u w:val="none"/>
                <w:lang w:val="en-US" w:eastAsia="zh-CN"/>
              </w:rPr>
            </w:pPr>
            <w:r>
              <w:rPr>
                <w:rFonts w:hint="eastAsia"/>
                <w:color w:val="auto"/>
                <w:kern w:val="24"/>
                <w:sz w:val="24"/>
                <w:highlight w:val="none"/>
                <w:u w:val="none"/>
                <w:lang w:val="en-US" w:eastAsia="zh-CN"/>
              </w:rPr>
              <w:t>52</w:t>
            </w:r>
          </w:p>
        </w:tc>
        <w:tc>
          <w:tcPr>
            <w:tcW w:w="1420" w:type="dxa"/>
            <w:gridSpan w:val="2"/>
            <w:tcBorders>
              <w:tl2br w:val="nil"/>
              <w:tr2bl w:val="nil"/>
            </w:tcBorders>
            <w:vAlign w:val="center"/>
          </w:tcPr>
          <w:p>
            <w:pPr>
              <w:snapToGrid w:val="0"/>
              <w:jc w:val="center"/>
              <w:rPr>
                <w:color w:val="auto"/>
                <w:kern w:val="24"/>
                <w:sz w:val="24"/>
                <w:highlight w:val="none"/>
                <w:u w:val="none"/>
              </w:rPr>
            </w:pPr>
            <w:r>
              <w:rPr>
                <w:color w:val="auto"/>
                <w:sz w:val="24"/>
                <w:highlight w:val="none"/>
                <w:u w:val="none"/>
              </w:rPr>
              <w:t>环保投资占总投资比例</w:t>
            </w:r>
          </w:p>
        </w:tc>
        <w:tc>
          <w:tcPr>
            <w:tcW w:w="1396" w:type="dxa"/>
            <w:tcBorders>
              <w:tl2br w:val="nil"/>
              <w:tr2bl w:val="nil"/>
            </w:tcBorders>
            <w:vAlign w:val="center"/>
          </w:tcPr>
          <w:p>
            <w:pPr>
              <w:snapToGrid w:val="0"/>
              <w:jc w:val="center"/>
              <w:rPr>
                <w:rFonts w:hint="eastAsia" w:eastAsia="宋体"/>
                <w:color w:val="auto"/>
                <w:kern w:val="24"/>
                <w:sz w:val="24"/>
                <w:highlight w:val="none"/>
                <w:u w:val="none"/>
                <w:lang w:eastAsia="zh-CN"/>
              </w:rPr>
            </w:pPr>
            <w:r>
              <w:rPr>
                <w:rFonts w:hint="eastAsia"/>
                <w:color w:val="auto"/>
                <w:kern w:val="24"/>
                <w:sz w:val="24"/>
                <w:highlight w:val="none"/>
                <w:u w:val="none"/>
                <w:lang w:val="en-US" w:eastAsia="zh-CN"/>
              </w:rPr>
              <w:t>1.72</w:t>
            </w:r>
            <w:r>
              <w:rPr>
                <w:rFonts w:hint="eastAsia"/>
                <w:color w:val="auto"/>
                <w:kern w:val="24"/>
                <w:sz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85" w:type="dxa"/>
            <w:bottom w:w="0" w:type="dxa"/>
            <w:right w:w="85" w:type="dxa"/>
          </w:tblCellMar>
        </w:tblPrEx>
        <w:trPr>
          <w:trHeight w:val="454" w:hRule="atLeast"/>
          <w:jc w:val="center"/>
        </w:trPr>
        <w:tc>
          <w:tcPr>
            <w:tcW w:w="1936" w:type="dxa"/>
            <w:tcBorders>
              <w:tl2br w:val="nil"/>
              <w:tr2bl w:val="nil"/>
            </w:tcBorders>
            <w:vAlign w:val="center"/>
          </w:tcPr>
          <w:p>
            <w:pPr>
              <w:snapToGrid w:val="0"/>
              <w:jc w:val="center"/>
              <w:rPr>
                <w:color w:val="auto"/>
                <w:kern w:val="24"/>
                <w:sz w:val="24"/>
                <w:u w:val="none"/>
              </w:rPr>
            </w:pPr>
            <w:r>
              <w:rPr>
                <w:color w:val="auto"/>
                <w:sz w:val="24"/>
                <w:u w:val="none"/>
              </w:rPr>
              <w:t>评价经费</w:t>
            </w:r>
          </w:p>
          <w:p>
            <w:pPr>
              <w:snapToGrid w:val="0"/>
              <w:jc w:val="center"/>
              <w:rPr>
                <w:color w:val="auto"/>
                <w:kern w:val="24"/>
                <w:sz w:val="24"/>
                <w:u w:val="none"/>
              </w:rPr>
            </w:pPr>
            <w:r>
              <w:rPr>
                <w:color w:val="auto"/>
                <w:sz w:val="24"/>
                <w:u w:val="none"/>
              </w:rPr>
              <w:t>(万元)</w:t>
            </w:r>
          </w:p>
        </w:tc>
        <w:tc>
          <w:tcPr>
            <w:tcW w:w="1687" w:type="dxa"/>
            <w:tcBorders>
              <w:tl2br w:val="nil"/>
              <w:tr2bl w:val="nil"/>
            </w:tcBorders>
            <w:vAlign w:val="center"/>
          </w:tcPr>
          <w:p>
            <w:pPr>
              <w:snapToGrid w:val="0"/>
              <w:jc w:val="center"/>
              <w:rPr>
                <w:color w:val="auto"/>
                <w:kern w:val="24"/>
                <w:sz w:val="24"/>
                <w:u w:val="none"/>
              </w:rPr>
            </w:pPr>
            <w:r>
              <w:rPr>
                <w:rFonts w:hint="eastAsia"/>
                <w:color w:val="auto"/>
                <w:kern w:val="24"/>
                <w:sz w:val="24"/>
                <w:u w:val="none"/>
              </w:rPr>
              <w:t>-</w:t>
            </w:r>
          </w:p>
        </w:tc>
        <w:tc>
          <w:tcPr>
            <w:tcW w:w="1404" w:type="dxa"/>
            <w:gridSpan w:val="2"/>
            <w:tcBorders>
              <w:tl2br w:val="nil"/>
              <w:tr2bl w:val="nil"/>
            </w:tcBorders>
            <w:vAlign w:val="center"/>
          </w:tcPr>
          <w:p>
            <w:pPr>
              <w:snapToGrid w:val="0"/>
              <w:jc w:val="center"/>
              <w:rPr>
                <w:color w:val="auto"/>
                <w:sz w:val="24"/>
                <w:u w:val="none"/>
              </w:rPr>
            </w:pPr>
            <w:r>
              <w:rPr>
                <w:rFonts w:hint="eastAsia"/>
                <w:color w:val="auto"/>
                <w:sz w:val="24"/>
                <w:u w:val="none"/>
              </w:rPr>
              <w:t>预计</w:t>
            </w:r>
            <w:r>
              <w:rPr>
                <w:color w:val="auto"/>
                <w:sz w:val="24"/>
                <w:u w:val="none"/>
              </w:rPr>
              <w:t>投产</w:t>
            </w:r>
          </w:p>
          <w:p>
            <w:pPr>
              <w:snapToGrid w:val="0"/>
              <w:jc w:val="center"/>
              <w:rPr>
                <w:color w:val="auto"/>
                <w:kern w:val="24"/>
                <w:sz w:val="24"/>
                <w:u w:val="none"/>
              </w:rPr>
            </w:pPr>
            <w:r>
              <w:rPr>
                <w:color w:val="auto"/>
                <w:sz w:val="24"/>
                <w:u w:val="none"/>
              </w:rPr>
              <w:t>日期</w:t>
            </w:r>
          </w:p>
        </w:tc>
        <w:tc>
          <w:tcPr>
            <w:tcW w:w="4315" w:type="dxa"/>
            <w:gridSpan w:val="4"/>
            <w:tcBorders>
              <w:tl2br w:val="nil"/>
              <w:tr2bl w:val="nil"/>
            </w:tcBorders>
            <w:vAlign w:val="center"/>
          </w:tcPr>
          <w:p>
            <w:pPr>
              <w:snapToGrid w:val="0"/>
              <w:jc w:val="center"/>
              <w:rPr>
                <w:color w:val="auto"/>
                <w:kern w:val="24"/>
                <w:sz w:val="24"/>
                <w:u w:val="none"/>
              </w:rPr>
            </w:pPr>
            <w:r>
              <w:rPr>
                <w:color w:val="FF0000"/>
                <w:kern w:val="24"/>
                <w:sz w:val="24"/>
                <w:u w:val="wave"/>
              </w:rPr>
              <w:t>20</w:t>
            </w:r>
            <w:r>
              <w:rPr>
                <w:rFonts w:hint="eastAsia"/>
                <w:color w:val="FF0000"/>
                <w:kern w:val="24"/>
                <w:sz w:val="24"/>
                <w:u w:val="wave"/>
              </w:rPr>
              <w:t>2</w:t>
            </w:r>
            <w:r>
              <w:rPr>
                <w:rFonts w:hint="eastAsia"/>
                <w:color w:val="FF0000"/>
                <w:kern w:val="24"/>
                <w:sz w:val="24"/>
                <w:u w:val="wave"/>
                <w:lang w:val="en-US" w:eastAsia="zh-CN"/>
              </w:rPr>
              <w:t>1</w:t>
            </w:r>
            <w:r>
              <w:rPr>
                <w:color w:val="FF0000"/>
                <w:kern w:val="24"/>
                <w:sz w:val="24"/>
                <w:u w:val="wave"/>
              </w:rPr>
              <w:t>年</w:t>
            </w:r>
            <w:r>
              <w:rPr>
                <w:rFonts w:hint="eastAsia"/>
                <w:color w:val="FF0000"/>
                <w:kern w:val="24"/>
                <w:sz w:val="24"/>
                <w:u w:val="wave"/>
                <w:lang w:val="en-US" w:eastAsia="zh-CN"/>
              </w:rPr>
              <w:t>2</w:t>
            </w:r>
            <w:r>
              <w:rPr>
                <w:color w:val="FF0000"/>
                <w:kern w:val="24"/>
                <w:sz w:val="24"/>
                <w:u w:val="wav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85" w:type="dxa"/>
            <w:bottom w:w="0" w:type="dxa"/>
            <w:right w:w="85" w:type="dxa"/>
          </w:tblCellMar>
        </w:tblPrEx>
        <w:trPr>
          <w:trHeight w:val="90" w:hRule="atLeast"/>
          <w:jc w:val="center"/>
        </w:trPr>
        <w:tc>
          <w:tcPr>
            <w:tcW w:w="9342" w:type="dxa"/>
            <w:gridSpan w:val="8"/>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360" w:lineRule="auto"/>
              <w:textAlignment w:val="auto"/>
              <w:rPr>
                <w:b/>
                <w:color w:val="auto"/>
                <w:sz w:val="30"/>
                <w:szCs w:val="30"/>
                <w:u w:val="none"/>
              </w:rPr>
            </w:pPr>
            <w:r>
              <w:rPr>
                <w:rFonts w:hint="eastAsia"/>
                <w:b/>
                <w:color w:val="auto"/>
                <w:sz w:val="30"/>
                <w:szCs w:val="30"/>
                <w:u w:val="none"/>
              </w:rPr>
              <w:t>1.1</w:t>
            </w:r>
            <w:r>
              <w:rPr>
                <w:b/>
                <w:color w:val="auto"/>
                <w:sz w:val="30"/>
                <w:szCs w:val="30"/>
                <w:u w:val="none"/>
              </w:rPr>
              <w:t>工程内容及规模：</w:t>
            </w:r>
          </w:p>
          <w:p>
            <w:pPr>
              <w:pStyle w:val="25"/>
              <w:keepNext w:val="0"/>
              <w:keepLines w:val="0"/>
              <w:pageBreakBefore w:val="0"/>
              <w:widowControl w:val="0"/>
              <w:kinsoku/>
              <w:wordWrap/>
              <w:overflowPunct/>
              <w:topLinePunct w:val="0"/>
              <w:bidi w:val="0"/>
              <w:adjustRightInd w:val="0"/>
              <w:snapToGrid w:val="0"/>
              <w:spacing w:beforeLines="0"/>
              <w:ind w:firstLine="482"/>
              <w:textAlignment w:val="auto"/>
              <w:rPr>
                <w:b/>
                <w:color w:val="auto"/>
                <w:u w:val="none"/>
              </w:rPr>
            </w:pPr>
            <w:r>
              <w:rPr>
                <w:rFonts w:hint="eastAsia"/>
                <w:b/>
                <w:color w:val="auto"/>
                <w:u w:val="none"/>
              </w:rPr>
              <w:t xml:space="preserve">1.1.1 </w:t>
            </w:r>
            <w:r>
              <w:rPr>
                <w:b/>
                <w:color w:val="auto"/>
                <w:u w:val="none"/>
              </w:rPr>
              <w:t>项目由来</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color w:val="FF0000"/>
                <w:sz w:val="24"/>
                <w:szCs w:val="24"/>
                <w:u w:val="wave"/>
                <w:lang w:val="en-US" w:eastAsia="zh-CN"/>
              </w:rPr>
            </w:pPr>
            <w:r>
              <w:rPr>
                <w:rFonts w:hint="eastAsia" w:ascii="Times New Roman" w:hAnsi="Times New Roman"/>
                <w:color w:val="auto"/>
                <w:sz w:val="24"/>
                <w:szCs w:val="24"/>
                <w:u w:val="none"/>
                <w:lang w:eastAsia="zh-CN"/>
              </w:rPr>
              <w:t>邵阳市</w:t>
            </w:r>
            <w:r>
              <w:rPr>
                <w:rFonts w:hint="eastAsia"/>
                <w:color w:val="auto"/>
                <w:sz w:val="24"/>
                <w:szCs w:val="24"/>
                <w:u w:val="none"/>
                <w:lang w:eastAsia="zh-CN"/>
              </w:rPr>
              <w:t>双清区</w:t>
            </w:r>
            <w:r>
              <w:rPr>
                <w:rFonts w:hint="eastAsia" w:ascii="Times New Roman" w:hAnsi="Times New Roman"/>
                <w:color w:val="auto"/>
                <w:sz w:val="24"/>
                <w:szCs w:val="24"/>
                <w:u w:val="none"/>
              </w:rPr>
              <w:t>渡头桥镇位于双清区东南方，镇政府驻地渡头社区，距市区10公里</w:t>
            </w:r>
            <w:r>
              <w:rPr>
                <w:rFonts w:hint="eastAsia" w:ascii="Times New Roman" w:hAnsi="Times New Roman"/>
                <w:color w:val="auto"/>
                <w:sz w:val="24"/>
                <w:szCs w:val="24"/>
                <w:u w:val="none"/>
                <w:lang w:eastAsia="zh-CN"/>
              </w:rPr>
              <w:t>，</w:t>
            </w:r>
            <w:r>
              <w:rPr>
                <w:rFonts w:hint="eastAsia" w:ascii="Times New Roman" w:hAnsi="Times New Roman"/>
                <w:color w:val="auto"/>
                <w:sz w:val="24"/>
                <w:szCs w:val="24"/>
                <w:u w:val="none"/>
              </w:rPr>
              <w:t>一直以来都是双清区重要农场品基地。</w:t>
            </w:r>
            <w:r>
              <w:rPr>
                <w:rFonts w:hint="eastAsia" w:ascii="Times New Roman" w:hAnsi="Times New Roman"/>
                <w:color w:val="auto"/>
                <w:sz w:val="24"/>
                <w:szCs w:val="24"/>
                <w:u w:val="none"/>
                <w:lang w:eastAsia="zh-CN"/>
              </w:rPr>
              <w:t>虽然临近市区，但市政污水管网还未延伸到该区域，</w:t>
            </w:r>
            <w:r>
              <w:rPr>
                <w:rFonts w:ascii="Times New Roman" w:hAnsi="Times New Roman"/>
                <w:color w:val="auto"/>
                <w:sz w:val="24"/>
                <w:szCs w:val="24"/>
                <w:u w:val="none"/>
              </w:rPr>
              <w:t>大部分生活污水没有得到处理就直接排放，污水乱排现象严重。随着</w:t>
            </w:r>
            <w:r>
              <w:rPr>
                <w:rFonts w:hint="eastAsia" w:ascii="Times New Roman" w:hAnsi="Times New Roman"/>
                <w:color w:val="auto"/>
                <w:sz w:val="24"/>
                <w:szCs w:val="24"/>
                <w:u w:val="none"/>
                <w:lang w:eastAsia="zh-CN"/>
              </w:rPr>
              <w:t>城镇建设的发展，镇区面积不断扩张，农村涌入人口日益增多，该镇</w:t>
            </w:r>
            <w:r>
              <w:rPr>
                <w:rFonts w:ascii="Times New Roman" w:hAnsi="Times New Roman"/>
                <w:color w:val="auto"/>
                <w:sz w:val="24"/>
                <w:szCs w:val="24"/>
                <w:u w:val="none"/>
              </w:rPr>
              <w:t>污废水量也不断增加，未经处理的生活污水直接排入</w:t>
            </w:r>
            <w:r>
              <w:rPr>
                <w:rFonts w:hint="eastAsia" w:ascii="Times New Roman" w:hAnsi="Times New Roman"/>
                <w:color w:val="auto"/>
                <w:sz w:val="24"/>
                <w:szCs w:val="24"/>
                <w:u w:val="none"/>
                <w:lang w:eastAsia="zh-CN"/>
              </w:rPr>
              <w:t>邵水河</w:t>
            </w:r>
            <w:r>
              <w:rPr>
                <w:rFonts w:ascii="Times New Roman" w:hAnsi="Times New Roman"/>
                <w:color w:val="auto"/>
                <w:sz w:val="24"/>
                <w:szCs w:val="24"/>
                <w:u w:val="none"/>
              </w:rPr>
              <w:t>，严重污染</w:t>
            </w:r>
            <w:r>
              <w:rPr>
                <w:rFonts w:hint="eastAsia" w:ascii="Times New Roman" w:hAnsi="Times New Roman"/>
                <w:color w:val="auto"/>
                <w:sz w:val="24"/>
                <w:szCs w:val="24"/>
                <w:u w:val="none"/>
                <w:lang w:eastAsia="zh-CN"/>
              </w:rPr>
              <w:t>其</w:t>
            </w:r>
            <w:r>
              <w:rPr>
                <w:rFonts w:ascii="Times New Roman" w:hAnsi="Times New Roman"/>
                <w:color w:val="auto"/>
                <w:sz w:val="24"/>
                <w:szCs w:val="24"/>
                <w:u w:val="none"/>
              </w:rPr>
              <w:t>水质，对生态环境及人们身体健康产生严重影响。为保护流域水质</w:t>
            </w:r>
            <w:r>
              <w:rPr>
                <w:rFonts w:hint="eastAsia" w:ascii="Times New Roman" w:hAnsi="Times New Roman"/>
                <w:color w:val="auto"/>
                <w:sz w:val="24"/>
                <w:szCs w:val="24"/>
                <w:u w:val="none"/>
                <w:lang w:eastAsia="zh-CN"/>
              </w:rPr>
              <w:t>及群众健康</w:t>
            </w:r>
            <w:r>
              <w:rPr>
                <w:rFonts w:hint="eastAsia"/>
                <w:color w:val="auto"/>
                <w:sz w:val="24"/>
                <w:szCs w:val="24"/>
                <w:u w:val="none"/>
                <w:lang w:eastAsia="zh-CN"/>
              </w:rPr>
              <w:t>，</w:t>
            </w:r>
            <w:r>
              <w:rPr>
                <w:color w:val="auto"/>
                <w:sz w:val="24"/>
                <w:szCs w:val="24"/>
                <w:u w:val="none"/>
              </w:rPr>
              <w:t>由</w:t>
            </w:r>
            <w:r>
              <w:rPr>
                <w:rFonts w:hint="eastAsia"/>
                <w:color w:val="auto"/>
                <w:sz w:val="24"/>
                <w:szCs w:val="24"/>
                <w:u w:val="none"/>
                <w:lang w:eastAsia="zh-CN"/>
              </w:rPr>
              <w:t>邵阳市双清区住房和城乡建设局</w:t>
            </w:r>
            <w:r>
              <w:rPr>
                <w:color w:val="auto"/>
                <w:sz w:val="24"/>
                <w:szCs w:val="24"/>
                <w:u w:val="none"/>
              </w:rPr>
              <w:t>牵头，结合</w:t>
            </w:r>
            <w:r>
              <w:rPr>
                <w:rFonts w:hint="eastAsia"/>
                <w:color w:val="auto"/>
                <w:sz w:val="24"/>
                <w:szCs w:val="24"/>
                <w:u w:val="none"/>
                <w:lang w:eastAsia="zh-CN"/>
              </w:rPr>
              <w:t>中央补助资金、</w:t>
            </w:r>
            <w:r>
              <w:rPr>
                <w:rFonts w:hint="eastAsia" w:ascii="Times New Roman" w:hAnsi="Times New Roman" w:eastAsia="宋体" w:cs="Times New Roman"/>
                <w:color w:val="auto"/>
                <w:sz w:val="24"/>
                <w:szCs w:val="24"/>
                <w:u w:val="none"/>
                <w:lang w:eastAsia="zh-CN"/>
              </w:rPr>
              <w:t>发行地方政府专项债券</w:t>
            </w:r>
            <w:r>
              <w:rPr>
                <w:rFonts w:hint="eastAsia"/>
                <w:color w:val="auto"/>
                <w:sz w:val="24"/>
                <w:szCs w:val="24"/>
                <w:u w:val="none"/>
                <w:lang w:eastAsia="zh-CN"/>
              </w:rPr>
              <w:t>及自筹资金</w:t>
            </w:r>
            <w:r>
              <w:rPr>
                <w:color w:val="auto"/>
                <w:sz w:val="24"/>
                <w:szCs w:val="24"/>
                <w:u w:val="none"/>
              </w:rPr>
              <w:t>，总投资</w:t>
            </w:r>
            <w:r>
              <w:rPr>
                <w:rFonts w:hint="eastAsia"/>
                <w:color w:val="auto"/>
                <w:sz w:val="24"/>
                <w:szCs w:val="24"/>
                <w:u w:val="none"/>
                <w:lang w:val="en-US" w:eastAsia="zh-CN"/>
              </w:rPr>
              <w:t>3024.23</w:t>
            </w:r>
            <w:r>
              <w:rPr>
                <w:color w:val="auto"/>
                <w:sz w:val="24"/>
                <w:szCs w:val="24"/>
                <w:u w:val="none"/>
              </w:rPr>
              <w:t>万元</w:t>
            </w:r>
            <w:r>
              <w:rPr>
                <w:rFonts w:hint="eastAsia"/>
                <w:color w:val="auto"/>
                <w:sz w:val="24"/>
                <w:szCs w:val="24"/>
                <w:u w:val="none"/>
                <w:lang w:eastAsia="zh-CN"/>
              </w:rPr>
              <w:t>选址</w:t>
            </w:r>
            <w:r>
              <w:rPr>
                <w:rFonts w:hint="eastAsia" w:eastAsia="宋体"/>
                <w:color w:val="FF0000"/>
                <w:sz w:val="24"/>
                <w:u w:val="wave"/>
                <w:lang w:val="en-US" w:eastAsia="zh-CN"/>
              </w:rPr>
              <w:t>于</w:t>
            </w:r>
            <w:r>
              <w:rPr>
                <w:rFonts w:hint="eastAsia"/>
                <w:color w:val="FF0000"/>
                <w:sz w:val="24"/>
                <w:szCs w:val="24"/>
                <w:u w:val="wave"/>
                <w:lang w:eastAsia="zh-CN"/>
              </w:rPr>
              <w:t>邵阳市汽车小镇建设用地的西南侧，地邵水河西岸，X019县道南侧建设</w:t>
            </w:r>
            <w:r>
              <w:rPr>
                <w:rFonts w:hint="eastAsia" w:eastAsia="宋体"/>
                <w:color w:val="FF0000"/>
                <w:sz w:val="24"/>
                <w:u w:val="wave"/>
                <w:lang w:val="en-US" w:eastAsia="zh-CN"/>
              </w:rPr>
              <w:t>邵阳市双清区渡头桥污水处理厂工程项目</w:t>
            </w:r>
            <w:r>
              <w:rPr>
                <w:rFonts w:hint="eastAsia"/>
                <w:color w:val="FF0000"/>
                <w:sz w:val="24"/>
                <w:szCs w:val="24"/>
                <w:u w:val="wave"/>
                <w:lang w:eastAsia="zh-CN"/>
              </w:rPr>
              <w:t>。项目于</w:t>
            </w:r>
            <w:r>
              <w:rPr>
                <w:rFonts w:hint="eastAsia"/>
                <w:color w:val="FF0000"/>
                <w:sz w:val="24"/>
                <w:szCs w:val="24"/>
                <w:u w:val="wave"/>
                <w:lang w:val="en-US" w:eastAsia="zh-CN"/>
              </w:rPr>
              <w:t>2020年12月委托</w:t>
            </w:r>
            <w:r>
              <w:rPr>
                <w:rFonts w:hint="eastAsia"/>
                <w:color w:val="FF0000"/>
                <w:sz w:val="24"/>
                <w:szCs w:val="24"/>
                <w:u w:val="wave"/>
              </w:rPr>
              <w:t>湖南景诚环境工程有限公司</w:t>
            </w:r>
            <w:r>
              <w:rPr>
                <w:rFonts w:hint="eastAsia"/>
                <w:color w:val="FF0000"/>
                <w:sz w:val="24"/>
                <w:szCs w:val="24"/>
                <w:u w:val="wave"/>
                <w:lang w:eastAsia="zh-CN"/>
              </w:rPr>
              <w:t>编制了</w:t>
            </w:r>
            <w:r>
              <w:rPr>
                <w:rFonts w:hint="eastAsia"/>
                <w:color w:val="FF0000"/>
                <w:sz w:val="24"/>
                <w:u w:val="wave"/>
                <w:lang w:eastAsia="zh-CN"/>
              </w:rPr>
              <w:t>邵阳市双清区渡头桥污水处理厂工程项目环境影响报告表，并于</w:t>
            </w:r>
            <w:r>
              <w:rPr>
                <w:rFonts w:hint="eastAsia"/>
                <w:color w:val="FF0000"/>
                <w:sz w:val="24"/>
                <w:u w:val="wave"/>
                <w:lang w:val="en-US" w:eastAsia="zh-CN"/>
              </w:rPr>
              <w:t>2020年5月27日</w:t>
            </w:r>
            <w:r>
              <w:rPr>
                <w:rFonts w:hint="eastAsia"/>
                <w:color w:val="FF0000"/>
                <w:sz w:val="24"/>
                <w:szCs w:val="24"/>
                <w:u w:val="wave"/>
                <w:lang w:val="en-US" w:eastAsia="zh-CN"/>
              </w:rPr>
              <w:t>取得邵阳市生态环境局双清分局下达的《关于</w:t>
            </w:r>
            <w:r>
              <w:rPr>
                <w:rFonts w:hint="eastAsia"/>
                <w:color w:val="FF0000"/>
                <w:sz w:val="24"/>
                <w:u w:val="wave"/>
                <w:lang w:eastAsia="zh-CN"/>
              </w:rPr>
              <w:t>邵阳市双清区渡头桥污水处理厂工程项目环境影响报告表的批复</w:t>
            </w:r>
            <w:r>
              <w:rPr>
                <w:rFonts w:hint="eastAsia"/>
                <w:color w:val="FF0000"/>
                <w:sz w:val="24"/>
                <w:szCs w:val="24"/>
                <w:u w:val="wave"/>
                <w:lang w:val="en-US" w:eastAsia="zh-CN"/>
              </w:rPr>
              <w:t>》邵双环评[2020]8号。</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color w:val="auto"/>
                <w:sz w:val="24"/>
                <w:szCs w:val="24"/>
                <w:u w:val="none"/>
              </w:rPr>
            </w:pPr>
            <w:r>
              <w:rPr>
                <w:rFonts w:hint="eastAsia" w:ascii="Times New Roman" w:hAnsi="Times New Roman" w:eastAsia="宋体" w:cs="Times New Roman"/>
                <w:color w:val="FF0000"/>
                <w:sz w:val="24"/>
                <w:szCs w:val="22"/>
                <w:u w:val="wave"/>
                <w:lang w:val="en-US" w:eastAsia="zh-CN"/>
              </w:rPr>
              <w:t>项目目前还未开工建设，现因原来设计的污水处理工艺运行成本高，建设单位经过专业团队重新设计后确定将原设计的废水处理工艺由兼氧FMBR工艺变更为一体化AO+生物膜设备处理工艺。项目名称由</w:t>
            </w:r>
            <w:r>
              <w:rPr>
                <w:rFonts w:hint="eastAsia"/>
                <w:color w:val="FF0000"/>
                <w:sz w:val="24"/>
                <w:u w:val="wave"/>
                <w:lang w:eastAsia="zh-CN"/>
              </w:rPr>
              <w:t>邵阳市双清区渡头桥污水处理厂工程项目变更为</w:t>
            </w:r>
            <w:r>
              <w:rPr>
                <w:rFonts w:hint="eastAsia"/>
                <w:color w:val="FF0000"/>
                <w:sz w:val="24"/>
                <w:u w:val="wave"/>
                <w:lang w:val="en-US" w:eastAsia="zh-CN"/>
              </w:rPr>
              <w:t>双清区渡头桥污水处理厂及周边配套管网工程，排放标准由《城镇污水处理厂污染物排放标准》（GB18918-2002）一级A标准变更为</w:t>
            </w:r>
            <w:r>
              <w:rPr>
                <w:rFonts w:hint="eastAsia" w:ascii="Times New Roman" w:hAnsi="Times New Roman" w:eastAsia="宋体" w:cs="Times New Roman"/>
                <w:color w:val="FF0000"/>
                <w:sz w:val="24"/>
                <w:szCs w:val="24"/>
                <w:u w:val="wave"/>
                <w:lang w:val="en-US" w:eastAsia="zh-CN"/>
              </w:rPr>
              <w:t>《城镇污水处理厂污染物排放标准》（GB18918-2002）一级</w:t>
            </w:r>
            <w:r>
              <w:rPr>
                <w:rFonts w:hint="eastAsia" w:cs="Times New Roman"/>
                <w:color w:val="FF0000"/>
                <w:sz w:val="24"/>
                <w:szCs w:val="24"/>
                <w:u w:val="wave"/>
                <w:lang w:val="en-US" w:eastAsia="zh-CN"/>
              </w:rPr>
              <w:t>B</w:t>
            </w:r>
            <w:r>
              <w:rPr>
                <w:rFonts w:hint="eastAsia" w:ascii="Times New Roman" w:hAnsi="Times New Roman" w:eastAsia="宋体" w:cs="Times New Roman"/>
                <w:color w:val="FF0000"/>
                <w:sz w:val="24"/>
                <w:szCs w:val="24"/>
                <w:u w:val="wave"/>
                <w:lang w:val="en-US" w:eastAsia="zh-CN"/>
              </w:rPr>
              <w:t>标准</w:t>
            </w:r>
            <w:r>
              <w:rPr>
                <w:rFonts w:hint="eastAsia"/>
                <w:color w:val="FF0000"/>
                <w:sz w:val="24"/>
                <w:u w:val="wave"/>
                <w:lang w:val="en-US" w:eastAsia="zh-CN"/>
              </w:rPr>
              <w:t>，项目建设地点、用地面积、处理规模、纳污水体及排放口位置等均不改变。</w:t>
            </w:r>
            <w:r>
              <w:rPr>
                <w:rFonts w:hint="eastAsia"/>
                <w:color w:val="auto"/>
                <w:sz w:val="24"/>
                <w:szCs w:val="24"/>
                <w:u w:val="none"/>
                <w:lang w:eastAsia="zh-CN"/>
              </w:rPr>
              <w:t>项目</w:t>
            </w:r>
            <w:r>
              <w:rPr>
                <w:rFonts w:hint="eastAsia"/>
                <w:color w:val="auto"/>
                <w:sz w:val="24"/>
                <w:szCs w:val="24"/>
                <w:u w:val="none"/>
              </w:rPr>
              <w:t>分两期进行建设，近期建成处理污水量为</w:t>
            </w:r>
            <w:r>
              <w:rPr>
                <w:rFonts w:hint="eastAsia"/>
                <w:color w:val="auto"/>
                <w:sz w:val="24"/>
                <w:szCs w:val="24"/>
                <w:u w:val="none"/>
                <w:lang w:val="en-US" w:eastAsia="zh-CN"/>
              </w:rPr>
              <w:t>1</w:t>
            </w:r>
            <w:r>
              <w:rPr>
                <w:rFonts w:hint="eastAsia"/>
                <w:color w:val="auto"/>
                <w:sz w:val="24"/>
                <w:szCs w:val="24"/>
                <w:u w:val="none"/>
              </w:rPr>
              <w:t>000m</w:t>
            </w:r>
            <w:r>
              <w:rPr>
                <w:rFonts w:hint="eastAsia"/>
                <w:color w:val="auto"/>
                <w:sz w:val="24"/>
                <w:szCs w:val="24"/>
                <w:u w:val="none"/>
                <w:vertAlign w:val="superscript"/>
              </w:rPr>
              <w:t>3</w:t>
            </w:r>
            <w:r>
              <w:rPr>
                <w:rFonts w:hint="eastAsia"/>
                <w:color w:val="auto"/>
                <w:sz w:val="24"/>
                <w:szCs w:val="24"/>
                <w:u w:val="none"/>
              </w:rPr>
              <w:t>/d，远期预留处理污水量</w:t>
            </w:r>
            <w:r>
              <w:rPr>
                <w:rFonts w:hint="eastAsia"/>
                <w:color w:val="auto"/>
                <w:sz w:val="24"/>
                <w:szCs w:val="24"/>
                <w:u w:val="none"/>
                <w:lang w:val="en-US" w:eastAsia="zh-CN"/>
              </w:rPr>
              <w:t>2</w:t>
            </w:r>
            <w:r>
              <w:rPr>
                <w:rFonts w:hint="eastAsia"/>
                <w:color w:val="auto"/>
                <w:sz w:val="24"/>
                <w:szCs w:val="24"/>
                <w:u w:val="none"/>
              </w:rPr>
              <w:t>000m</w:t>
            </w:r>
            <w:r>
              <w:rPr>
                <w:rFonts w:hint="eastAsia"/>
                <w:color w:val="auto"/>
                <w:sz w:val="24"/>
                <w:szCs w:val="24"/>
                <w:u w:val="none"/>
                <w:vertAlign w:val="superscript"/>
              </w:rPr>
              <w:t>3</w:t>
            </w:r>
            <w:r>
              <w:rPr>
                <w:rFonts w:hint="eastAsia"/>
                <w:color w:val="auto"/>
                <w:sz w:val="24"/>
                <w:szCs w:val="24"/>
                <w:u w:val="none"/>
              </w:rPr>
              <w:t>/d，</w:t>
            </w:r>
            <w:r>
              <w:rPr>
                <w:rFonts w:hint="eastAsia"/>
                <w:color w:val="auto"/>
                <w:sz w:val="24"/>
                <w:szCs w:val="24"/>
                <w:u w:val="none"/>
                <w:lang w:eastAsia="zh-CN"/>
              </w:rPr>
              <w:t>本次评价仅</w:t>
            </w:r>
            <w:r>
              <w:rPr>
                <w:rFonts w:hint="eastAsia"/>
                <w:color w:val="auto"/>
                <w:sz w:val="24"/>
                <w:szCs w:val="24"/>
                <w:u w:val="none"/>
              </w:rPr>
              <w:t>针对近期工程。</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color w:val="auto"/>
                <w:sz w:val="24"/>
                <w:szCs w:val="24"/>
                <w:u w:val="none"/>
              </w:rPr>
            </w:pPr>
            <w:r>
              <w:rPr>
                <w:color w:val="auto"/>
                <w:sz w:val="24"/>
                <w:szCs w:val="24"/>
                <w:u w:val="none"/>
              </w:rPr>
              <w:t>根</w:t>
            </w:r>
            <w:r>
              <w:rPr>
                <w:rFonts w:hint="eastAsia"/>
                <w:color w:val="auto"/>
                <w:sz w:val="24"/>
                <w:szCs w:val="24"/>
                <w:u w:val="none"/>
              </w:rPr>
              <w:t>据《中华人民共和国环境保护法》、《中华人民共和国环境影响评价法》、《建设项目环境保护管理条例》（第682号令），《建设项目环境影响评价分类管理名录》（2018本），本项目属于“三十三、水的生产和供应业”中“96、生活污水集中处理-其他”类，应编制环境影响报告表。湖南景诚环境工程有限公司在接受委托后，立即组织有关技术人员对项目所在地及周围环境现状进行了实地踏勘，收集相关资料，并在此基础上，依据国家法律法规和建设项目环境影响评价的相关规定、导则和标准，编制完成了本环境影响报告表。</w:t>
            </w:r>
          </w:p>
          <w:p>
            <w:pPr>
              <w:pStyle w:val="25"/>
              <w:keepNext w:val="0"/>
              <w:keepLines w:val="0"/>
              <w:pageBreakBefore w:val="0"/>
              <w:widowControl w:val="0"/>
              <w:kinsoku/>
              <w:wordWrap/>
              <w:overflowPunct/>
              <w:topLinePunct w:val="0"/>
              <w:bidi w:val="0"/>
              <w:adjustRightInd w:val="0"/>
              <w:snapToGrid w:val="0"/>
              <w:spacing w:beforeLines="0"/>
              <w:ind w:firstLine="482"/>
              <w:textAlignment w:val="auto"/>
              <w:rPr>
                <w:b/>
                <w:color w:val="auto"/>
                <w:u w:val="none"/>
              </w:rPr>
            </w:pPr>
            <w:r>
              <w:rPr>
                <w:rFonts w:hint="eastAsia"/>
                <w:b/>
                <w:color w:val="auto"/>
                <w:u w:val="none"/>
              </w:rPr>
              <w:t xml:space="preserve">1.1.2 </w:t>
            </w:r>
            <w:r>
              <w:rPr>
                <w:b/>
                <w:color w:val="auto"/>
                <w:u w:val="none"/>
              </w:rPr>
              <w:t>项目概况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eastAsia="宋体"/>
                <w:color w:val="auto"/>
                <w:sz w:val="24"/>
                <w:szCs w:val="24"/>
                <w:u w:val="none"/>
                <w:lang w:eastAsia="zh-CN"/>
              </w:rPr>
            </w:pPr>
            <w:r>
              <w:rPr>
                <w:color w:val="auto"/>
                <w:sz w:val="24"/>
                <w:szCs w:val="24"/>
                <w:u w:val="none"/>
              </w:rPr>
              <w:t>项目名称：</w:t>
            </w:r>
            <w:r>
              <w:rPr>
                <w:rFonts w:hint="eastAsia"/>
                <w:color w:val="auto"/>
                <w:sz w:val="24"/>
                <w:szCs w:val="24"/>
                <w:u w:val="none"/>
                <w:lang w:eastAsia="zh-CN"/>
              </w:rPr>
              <w:t>双清区渡头桥污水处理厂及周边配套管网工程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u w:val="none"/>
              </w:rPr>
            </w:pPr>
            <w:r>
              <w:rPr>
                <w:color w:val="auto"/>
                <w:sz w:val="24"/>
                <w:szCs w:val="24"/>
                <w:u w:val="none"/>
              </w:rPr>
              <w:t>建设单位：</w:t>
            </w:r>
            <w:r>
              <w:rPr>
                <w:rFonts w:hint="eastAsia"/>
                <w:color w:val="auto"/>
                <w:sz w:val="24"/>
                <w:szCs w:val="24"/>
                <w:u w:val="none"/>
                <w:lang w:eastAsia="zh-CN"/>
              </w:rPr>
              <w:t>邵阳市双清区住房和城乡建设局</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FF0000"/>
                <w:sz w:val="24"/>
                <w:szCs w:val="24"/>
                <w:u w:val="wave"/>
                <w:lang w:eastAsia="zh-CN"/>
              </w:rPr>
            </w:pPr>
            <w:r>
              <w:rPr>
                <w:color w:val="FF0000"/>
                <w:sz w:val="24"/>
                <w:szCs w:val="24"/>
                <w:u w:val="wave"/>
              </w:rPr>
              <w:t>建设地点：</w:t>
            </w:r>
            <w:r>
              <w:rPr>
                <w:rFonts w:hint="default"/>
                <w:color w:val="FF0000"/>
                <w:sz w:val="24"/>
                <w:szCs w:val="24"/>
                <w:u w:val="wave"/>
                <w:lang w:eastAsia="zh-CN"/>
              </w:rPr>
              <w:t>邵阳市双清区渡头桥镇渡头社区</w:t>
            </w:r>
            <w:r>
              <w:rPr>
                <w:rFonts w:hint="eastAsia"/>
                <w:color w:val="FF0000"/>
                <w:sz w:val="24"/>
                <w:szCs w:val="24"/>
                <w:u w:val="wave"/>
                <w:lang w:eastAsia="zh-CN"/>
              </w:rPr>
              <w:t>（邵阳市汽车小镇建设用地的西南侧，地处邵水河西岸，X019县道南侧）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auto"/>
                <w:sz w:val="24"/>
                <w:szCs w:val="24"/>
                <w:u w:val="none"/>
              </w:rPr>
            </w:pPr>
            <w:r>
              <w:rPr>
                <w:color w:val="auto"/>
                <w:sz w:val="24"/>
                <w:szCs w:val="24"/>
                <w:u w:val="none"/>
              </w:rPr>
              <w:t>建设性质：新建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u w:val="none"/>
                <w:lang w:eastAsia="zh-CN"/>
              </w:rPr>
            </w:pPr>
            <w:r>
              <w:rPr>
                <w:color w:val="auto"/>
                <w:sz w:val="24"/>
                <w:szCs w:val="24"/>
                <w:u w:val="none"/>
              </w:rPr>
              <w:t>处理工艺：</w:t>
            </w:r>
            <w:r>
              <w:rPr>
                <w:rFonts w:hint="eastAsia"/>
                <w:color w:val="auto"/>
                <w:sz w:val="24"/>
                <w:szCs w:val="24"/>
                <w:u w:val="none"/>
              </w:rPr>
              <w:t>废水处理采用</w:t>
            </w:r>
            <w:r>
              <w:rPr>
                <w:rFonts w:hint="eastAsia"/>
                <w:color w:val="auto"/>
                <w:sz w:val="24"/>
                <w:szCs w:val="24"/>
                <w:u w:val="none"/>
                <w:lang w:eastAsia="zh-CN"/>
              </w:rPr>
              <w:t>一体化</w:t>
            </w:r>
            <w:r>
              <w:rPr>
                <w:rFonts w:hint="eastAsia"/>
                <w:color w:val="auto"/>
                <w:sz w:val="24"/>
                <w:szCs w:val="24"/>
                <w:u w:val="none"/>
                <w:lang w:val="en-US" w:eastAsia="zh-CN"/>
              </w:rPr>
              <w:t>A/O+生化膜</w:t>
            </w:r>
            <w:r>
              <w:rPr>
                <w:rFonts w:hint="eastAsia"/>
                <w:color w:val="auto"/>
                <w:sz w:val="24"/>
                <w:szCs w:val="24"/>
                <w:u w:val="none"/>
              </w:rPr>
              <w:t>处理</w:t>
            </w:r>
            <w:r>
              <w:rPr>
                <w:rFonts w:hint="eastAsia"/>
                <w:color w:val="auto"/>
                <w:sz w:val="24"/>
                <w:szCs w:val="24"/>
                <w:u w:val="none"/>
                <w:lang w:eastAsia="zh-CN"/>
              </w:rPr>
              <w:t>设备</w:t>
            </w:r>
            <w:r>
              <w:rPr>
                <w:rFonts w:hint="eastAsia"/>
                <w:color w:val="auto"/>
                <w:sz w:val="24"/>
                <w:szCs w:val="24"/>
                <w:u w:val="none"/>
              </w:rPr>
              <w:t>（</w:t>
            </w:r>
            <w:r>
              <w:rPr>
                <w:rFonts w:hint="eastAsia"/>
                <w:color w:val="auto"/>
                <w:sz w:val="24"/>
                <w:szCs w:val="24"/>
                <w:u w:val="none"/>
                <w:lang w:val="en-US" w:eastAsia="zh-CN"/>
              </w:rPr>
              <w:t>进水→组合池（含格栅渠、集水池、调节池及储泥池）→提升→AO+生物膜法一体化污水处理设备→消毒设备→排放</w:t>
            </w:r>
            <w:r>
              <w:rPr>
                <w:rFonts w:hint="eastAsia"/>
                <w:color w:val="auto"/>
                <w:sz w:val="24"/>
                <w:szCs w:val="24"/>
                <w:u w:val="none"/>
              </w:rPr>
              <w:t>）；</w:t>
            </w:r>
            <w:r>
              <w:rPr>
                <w:color w:val="auto"/>
                <w:sz w:val="24"/>
                <w:szCs w:val="24"/>
                <w:u w:val="none"/>
              </w:rPr>
              <w:t>污泥处理采用添加适量的污泥调理剂调质后经过隔膜板框压滤机高压压榨</w:t>
            </w:r>
            <w:r>
              <w:rPr>
                <w:rFonts w:hint="eastAsia"/>
                <w:color w:val="auto"/>
                <w:sz w:val="24"/>
                <w:szCs w:val="24"/>
                <w:u w:val="none"/>
              </w:rPr>
              <w:t>的方案</w:t>
            </w:r>
            <w:r>
              <w:rPr>
                <w:color w:val="auto"/>
                <w:sz w:val="24"/>
                <w:szCs w:val="24"/>
                <w:u w:val="none"/>
              </w:rPr>
              <w:t>，</w:t>
            </w:r>
            <w:r>
              <w:rPr>
                <w:color w:val="auto"/>
                <w:kern w:val="0"/>
                <w:sz w:val="24"/>
                <w:szCs w:val="24"/>
                <w:u w:val="none"/>
              </w:rPr>
              <w:t>最终送至邵阳</w:t>
            </w:r>
            <w:r>
              <w:rPr>
                <w:rFonts w:hint="eastAsia"/>
                <w:color w:val="auto"/>
                <w:kern w:val="0"/>
                <w:sz w:val="24"/>
                <w:szCs w:val="24"/>
                <w:u w:val="none"/>
              </w:rPr>
              <w:t>市污泥处置中心</w:t>
            </w:r>
            <w:r>
              <w:rPr>
                <w:rFonts w:ascii="Times New Roman" w:hAnsi="Times New Roman" w:eastAsia="宋体" w:cs="Times New Roman"/>
                <w:color w:val="auto"/>
                <w:sz w:val="24"/>
                <w:szCs w:val="24"/>
                <w:u w:val="none"/>
              </w:rPr>
              <w:t>处理</w:t>
            </w:r>
            <w:r>
              <w:rPr>
                <w:rFonts w:hint="eastAsia" w:ascii="Times New Roman" w:hAnsi="Times New Roman" w:eastAsia="宋体" w:cs="Times New Roman"/>
                <w:color w:val="auto"/>
                <w:sz w:val="24"/>
                <w:szCs w:val="24"/>
                <w:u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eastAsia="zh-CN"/>
              </w:rPr>
              <w:t>尾水排放方案：</w:t>
            </w:r>
            <w:r>
              <w:rPr>
                <w:rFonts w:hint="eastAsia" w:ascii="Times New Roman" w:hAnsi="Times New Roman" w:eastAsia="宋体" w:cs="Times New Roman"/>
                <w:color w:val="auto"/>
                <w:sz w:val="24"/>
                <w:szCs w:val="24"/>
                <w:u w:val="none"/>
                <w:lang w:val="en-US" w:eastAsia="zh-CN"/>
              </w:rPr>
              <w:t>本项目排放口的尾水从出排水池处布设地下管道，本工程污水处理完成后尾水排放达到《城镇污水处理厂污染物排放标准》（GB18918-2002）一级</w:t>
            </w:r>
            <w:r>
              <w:rPr>
                <w:rFonts w:hint="eastAsia" w:cs="Times New Roman"/>
                <w:color w:val="auto"/>
                <w:sz w:val="24"/>
                <w:szCs w:val="24"/>
                <w:u w:val="none"/>
                <w:lang w:val="en-US" w:eastAsia="zh-CN"/>
              </w:rPr>
              <w:t>B</w:t>
            </w:r>
            <w:r>
              <w:rPr>
                <w:rFonts w:hint="eastAsia" w:ascii="Times New Roman" w:hAnsi="Times New Roman" w:eastAsia="宋体" w:cs="Times New Roman"/>
                <w:color w:val="auto"/>
                <w:sz w:val="24"/>
                <w:szCs w:val="24"/>
                <w:u w:val="none"/>
                <w:lang w:val="en-US" w:eastAsia="zh-CN"/>
              </w:rPr>
              <w:t>标后，通过管道重力直接排入邵水（</w:t>
            </w:r>
            <w:r>
              <w:rPr>
                <w:rFonts w:ascii="宋体" w:hAnsi="宋体" w:eastAsia="宋体" w:cs="宋体"/>
                <w:color w:val="auto"/>
                <w:sz w:val="24"/>
                <w:szCs w:val="24"/>
                <w:u w:val="none"/>
              </w:rPr>
              <w:t>岸边排放</w:t>
            </w:r>
            <w:r>
              <w:rPr>
                <w:rFonts w:hint="eastAsia" w:ascii="Times New Roman" w:hAnsi="Times New Roman" w:eastAsia="宋体" w:cs="Times New Roman"/>
                <w:color w:val="auto"/>
                <w:sz w:val="24"/>
                <w:szCs w:val="24"/>
                <w:u w:val="none"/>
                <w:lang w:val="en-US" w:eastAsia="zh-CN"/>
              </w:rPr>
              <w:t>）。拟定排污口没有穿越建筑物，距离较短，标高高于河流，无需设置提升泵等设施。</w:t>
            </w:r>
          </w:p>
          <w:p>
            <w:pPr>
              <w:pStyle w:val="35"/>
              <w:keepNext w:val="0"/>
              <w:keepLines w:val="0"/>
              <w:pageBreakBefore w:val="0"/>
              <w:widowControl w:val="0"/>
              <w:kinsoku/>
              <w:wordWrap/>
              <w:overflowPunct/>
              <w:topLinePunct w:val="0"/>
              <w:bidi w:val="0"/>
              <w:adjustRightInd w:val="0"/>
              <w:snapToGrid w:val="0"/>
              <w:spacing w:line="360" w:lineRule="auto"/>
              <w:textAlignment w:val="auto"/>
              <w:rPr>
                <w:rFonts w:ascii="宋体" w:hAnsi="宋体" w:eastAsia="宋体" w:cs="宋体"/>
                <w:color w:val="auto"/>
                <w:sz w:val="24"/>
                <w:szCs w:val="24"/>
                <w:u w:val="none"/>
              </w:rPr>
            </w:pPr>
            <w:r>
              <w:rPr>
                <w:rFonts w:hint="eastAsia" w:ascii="Times New Roman" w:hAnsi="Times New Roman" w:eastAsia="宋体" w:cs="Times New Roman"/>
                <w:color w:val="auto"/>
                <w:sz w:val="24"/>
                <w:szCs w:val="24"/>
                <w:u w:val="none"/>
                <w:lang w:val="en-US" w:eastAsia="zh-CN"/>
              </w:rPr>
              <w:t>排水体制：</w:t>
            </w:r>
            <w:r>
              <w:rPr>
                <w:rFonts w:ascii="宋体" w:hAnsi="宋体" w:eastAsia="宋体" w:cs="宋体"/>
                <w:color w:val="auto"/>
                <w:sz w:val="24"/>
                <w:szCs w:val="24"/>
                <w:u w:val="none"/>
              </w:rPr>
              <w:t>本项目的排水体制采用合流、分流相结合的方式收集污水，有条件的地段尽量做到雨污分流，不能分流的地段采用合流，设置截污溢流井的方式收集污水。网的建设采用分流制。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imes New Roman" w:hAnsi="Times New Roman" w:eastAsia="宋体" w:cs="Times New Roman"/>
                <w:color w:val="auto"/>
                <w:sz w:val="24"/>
                <w:szCs w:val="24"/>
                <w:u w:val="none"/>
              </w:rPr>
            </w:pPr>
            <w:r>
              <w:rPr>
                <w:rFonts w:ascii="Times New Roman" w:hAnsi="Times New Roman" w:eastAsia="宋体" w:cs="Times New Roman"/>
                <w:color w:val="auto"/>
                <w:sz w:val="24"/>
                <w:szCs w:val="24"/>
                <w:u w:val="none"/>
              </w:rPr>
              <w:t>出水标准：</w:t>
            </w:r>
            <w:r>
              <w:rPr>
                <w:rFonts w:hint="eastAsia" w:cs="Times New Roman"/>
                <w:color w:val="FF0000"/>
                <w:sz w:val="24"/>
                <w:szCs w:val="24"/>
                <w:u w:val="wave"/>
                <w:lang w:eastAsia="zh-CN"/>
              </w:rPr>
              <w:t>根据《湖南省住房和城乡建设厅等八部门关于建立绿色通道加快城乡污水处理设施建设前期工作的通知》湘建村</w:t>
            </w:r>
            <w:r>
              <w:rPr>
                <w:rFonts w:hint="eastAsia" w:cs="Times New Roman"/>
                <w:color w:val="FF0000"/>
                <w:sz w:val="24"/>
                <w:szCs w:val="24"/>
                <w:u w:val="wave"/>
                <w:lang w:val="en-US" w:eastAsia="zh-CN"/>
              </w:rPr>
              <w:t>[2019]230号（详见附件3），</w:t>
            </w:r>
            <w:r>
              <w:rPr>
                <w:rFonts w:hint="eastAsia" w:cs="Times New Roman"/>
                <w:color w:val="auto"/>
                <w:sz w:val="24"/>
                <w:szCs w:val="24"/>
                <w:u w:val="none"/>
                <w:lang w:val="en-US" w:eastAsia="zh-CN"/>
              </w:rPr>
              <w:t>本项目出水水质</w:t>
            </w:r>
            <w:r>
              <w:rPr>
                <w:rFonts w:ascii="Times New Roman" w:hAnsi="Times New Roman" w:eastAsia="宋体" w:cs="Times New Roman"/>
                <w:color w:val="auto"/>
                <w:sz w:val="24"/>
                <w:szCs w:val="24"/>
                <w:u w:val="none"/>
              </w:rPr>
              <w:t>执行</w:t>
            </w:r>
            <w:r>
              <w:rPr>
                <w:rFonts w:ascii="Times New Roman" w:hAnsi="Times New Roman" w:eastAsia="宋体" w:cs="Times New Roman"/>
                <w:color w:val="auto"/>
                <w:sz w:val="24"/>
                <w:szCs w:val="24"/>
                <w:u w:val="none"/>
                <w:lang w:val="zh-CN"/>
              </w:rPr>
              <w:t>《城镇污水处理厂污染物排放标准》（GB18918-2002）一级</w:t>
            </w:r>
            <w:r>
              <w:rPr>
                <w:rFonts w:hint="eastAsia" w:cs="Times New Roman"/>
                <w:color w:val="auto"/>
                <w:sz w:val="24"/>
                <w:szCs w:val="24"/>
                <w:u w:val="none"/>
                <w:lang w:val="en-US" w:eastAsia="zh-CN"/>
              </w:rPr>
              <w:t>B</w:t>
            </w:r>
            <w:r>
              <w:rPr>
                <w:rFonts w:ascii="Times New Roman" w:hAnsi="Times New Roman" w:eastAsia="宋体" w:cs="Times New Roman"/>
                <w:color w:val="auto"/>
                <w:sz w:val="24"/>
                <w:szCs w:val="24"/>
                <w:u w:val="none"/>
                <w:lang w:val="zh-CN"/>
              </w:rPr>
              <w:t>标准</w:t>
            </w:r>
            <w:r>
              <w:rPr>
                <w:rFonts w:hint="eastAsia" w:ascii="Times New Roman" w:hAnsi="Times New Roman" w:eastAsia="宋体" w:cs="Times New Roman"/>
                <w:color w:val="auto"/>
                <w:sz w:val="24"/>
                <w:szCs w:val="24"/>
                <w:u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FF0000"/>
                <w:sz w:val="24"/>
                <w:szCs w:val="24"/>
                <w:u w:val="wave"/>
                <w:lang w:eastAsia="zh-CN"/>
              </w:rPr>
            </w:pPr>
            <w:r>
              <w:rPr>
                <w:rFonts w:ascii="Times New Roman" w:hAnsi="Times New Roman" w:eastAsia="宋体" w:cs="Times New Roman"/>
                <w:color w:val="FF0000"/>
                <w:sz w:val="24"/>
                <w:szCs w:val="24"/>
                <w:u w:val="wave"/>
              </w:rPr>
              <w:t>项目投资：</w:t>
            </w:r>
            <w:r>
              <w:rPr>
                <w:rFonts w:hint="eastAsia" w:cs="Times New Roman"/>
                <w:color w:val="FF0000"/>
                <w:sz w:val="24"/>
                <w:szCs w:val="24"/>
                <w:u w:val="wave"/>
                <w:lang w:eastAsia="zh-CN"/>
              </w:rPr>
              <w:t>项目</w:t>
            </w:r>
            <w:r>
              <w:rPr>
                <w:rFonts w:ascii="Times New Roman" w:hAnsi="Times New Roman" w:eastAsia="宋体" w:cs="Times New Roman"/>
                <w:color w:val="FF0000"/>
                <w:sz w:val="24"/>
                <w:szCs w:val="24"/>
                <w:u w:val="wave"/>
              </w:rPr>
              <w:t>总投资</w:t>
            </w:r>
            <w:r>
              <w:rPr>
                <w:rFonts w:hint="eastAsia" w:cs="Times New Roman"/>
                <w:color w:val="FF0000"/>
                <w:sz w:val="24"/>
                <w:szCs w:val="24"/>
                <w:u w:val="wave"/>
                <w:lang w:val="en-US" w:eastAsia="zh-CN"/>
              </w:rPr>
              <w:t>3024.23</w:t>
            </w:r>
            <w:r>
              <w:rPr>
                <w:rFonts w:hint="eastAsia" w:ascii="Times New Roman" w:hAnsi="Times New Roman" w:eastAsia="宋体" w:cs="Times New Roman"/>
                <w:color w:val="FF0000"/>
                <w:sz w:val="24"/>
                <w:szCs w:val="24"/>
                <w:u w:val="wave"/>
                <w:lang w:eastAsia="zh-CN"/>
              </w:rPr>
              <w:t>万元</w:t>
            </w:r>
            <w:r>
              <w:rPr>
                <w:rFonts w:hint="eastAsia" w:cs="Times New Roman"/>
                <w:color w:val="FF0000"/>
                <w:sz w:val="24"/>
                <w:szCs w:val="24"/>
                <w:u w:val="wave"/>
                <w:lang w:eastAsia="zh-CN"/>
              </w:rPr>
              <w:t>，其中一期投资</w:t>
            </w:r>
            <w:r>
              <w:rPr>
                <w:rFonts w:hint="eastAsia" w:cs="Times New Roman"/>
                <w:color w:val="FF0000"/>
                <w:sz w:val="24"/>
                <w:szCs w:val="24"/>
                <w:u w:val="wave"/>
                <w:lang w:val="en-US" w:eastAsia="zh-CN"/>
              </w:rPr>
              <w:t>1436.02万元</w:t>
            </w:r>
            <w:r>
              <w:rPr>
                <w:rFonts w:ascii="Times New Roman" w:hAnsi="Times New Roman" w:eastAsia="宋体" w:cs="Times New Roman"/>
                <w:color w:val="FF0000"/>
                <w:sz w:val="24"/>
                <w:szCs w:val="24"/>
                <w:u w:val="wave"/>
              </w:rPr>
              <w:t>，环保投资</w:t>
            </w:r>
            <w:r>
              <w:rPr>
                <w:rFonts w:hint="eastAsia" w:ascii="Times New Roman" w:hAnsi="Times New Roman" w:eastAsia="宋体" w:cs="Times New Roman"/>
                <w:color w:val="FF0000"/>
                <w:sz w:val="24"/>
                <w:szCs w:val="24"/>
                <w:u w:val="wave"/>
                <w:lang w:val="en-US" w:eastAsia="zh-CN"/>
              </w:rPr>
              <w:t>52</w:t>
            </w:r>
            <w:r>
              <w:rPr>
                <w:rFonts w:ascii="Times New Roman" w:hAnsi="Times New Roman" w:eastAsia="宋体" w:cs="Times New Roman"/>
                <w:color w:val="FF0000"/>
                <w:sz w:val="24"/>
                <w:szCs w:val="24"/>
                <w:u w:val="wave"/>
              </w:rPr>
              <w:t>万元</w:t>
            </w:r>
            <w:r>
              <w:rPr>
                <w:rFonts w:hint="eastAsia" w:ascii="Times New Roman" w:hAnsi="Times New Roman" w:eastAsia="宋体" w:cs="Times New Roman"/>
                <w:color w:val="FF0000"/>
                <w:sz w:val="24"/>
                <w:szCs w:val="24"/>
                <w:u w:val="wave"/>
                <w:lang w:eastAsia="zh-CN"/>
              </w:rPr>
              <w:t>。建设资金采取申请中央补助资金1000万，发行地方政府专项债券1000万元，自筹资金1024.23万元，三部分共同解决。</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b/>
                <w:color w:val="auto"/>
                <w:sz w:val="24"/>
                <w:u w:val="none"/>
              </w:rPr>
            </w:pPr>
            <w:r>
              <w:rPr>
                <w:rFonts w:hint="eastAsia"/>
                <w:b/>
                <w:color w:val="auto"/>
                <w:sz w:val="24"/>
                <w:u w:val="none"/>
              </w:rPr>
              <w:t xml:space="preserve">1.1.3 </w:t>
            </w:r>
            <w:r>
              <w:rPr>
                <w:b/>
                <w:color w:val="auto"/>
                <w:sz w:val="24"/>
                <w:u w:val="none"/>
              </w:rPr>
              <w:t>工程规模及内容</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b/>
                <w:bCs/>
                <w:color w:val="auto"/>
                <w:sz w:val="24"/>
                <w:szCs w:val="24"/>
                <w:u w:val="none"/>
              </w:rPr>
            </w:pPr>
            <w:r>
              <w:rPr>
                <w:rFonts w:hint="eastAsia"/>
                <w:b/>
                <w:bCs/>
                <w:color w:val="auto"/>
                <w:sz w:val="24"/>
                <w:szCs w:val="24"/>
                <w:u w:val="none"/>
              </w:rPr>
              <w:t>（1）</w:t>
            </w:r>
            <w:r>
              <w:rPr>
                <w:b/>
                <w:bCs/>
                <w:color w:val="auto"/>
                <w:sz w:val="24"/>
                <w:szCs w:val="24"/>
                <w:u w:val="none"/>
              </w:rPr>
              <w:t>建设内容</w:t>
            </w:r>
          </w:p>
          <w:p>
            <w:pPr>
              <w:keepNext w:val="0"/>
              <w:keepLines w:val="0"/>
              <w:pageBreakBefore w:val="0"/>
              <w:widowControl w:val="0"/>
              <w:kinsoku/>
              <w:wordWrap/>
              <w:overflowPunct/>
              <w:topLinePunct w:val="0"/>
              <w:autoSpaceDE/>
              <w:autoSpaceDN/>
              <w:bidi w:val="0"/>
              <w:adjustRightInd w:val="0"/>
              <w:snapToGrid w:val="0"/>
              <w:spacing w:line="360" w:lineRule="auto"/>
              <w:ind w:firstLine="452" w:firstLineChars="200"/>
              <w:textAlignment w:val="auto"/>
              <w:rPr>
                <w:color w:val="auto"/>
                <w:spacing w:val="-8"/>
                <w:sz w:val="24"/>
                <w:u w:val="none"/>
              </w:rPr>
            </w:pPr>
            <w:r>
              <w:rPr>
                <w:color w:val="auto"/>
                <w:spacing w:val="-7"/>
                <w:sz w:val="24"/>
                <w:u w:val="none"/>
              </w:rPr>
              <w:t>项目总用地面积</w:t>
            </w:r>
            <w:r>
              <w:rPr>
                <w:rFonts w:hint="eastAsia"/>
                <w:color w:val="auto"/>
                <w:spacing w:val="-7"/>
                <w:sz w:val="24"/>
                <w:u w:val="none"/>
                <w:lang w:eastAsia="zh-CN"/>
              </w:rPr>
              <w:t>3333.35</w:t>
            </w:r>
            <w:r>
              <w:rPr>
                <w:rFonts w:eastAsia="Times New Roman"/>
                <w:color w:val="auto"/>
                <w:sz w:val="24"/>
                <w:u w:val="none"/>
              </w:rPr>
              <w:t>m</w:t>
            </w:r>
            <w:r>
              <w:rPr>
                <w:rFonts w:eastAsia="Times New Roman"/>
                <w:color w:val="auto"/>
                <w:sz w:val="24"/>
                <w:u w:val="none"/>
                <w:vertAlign w:val="superscript"/>
              </w:rPr>
              <w:t>2</w:t>
            </w:r>
            <w:r>
              <w:rPr>
                <w:color w:val="auto"/>
                <w:sz w:val="24"/>
                <w:u w:val="none"/>
              </w:rPr>
              <w:t>，</w:t>
            </w:r>
            <w:r>
              <w:rPr>
                <w:rFonts w:hint="eastAsia"/>
                <w:color w:val="auto"/>
                <w:sz w:val="24"/>
                <w:u w:val="none"/>
              </w:rPr>
              <w:t>约合</w:t>
            </w:r>
            <w:r>
              <w:rPr>
                <w:rFonts w:hint="eastAsia"/>
                <w:color w:val="auto"/>
                <w:sz w:val="24"/>
                <w:u w:val="none"/>
                <w:lang w:eastAsia="zh-CN"/>
              </w:rPr>
              <w:t>5亩</w:t>
            </w:r>
            <w:r>
              <w:rPr>
                <w:color w:val="auto"/>
                <w:spacing w:val="-1"/>
                <w:sz w:val="24"/>
                <w:u w:val="none"/>
              </w:rPr>
              <w:t>。</w:t>
            </w:r>
            <w:r>
              <w:rPr>
                <w:color w:val="auto"/>
                <w:sz w:val="24"/>
                <w:szCs w:val="24"/>
                <w:u w:val="none"/>
              </w:rPr>
              <w:t>项目由主体工程、辅助工程、环保工程、公用工程等构成</w:t>
            </w:r>
            <w:r>
              <w:rPr>
                <w:rFonts w:hint="eastAsia"/>
                <w:color w:val="auto"/>
                <w:sz w:val="24"/>
                <w:szCs w:val="24"/>
                <w:u w:val="none"/>
              </w:rPr>
              <w:t>，</w:t>
            </w:r>
            <w:r>
              <w:rPr>
                <w:color w:val="auto"/>
                <w:spacing w:val="-1"/>
                <w:sz w:val="24"/>
                <w:u w:val="none"/>
              </w:rPr>
              <w:t>主体工</w:t>
            </w:r>
            <w:r>
              <w:rPr>
                <w:color w:val="auto"/>
                <w:spacing w:val="-8"/>
                <w:sz w:val="24"/>
                <w:u w:val="none"/>
              </w:rPr>
              <w:t>程</w:t>
            </w:r>
            <w:r>
              <w:rPr>
                <w:rFonts w:hint="eastAsia"/>
                <w:color w:val="auto"/>
                <w:spacing w:val="-8"/>
                <w:sz w:val="24"/>
                <w:u w:val="none"/>
              </w:rPr>
              <w:t>的建设内容</w:t>
            </w:r>
            <w:r>
              <w:rPr>
                <w:color w:val="auto"/>
                <w:spacing w:val="-8"/>
                <w:sz w:val="24"/>
                <w:u w:val="none"/>
              </w:rPr>
              <w:t>主要</w:t>
            </w:r>
            <w:r>
              <w:rPr>
                <w:rFonts w:hint="eastAsia"/>
                <w:color w:val="auto"/>
                <w:spacing w:val="-8"/>
                <w:sz w:val="24"/>
                <w:u w:val="none"/>
              </w:rPr>
              <w:t>包括</w:t>
            </w:r>
            <w:r>
              <w:rPr>
                <w:rFonts w:hint="eastAsia"/>
                <w:color w:val="auto"/>
                <w:sz w:val="24"/>
                <w:szCs w:val="24"/>
                <w:u w:val="none"/>
              </w:rPr>
              <w:t>格栅</w:t>
            </w:r>
            <w:r>
              <w:rPr>
                <w:rFonts w:hint="eastAsia"/>
                <w:color w:val="auto"/>
                <w:sz w:val="24"/>
                <w:szCs w:val="24"/>
                <w:u w:val="none"/>
                <w:lang w:eastAsia="zh-CN"/>
              </w:rPr>
              <w:t>渠、组合调节池（内含储泥池）、一体化生化</w:t>
            </w:r>
            <w:r>
              <w:rPr>
                <w:rFonts w:hint="eastAsia"/>
                <w:color w:val="auto"/>
                <w:sz w:val="24"/>
                <w:szCs w:val="24"/>
                <w:u w:val="none"/>
                <w:lang w:val="en-US" w:eastAsia="zh-CN"/>
              </w:rPr>
              <w:t>处理设备（内含沉淀池）</w:t>
            </w:r>
            <w:r>
              <w:rPr>
                <w:rFonts w:hint="eastAsia"/>
                <w:color w:val="auto"/>
                <w:spacing w:val="-8"/>
                <w:sz w:val="24"/>
                <w:u w:val="none"/>
              </w:rPr>
              <w:t>及其配套管网工程等。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u w:val="none"/>
              </w:rPr>
            </w:pPr>
            <w:r>
              <w:rPr>
                <w:color w:val="auto"/>
                <w:sz w:val="24"/>
                <w:szCs w:val="24"/>
                <w:u w:val="none"/>
              </w:rPr>
              <w:t>项目</w:t>
            </w:r>
            <w:r>
              <w:rPr>
                <w:rFonts w:hint="eastAsia"/>
                <w:color w:val="auto"/>
                <w:sz w:val="24"/>
                <w:szCs w:val="24"/>
                <w:u w:val="none"/>
              </w:rPr>
              <w:t>具体组成情况</w:t>
            </w:r>
            <w:r>
              <w:rPr>
                <w:color w:val="auto"/>
                <w:sz w:val="24"/>
                <w:szCs w:val="24"/>
                <w:u w:val="none"/>
              </w:rPr>
              <w:t>见表</w:t>
            </w:r>
            <w:r>
              <w:rPr>
                <w:rFonts w:hint="eastAsia"/>
                <w:color w:val="auto"/>
                <w:sz w:val="24"/>
                <w:szCs w:val="24"/>
                <w:u w:val="none"/>
                <w:lang w:val="en-US" w:eastAsia="zh-CN"/>
              </w:rPr>
              <w:t>1-1。</w:t>
            </w:r>
          </w:p>
          <w:p>
            <w:pPr>
              <w:adjustRightInd w:val="0"/>
              <w:snapToGrid w:val="0"/>
              <w:jc w:val="center"/>
              <w:rPr>
                <w:b/>
                <w:color w:val="auto"/>
                <w:szCs w:val="21"/>
                <w:highlight w:val="none"/>
                <w:u w:val="none"/>
              </w:rPr>
            </w:pPr>
            <w:r>
              <w:rPr>
                <w:b/>
                <w:color w:val="auto"/>
                <w:szCs w:val="21"/>
                <w:highlight w:val="none"/>
                <w:u w:val="none"/>
              </w:rPr>
              <w:t>表1-1    项目组成</w:t>
            </w:r>
            <w:r>
              <w:rPr>
                <w:rFonts w:hint="eastAsia"/>
                <w:b/>
                <w:color w:val="auto"/>
                <w:szCs w:val="21"/>
                <w:highlight w:val="none"/>
                <w:u w:val="none"/>
              </w:rPr>
              <w:t>情况</w:t>
            </w:r>
          </w:p>
          <w:tbl>
            <w:tblPr>
              <w:tblStyle w:val="27"/>
              <w:tblW w:w="86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04"/>
              <w:gridCol w:w="2689"/>
              <w:gridCol w:w="1203"/>
              <w:gridCol w:w="27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类别</w:t>
                  </w:r>
                </w:p>
              </w:tc>
              <w:tc>
                <w:tcPr>
                  <w:tcW w:w="130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建设内容</w:t>
                  </w:r>
                </w:p>
              </w:tc>
              <w:tc>
                <w:tcPr>
                  <w:tcW w:w="2689"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规格或面积</w:t>
                  </w:r>
                </w:p>
              </w:tc>
              <w:tc>
                <w:tcPr>
                  <w:tcW w:w="1203"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结构</w:t>
                  </w:r>
                </w:p>
              </w:tc>
              <w:tc>
                <w:tcPr>
                  <w:tcW w:w="273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0" w:type="dxa"/>
                  <w:vMerge w:val="restart"/>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主体工程</w:t>
                  </w:r>
                </w:p>
              </w:tc>
              <w:tc>
                <w:tcPr>
                  <w:tcW w:w="1304" w:type="dxa"/>
                  <w:tcBorders>
                    <w:tl2br w:val="nil"/>
                    <w:tr2bl w:val="nil"/>
                  </w:tcBorders>
                  <w:vAlign w:val="center"/>
                </w:tcPr>
                <w:p>
                  <w:pPr>
                    <w:tabs>
                      <w:tab w:val="left" w:pos="1021"/>
                    </w:tabs>
                    <w:autoSpaceDE w:val="0"/>
                    <w:autoSpaceDN w:val="0"/>
                    <w:adjustRightInd w:val="0"/>
                    <w:spacing w:line="240" w:lineRule="auto"/>
                    <w:jc w:val="center"/>
                    <w:rPr>
                      <w:rFonts w:hint="eastAsia" w:eastAsia="宋体"/>
                      <w:color w:val="auto"/>
                      <w:kern w:val="0"/>
                      <w:szCs w:val="21"/>
                      <w:highlight w:val="none"/>
                      <w:u w:val="none"/>
                      <w:lang w:eastAsia="zh-CN"/>
                    </w:rPr>
                  </w:pPr>
                  <w:r>
                    <w:rPr>
                      <w:rFonts w:hint="eastAsia"/>
                      <w:color w:val="auto"/>
                      <w:kern w:val="0"/>
                      <w:szCs w:val="21"/>
                      <w:highlight w:val="none"/>
                      <w:u w:val="none"/>
                    </w:rPr>
                    <w:t>格栅</w:t>
                  </w:r>
                  <w:r>
                    <w:rPr>
                      <w:rFonts w:hint="eastAsia"/>
                      <w:color w:val="auto"/>
                      <w:kern w:val="0"/>
                      <w:szCs w:val="21"/>
                      <w:highlight w:val="none"/>
                      <w:u w:val="none"/>
                      <w:lang w:eastAsia="zh-CN"/>
                    </w:rPr>
                    <w:t>渠</w:t>
                  </w:r>
                </w:p>
              </w:tc>
              <w:tc>
                <w:tcPr>
                  <w:tcW w:w="2689" w:type="dxa"/>
                  <w:tcBorders>
                    <w:tl2br w:val="nil"/>
                    <w:tr2bl w:val="nil"/>
                  </w:tcBorders>
                  <w:vAlign w:val="center"/>
                </w:tcPr>
                <w:p>
                  <w:pPr>
                    <w:pStyle w:val="3"/>
                    <w:spacing w:line="240" w:lineRule="auto"/>
                    <w:jc w:val="center"/>
                    <w:rPr>
                      <w:color w:val="auto"/>
                      <w:highlight w:val="none"/>
                      <w:u w:val="none"/>
                    </w:rPr>
                  </w:pPr>
                  <w:r>
                    <w:rPr>
                      <w:rFonts w:hint="eastAsia" w:ascii="Times New Roman" w:hAnsi="Times New Roman" w:eastAsia="宋体" w:cs="Times New Roman"/>
                      <w:b w:val="0"/>
                      <w:bCs w:val="0"/>
                      <w:color w:val="auto"/>
                      <w:kern w:val="0"/>
                      <w:sz w:val="21"/>
                      <w:szCs w:val="21"/>
                      <w:highlight w:val="none"/>
                      <w:u w:val="none"/>
                      <w:lang w:val="en-US" w:eastAsia="zh-CN" w:bidi="ar-SA"/>
                    </w:rPr>
                    <w:t>一条，栅条间隙10mm</w:t>
                  </w:r>
                  <w:r>
                    <w:rPr>
                      <w:rFonts w:hint="eastAsia" w:cs="Times New Roman"/>
                      <w:b w:val="0"/>
                      <w:bCs w:val="0"/>
                      <w:color w:val="auto"/>
                      <w:kern w:val="0"/>
                      <w:sz w:val="21"/>
                      <w:szCs w:val="21"/>
                      <w:highlight w:val="none"/>
                      <w:u w:val="none"/>
                      <w:lang w:val="en-US" w:eastAsia="zh-CN" w:bidi="ar-SA"/>
                    </w:rPr>
                    <w:t>，按远期3000m</w:t>
                  </w:r>
                  <w:r>
                    <w:rPr>
                      <w:rFonts w:hint="eastAsia" w:cs="Times New Roman"/>
                      <w:b w:val="0"/>
                      <w:bCs w:val="0"/>
                      <w:color w:val="auto"/>
                      <w:kern w:val="0"/>
                      <w:sz w:val="21"/>
                      <w:szCs w:val="21"/>
                      <w:highlight w:val="none"/>
                      <w:u w:val="none"/>
                      <w:vertAlign w:val="superscript"/>
                      <w:lang w:val="en-US" w:eastAsia="zh-CN" w:bidi="ar-SA"/>
                    </w:rPr>
                    <w:t>3</w:t>
                  </w:r>
                  <w:r>
                    <w:rPr>
                      <w:rFonts w:hint="eastAsia" w:cs="Times New Roman"/>
                      <w:b w:val="0"/>
                      <w:bCs w:val="0"/>
                      <w:color w:val="auto"/>
                      <w:kern w:val="0"/>
                      <w:sz w:val="21"/>
                      <w:szCs w:val="21"/>
                      <w:highlight w:val="none"/>
                      <w:u w:val="none"/>
                      <w:lang w:val="en-US" w:eastAsia="zh-CN" w:bidi="ar-SA"/>
                    </w:rPr>
                    <w:t>/d</w:t>
                  </w:r>
                </w:p>
              </w:tc>
              <w:tc>
                <w:tcPr>
                  <w:tcW w:w="1203"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钢砼</w:t>
                  </w:r>
                </w:p>
              </w:tc>
              <w:tc>
                <w:tcPr>
                  <w:tcW w:w="273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保护水泵和防止管道堵塞，截污的同时也消减了一定的污染物负荷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80" w:type="dxa"/>
                  <w:vMerge w:val="continue"/>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p>
              </w:tc>
              <w:tc>
                <w:tcPr>
                  <w:tcW w:w="1304" w:type="dxa"/>
                  <w:tcBorders>
                    <w:tl2br w:val="nil"/>
                    <w:tr2bl w:val="nil"/>
                  </w:tcBorders>
                  <w:vAlign w:val="center"/>
                </w:tcPr>
                <w:p>
                  <w:pPr>
                    <w:tabs>
                      <w:tab w:val="left" w:pos="1021"/>
                    </w:tabs>
                    <w:autoSpaceDE w:val="0"/>
                    <w:autoSpaceDN w:val="0"/>
                    <w:adjustRightInd w:val="0"/>
                    <w:spacing w:line="240" w:lineRule="auto"/>
                    <w:jc w:val="center"/>
                    <w:rPr>
                      <w:rFonts w:hint="eastAsia" w:eastAsia="宋体"/>
                      <w:color w:val="auto"/>
                      <w:kern w:val="0"/>
                      <w:szCs w:val="21"/>
                      <w:highlight w:val="none"/>
                      <w:u w:val="none"/>
                      <w:lang w:eastAsia="zh-CN"/>
                    </w:rPr>
                  </w:pPr>
                  <w:r>
                    <w:rPr>
                      <w:rFonts w:hint="eastAsia"/>
                      <w:color w:val="auto"/>
                      <w:kern w:val="0"/>
                      <w:szCs w:val="21"/>
                      <w:highlight w:val="none"/>
                      <w:u w:val="none"/>
                      <w:lang w:eastAsia="zh-CN"/>
                    </w:rPr>
                    <w:t>调节池</w:t>
                  </w:r>
                </w:p>
              </w:tc>
              <w:tc>
                <w:tcPr>
                  <w:tcW w:w="2689" w:type="dxa"/>
                  <w:tcBorders>
                    <w:tl2br w:val="nil"/>
                    <w:tr2bl w:val="nil"/>
                  </w:tcBorders>
                  <w:vAlign w:val="center"/>
                </w:tcPr>
                <w:p>
                  <w:pPr>
                    <w:bidi w:val="0"/>
                    <w:spacing w:line="240" w:lineRule="auto"/>
                    <w:rPr>
                      <w:rFonts w:hint="eastAsia" w:eastAsia="宋体"/>
                      <w:color w:val="auto"/>
                      <w:szCs w:val="21"/>
                      <w:highlight w:val="none"/>
                      <w:u w:val="none"/>
                      <w:lang w:eastAsia="zh-CN"/>
                    </w:rPr>
                  </w:pPr>
                  <w:r>
                    <w:rPr>
                      <w:color w:val="auto"/>
                      <w:highlight w:val="none"/>
                      <w:u w:val="none"/>
                    </w:rPr>
                    <w:t>总规模：Q=</w:t>
                  </w:r>
                  <w:r>
                    <w:rPr>
                      <w:rFonts w:hint="eastAsia"/>
                      <w:color w:val="auto"/>
                      <w:highlight w:val="none"/>
                      <w:u w:val="none"/>
                      <w:lang w:val="en-US" w:eastAsia="zh-CN"/>
                    </w:rPr>
                    <w:t>3</w:t>
                  </w:r>
                  <w:r>
                    <w:rPr>
                      <w:color w:val="auto"/>
                      <w:highlight w:val="none"/>
                      <w:u w:val="none"/>
                    </w:rPr>
                    <w:t>000m</w:t>
                  </w:r>
                  <w:r>
                    <w:rPr>
                      <w:color w:val="auto"/>
                      <w:highlight w:val="none"/>
                      <w:u w:val="none"/>
                      <w:vertAlign w:val="superscript"/>
                    </w:rPr>
                    <w:t>3</w:t>
                  </w:r>
                  <w:r>
                    <w:rPr>
                      <w:color w:val="auto"/>
                      <w:highlight w:val="none"/>
                      <w:u w:val="none"/>
                    </w:rPr>
                    <w:t>/d</w:t>
                  </w:r>
                  <w:r>
                    <w:rPr>
                      <w:rFonts w:hint="eastAsia"/>
                      <w:color w:val="auto"/>
                      <w:highlight w:val="none"/>
                      <w:u w:val="none"/>
                      <w:lang w:eastAsia="zh-CN"/>
                    </w:rPr>
                    <w:t>（按远期进行设计）；</w:t>
                  </w:r>
                  <w:r>
                    <w:rPr>
                      <w:rFonts w:hint="default" w:ascii="Times New Roman" w:hAnsi="Times New Roman" w:cs="Times New Roman"/>
                      <w:color w:val="auto"/>
                      <w:sz w:val="21"/>
                      <w:szCs w:val="21"/>
                      <w:highlight w:val="none"/>
                      <w:u w:val="none"/>
                    </w:rPr>
                    <w:t>附属设备：</w:t>
                  </w:r>
                  <w:r>
                    <w:rPr>
                      <w:rFonts w:hint="eastAsia" w:cs="Times New Roman"/>
                      <w:color w:val="auto"/>
                      <w:sz w:val="21"/>
                      <w:szCs w:val="21"/>
                      <w:highlight w:val="none"/>
                      <w:u w:val="none"/>
                      <w:lang w:val="en-US" w:eastAsia="zh-CN"/>
                    </w:rPr>
                    <w:t>1套</w:t>
                  </w:r>
                  <w:r>
                    <w:rPr>
                      <w:rFonts w:hint="default" w:ascii="Times New Roman" w:hAnsi="Times New Roman" w:cs="Times New Roman"/>
                      <w:color w:val="auto"/>
                      <w:sz w:val="21"/>
                      <w:szCs w:val="21"/>
                      <w:highlight w:val="none"/>
                      <w:u w:val="none"/>
                    </w:rPr>
                    <w:t>潜水搅拌机</w:t>
                  </w:r>
                  <w:r>
                    <w:rPr>
                      <w:rFonts w:hint="eastAsia" w:cs="Times New Roman"/>
                      <w:color w:val="auto"/>
                      <w:sz w:val="21"/>
                      <w:szCs w:val="21"/>
                      <w:highlight w:val="none"/>
                      <w:u w:val="none"/>
                      <w:lang w:eastAsia="zh-CN"/>
                    </w:rPr>
                    <w:t>：型号</w:t>
                  </w:r>
                  <w:r>
                    <w:rPr>
                      <w:rFonts w:hint="eastAsia" w:cs="Times New Roman"/>
                      <w:color w:val="auto"/>
                      <w:sz w:val="21"/>
                      <w:szCs w:val="21"/>
                      <w:highlight w:val="none"/>
                      <w:u w:val="none"/>
                      <w:lang w:val="en-US" w:eastAsia="zh-CN"/>
                    </w:rPr>
                    <w:t>-</w:t>
                  </w:r>
                  <w:r>
                    <w:rPr>
                      <w:rFonts w:hint="eastAsia" w:cs="Times New Roman"/>
                      <w:color w:val="auto"/>
                      <w:sz w:val="21"/>
                      <w:szCs w:val="21"/>
                      <w:highlight w:val="none"/>
                      <w:u w:val="none"/>
                      <w:lang w:eastAsia="zh-CN"/>
                    </w:rPr>
                    <w:t>叶片φ400mm，N=3kW，304，配套导杆、手动起吊装置，SS304材质，功率：N=3KW ；</w:t>
                  </w:r>
                  <w:r>
                    <w:rPr>
                      <w:rFonts w:hint="eastAsia" w:cs="Times New Roman"/>
                      <w:color w:val="auto"/>
                      <w:sz w:val="21"/>
                      <w:szCs w:val="21"/>
                      <w:highlight w:val="none"/>
                      <w:u w:val="none"/>
                      <w:lang w:val="en-US" w:eastAsia="zh-CN"/>
                    </w:rPr>
                    <w:t>2台</w:t>
                  </w:r>
                  <w:r>
                    <w:rPr>
                      <w:rFonts w:hint="eastAsia" w:cs="Times New Roman"/>
                      <w:color w:val="auto"/>
                      <w:sz w:val="21"/>
                      <w:szCs w:val="21"/>
                      <w:highlight w:val="none"/>
                      <w:u w:val="none"/>
                      <w:lang w:eastAsia="zh-CN"/>
                    </w:rPr>
                    <w:t>提升泵（一备一用）</w:t>
                  </w:r>
                  <w:r>
                    <w:rPr>
                      <w:rFonts w:hint="default" w:ascii="Times New Roman" w:hAnsi="Times New Roman" w:cs="Times New Roman"/>
                      <w:color w:val="auto"/>
                      <w:sz w:val="21"/>
                      <w:szCs w:val="21"/>
                      <w:highlight w:val="none"/>
                      <w:u w:val="none"/>
                    </w:rPr>
                    <w:t>：Q=</w:t>
                  </w:r>
                  <w:r>
                    <w:rPr>
                      <w:rFonts w:hint="eastAsia" w:cs="Times New Roman"/>
                      <w:color w:val="auto"/>
                      <w:sz w:val="21"/>
                      <w:szCs w:val="21"/>
                      <w:highlight w:val="none"/>
                      <w:u w:val="none"/>
                      <w:lang w:val="en-US" w:eastAsia="zh-CN"/>
                    </w:rPr>
                    <w:t>50</w:t>
                  </w:r>
                  <w:r>
                    <w:rPr>
                      <w:rFonts w:hint="default" w:ascii="Times New Roman" w:hAnsi="Times New Roman" w:cs="Times New Roman"/>
                      <w:color w:val="auto"/>
                      <w:sz w:val="21"/>
                      <w:szCs w:val="21"/>
                      <w:highlight w:val="none"/>
                      <w:u w:val="none"/>
                    </w:rPr>
                    <w:t>m</w:t>
                  </w:r>
                  <w:r>
                    <w:rPr>
                      <w:rFonts w:hint="default" w:ascii="Times New Roman" w:hAnsi="Times New Roman" w:cs="Times New Roman"/>
                      <w:color w:val="auto"/>
                      <w:sz w:val="21"/>
                      <w:szCs w:val="21"/>
                      <w:highlight w:val="none"/>
                      <w:u w:val="none"/>
                      <w:vertAlign w:val="superscript"/>
                    </w:rPr>
                    <w:t>3</w:t>
                  </w:r>
                  <w:r>
                    <w:rPr>
                      <w:rFonts w:hint="default" w:ascii="Times New Roman" w:hAnsi="Times New Roman" w:cs="Times New Roman"/>
                      <w:color w:val="auto"/>
                      <w:sz w:val="21"/>
                      <w:szCs w:val="21"/>
                      <w:highlight w:val="none"/>
                      <w:u w:val="none"/>
                    </w:rPr>
                    <w:t>/h，</w:t>
                  </w:r>
                  <w:r>
                    <w:rPr>
                      <w:u w:val="none"/>
                    </w:rPr>
                    <w:t>扬程</w:t>
                  </w:r>
                  <w:r>
                    <w:rPr>
                      <w:rFonts w:hint="eastAsia"/>
                      <w:u w:val="none"/>
                      <w:lang w:eastAsia="zh-CN"/>
                    </w:rPr>
                    <w:t>：</w:t>
                  </w:r>
                  <w:r>
                    <w:rPr>
                      <w:rFonts w:ascii="Times New Roman" w:eastAsia="Times New Roman"/>
                      <w:u w:val="none"/>
                    </w:rPr>
                    <w:t>15m</w:t>
                  </w:r>
                  <w:r>
                    <w:rPr>
                      <w:rFonts w:hint="eastAsia" w:ascii="Times New Roman" w:eastAsia="宋体"/>
                      <w:u w:val="none"/>
                      <w:lang w:eastAsia="zh-CN"/>
                    </w:rPr>
                    <w:t>；</w:t>
                  </w:r>
                  <w:r>
                    <w:rPr>
                      <w:u w:val="none"/>
                    </w:rPr>
                    <w:t>功率：</w:t>
                  </w:r>
                  <w:r>
                    <w:rPr>
                      <w:rFonts w:ascii="Times New Roman" w:eastAsia="Times New Roman"/>
                      <w:u w:val="none"/>
                    </w:rPr>
                    <w:t>4.0kw</w:t>
                  </w:r>
                  <w:r>
                    <w:rPr>
                      <w:rFonts w:hint="eastAsia" w:ascii="Times New Roman" w:eastAsia="宋体"/>
                      <w:u w:val="none"/>
                      <w:lang w:eastAsia="zh-CN"/>
                    </w:rPr>
                    <w:t>；</w:t>
                  </w:r>
                  <w:r>
                    <w:rPr>
                      <w:rFonts w:hint="eastAsia" w:ascii="Times New Roman" w:eastAsia="宋体"/>
                      <w:u w:val="none"/>
                      <w:lang w:val="en-US" w:eastAsia="zh-CN"/>
                    </w:rPr>
                    <w:t>1套</w:t>
                  </w:r>
                  <w:r>
                    <w:rPr>
                      <w:rFonts w:hint="eastAsia" w:ascii="Times New Roman" w:eastAsia="宋体"/>
                      <w:u w:val="none"/>
                      <w:lang w:eastAsia="zh-CN"/>
                    </w:rPr>
                    <w:t>超声波液位计</w:t>
                  </w:r>
                </w:p>
              </w:tc>
              <w:tc>
                <w:tcPr>
                  <w:tcW w:w="1203"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钢砼</w:t>
                  </w:r>
                </w:p>
              </w:tc>
              <w:tc>
                <w:tcPr>
                  <w:tcW w:w="273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color w:val="auto"/>
                      <w:kern w:val="0"/>
                      <w:szCs w:val="21"/>
                      <w:highlight w:val="none"/>
                      <w:u w:val="none"/>
                    </w:rPr>
                    <w:t>起匀质匀量作用</w:t>
                  </w:r>
                  <w:r>
                    <w:rPr>
                      <w:rFonts w:hint="eastAsia"/>
                      <w:color w:val="auto"/>
                      <w:kern w:val="0"/>
                      <w:szCs w:val="21"/>
                      <w:highlight w:val="none"/>
                      <w:u w:val="none"/>
                      <w:lang w:eastAsia="zh-CN"/>
                    </w:rPr>
                    <w:t>，</w:t>
                  </w:r>
                  <w:r>
                    <w:rPr>
                      <w:color w:val="auto"/>
                      <w:kern w:val="0"/>
                      <w:szCs w:val="21"/>
                      <w:highlight w:val="none"/>
                      <w:u w:val="none"/>
                    </w:rPr>
                    <w:t>以减轻后续水处理工艺的处理负荷，不受废水高峰流量或浓度变化的影响</w:t>
                  </w:r>
                  <w:r>
                    <w:rPr>
                      <w:rFonts w:hint="eastAsia"/>
                      <w:color w:val="auto"/>
                      <w:kern w:val="0"/>
                      <w:szCs w:val="21"/>
                      <w:highlight w:val="none"/>
                      <w:u w:val="none"/>
                      <w:lang w:eastAsia="zh-CN"/>
                    </w:rPr>
                    <w:t>，</w:t>
                  </w:r>
                  <w:r>
                    <w:rPr>
                      <w:color w:val="auto"/>
                      <w:kern w:val="0"/>
                      <w:szCs w:val="21"/>
                      <w:highlight w:val="none"/>
                      <w:u w:val="none"/>
                    </w:rPr>
                    <w:t>并起到保护水泵、管道、仪表等作用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80" w:type="dxa"/>
                  <w:vMerge w:val="continue"/>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p>
              </w:tc>
              <w:tc>
                <w:tcPr>
                  <w:tcW w:w="1304" w:type="dxa"/>
                  <w:tcBorders>
                    <w:tl2br w:val="nil"/>
                    <w:tr2bl w:val="nil"/>
                  </w:tcBorders>
                  <w:vAlign w:val="center"/>
                </w:tcPr>
                <w:p>
                  <w:pPr>
                    <w:tabs>
                      <w:tab w:val="left" w:pos="1021"/>
                    </w:tabs>
                    <w:autoSpaceDE w:val="0"/>
                    <w:autoSpaceDN w:val="0"/>
                    <w:adjustRightInd w:val="0"/>
                    <w:spacing w:line="240" w:lineRule="auto"/>
                    <w:jc w:val="center"/>
                    <w:rPr>
                      <w:rFonts w:hint="eastAsia"/>
                      <w:color w:val="auto"/>
                      <w:kern w:val="0"/>
                      <w:szCs w:val="21"/>
                      <w:highlight w:val="none"/>
                      <w:u w:val="none"/>
                      <w:lang w:eastAsia="zh-CN"/>
                    </w:rPr>
                  </w:pPr>
                  <w:r>
                    <w:rPr>
                      <w:rFonts w:hint="eastAsia"/>
                      <w:color w:val="auto"/>
                      <w:kern w:val="0"/>
                      <w:szCs w:val="21"/>
                      <w:highlight w:val="none"/>
                      <w:u w:val="none"/>
                      <w:lang w:eastAsia="zh-CN"/>
                    </w:rPr>
                    <w:t>储泥池</w:t>
                  </w:r>
                </w:p>
              </w:tc>
              <w:tc>
                <w:tcPr>
                  <w:tcW w:w="2689" w:type="dxa"/>
                  <w:tcBorders>
                    <w:tl2br w:val="nil"/>
                    <w:tr2bl w:val="nil"/>
                  </w:tcBorders>
                  <w:vAlign w:val="center"/>
                </w:tcPr>
                <w:p>
                  <w:pPr>
                    <w:bidi w:val="0"/>
                    <w:spacing w:line="240" w:lineRule="auto"/>
                    <w:rPr>
                      <w:rFonts w:hint="eastAsia" w:ascii="Times New Roman" w:hAnsi="Times New Roman" w:eastAsia="宋体" w:cs="Times New Roman"/>
                      <w:color w:val="auto"/>
                      <w:sz w:val="21"/>
                      <w:szCs w:val="21"/>
                      <w:highlight w:val="none"/>
                      <w:u w:val="none"/>
                      <w:lang w:eastAsia="zh-CN"/>
                    </w:rPr>
                  </w:pPr>
                  <w:r>
                    <w:rPr>
                      <w:rFonts w:hint="default" w:ascii="Times New Roman" w:hAnsi="Times New Roman" w:cs="Times New Roman"/>
                      <w:color w:val="auto"/>
                      <w:sz w:val="21"/>
                      <w:szCs w:val="21"/>
                      <w:highlight w:val="none"/>
                      <w:u w:val="none"/>
                    </w:rPr>
                    <w:t>流量：20m</w:t>
                  </w:r>
                  <w:r>
                    <w:rPr>
                      <w:rFonts w:hint="default" w:ascii="Times New Roman" w:hAnsi="Times New Roman" w:cs="Times New Roman"/>
                      <w:color w:val="auto"/>
                      <w:sz w:val="21"/>
                      <w:szCs w:val="21"/>
                      <w:highlight w:val="none"/>
                      <w:u w:val="none"/>
                      <w:vertAlign w:val="superscript"/>
                    </w:rPr>
                    <w:t>3</w:t>
                  </w:r>
                  <w:r>
                    <w:rPr>
                      <w:rFonts w:hint="default" w:ascii="Times New Roman" w:hAnsi="Times New Roman" w:cs="Times New Roman"/>
                      <w:color w:val="auto"/>
                      <w:sz w:val="21"/>
                      <w:szCs w:val="21"/>
                      <w:highlight w:val="none"/>
                      <w:u w:val="none"/>
                    </w:rPr>
                    <w:t>/h</w:t>
                  </w:r>
                  <w:r>
                    <w:rPr>
                      <w:rFonts w:hint="eastAsia" w:cs="Times New Roman"/>
                      <w:color w:val="auto"/>
                      <w:sz w:val="21"/>
                      <w:szCs w:val="21"/>
                      <w:highlight w:val="none"/>
                      <w:u w:val="none"/>
                      <w:lang w:eastAsia="zh-CN"/>
                    </w:rPr>
                    <w:t>。</w:t>
                  </w:r>
                  <w:r>
                    <w:rPr>
                      <w:rFonts w:hint="default" w:ascii="Times New Roman" w:hAnsi="Times New Roman" w:cs="Times New Roman"/>
                      <w:color w:val="auto"/>
                      <w:sz w:val="21"/>
                      <w:szCs w:val="21"/>
                      <w:highlight w:val="none"/>
                      <w:u w:val="none"/>
                    </w:rPr>
                    <w:t>附属设备：2 套排泥泵 （1用1备）</w:t>
                  </w:r>
                  <w:r>
                    <w:rPr>
                      <w:rFonts w:hint="eastAsia" w:cs="Times New Roman"/>
                      <w:color w:val="auto"/>
                      <w:sz w:val="21"/>
                      <w:szCs w:val="21"/>
                      <w:highlight w:val="none"/>
                      <w:u w:val="none"/>
                      <w:lang w:eastAsia="zh-CN"/>
                    </w:rPr>
                    <w:t>：扬程：12m，功率：N=1.5 KW；1 套超声波液位计</w:t>
                  </w:r>
                </w:p>
              </w:tc>
              <w:tc>
                <w:tcPr>
                  <w:tcW w:w="1203" w:type="dxa"/>
                  <w:tcBorders>
                    <w:tl2br w:val="nil"/>
                    <w:tr2bl w:val="nil"/>
                  </w:tcBorders>
                  <w:vAlign w:val="center"/>
                </w:tcPr>
                <w:p>
                  <w:pPr>
                    <w:tabs>
                      <w:tab w:val="left" w:pos="1021"/>
                    </w:tabs>
                    <w:autoSpaceDE w:val="0"/>
                    <w:autoSpaceDN w:val="0"/>
                    <w:adjustRightInd w:val="0"/>
                    <w:spacing w:line="240" w:lineRule="auto"/>
                    <w:jc w:val="center"/>
                    <w:rPr>
                      <w:rFonts w:hint="eastAsia"/>
                      <w:color w:val="auto"/>
                      <w:kern w:val="0"/>
                      <w:szCs w:val="21"/>
                      <w:highlight w:val="none"/>
                      <w:u w:val="none"/>
                    </w:rPr>
                  </w:pPr>
                  <w:r>
                    <w:rPr>
                      <w:rFonts w:hint="eastAsia"/>
                      <w:color w:val="auto"/>
                      <w:kern w:val="0"/>
                      <w:szCs w:val="21"/>
                      <w:highlight w:val="none"/>
                      <w:u w:val="none"/>
                    </w:rPr>
                    <w:t>钢砼</w:t>
                  </w:r>
                </w:p>
              </w:tc>
              <w:tc>
                <w:tcPr>
                  <w:tcW w:w="273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color w:val="auto"/>
                      <w:kern w:val="0"/>
                      <w:szCs w:val="21"/>
                      <w:highlight w:val="none"/>
                      <w:u w:val="none"/>
                    </w:rPr>
                    <w:t>临时储存剩余污泥，定期进行清运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680" w:type="dxa"/>
                  <w:vMerge w:val="continue"/>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p>
              </w:tc>
              <w:tc>
                <w:tcPr>
                  <w:tcW w:w="1304" w:type="dxa"/>
                  <w:tcBorders>
                    <w:tl2br w:val="nil"/>
                    <w:tr2bl w:val="nil"/>
                  </w:tcBorders>
                  <w:vAlign w:val="center"/>
                </w:tcPr>
                <w:p>
                  <w:pPr>
                    <w:tabs>
                      <w:tab w:val="left" w:pos="1021"/>
                    </w:tabs>
                    <w:autoSpaceDE w:val="0"/>
                    <w:autoSpaceDN w:val="0"/>
                    <w:adjustRightInd w:val="0"/>
                    <w:spacing w:line="240" w:lineRule="auto"/>
                    <w:jc w:val="center"/>
                    <w:rPr>
                      <w:rFonts w:hint="eastAsia"/>
                      <w:color w:val="auto"/>
                      <w:kern w:val="0"/>
                      <w:szCs w:val="21"/>
                      <w:highlight w:val="none"/>
                      <w:u w:val="none"/>
                      <w:lang w:eastAsia="zh-CN"/>
                    </w:rPr>
                  </w:pPr>
                  <w:r>
                    <w:rPr>
                      <w:rFonts w:hint="eastAsia"/>
                      <w:color w:val="auto"/>
                      <w:kern w:val="0"/>
                      <w:szCs w:val="21"/>
                      <w:highlight w:val="none"/>
                      <w:u w:val="none"/>
                      <w:lang w:eastAsia="zh-CN"/>
                    </w:rPr>
                    <w:t>一体化生化处理系统</w:t>
                  </w:r>
                </w:p>
              </w:tc>
              <w:tc>
                <w:tcPr>
                  <w:tcW w:w="2689" w:type="dxa"/>
                  <w:tcBorders>
                    <w:tl2br w:val="nil"/>
                    <w:tr2bl w:val="nil"/>
                  </w:tcBorders>
                  <w:vAlign w:val="center"/>
                </w:tcPr>
                <w:p>
                  <w:pPr>
                    <w:bidi w:val="0"/>
                    <w:spacing w:line="240" w:lineRule="auto"/>
                    <w:rPr>
                      <w:rFonts w:hint="eastAsia" w:eastAsia="宋体"/>
                      <w:color w:val="auto"/>
                      <w:highlight w:val="none"/>
                      <w:u w:val="none"/>
                      <w:lang w:eastAsia="zh-CN"/>
                    </w:rPr>
                  </w:pPr>
                  <w:r>
                    <w:rPr>
                      <w:color w:val="auto"/>
                      <w:highlight w:val="none"/>
                      <w:u w:val="none"/>
                    </w:rPr>
                    <w:t>设计流量：</w:t>
                  </w:r>
                  <w:r>
                    <w:rPr>
                      <w:rFonts w:hint="eastAsia"/>
                      <w:color w:val="auto"/>
                      <w:highlight w:val="none"/>
                      <w:u w:val="none"/>
                      <w:lang w:val="en-US" w:eastAsia="zh-CN"/>
                    </w:rPr>
                    <w:t>1</w:t>
                  </w:r>
                  <w:r>
                    <w:rPr>
                      <w:color w:val="auto"/>
                      <w:highlight w:val="none"/>
                      <w:u w:val="none"/>
                    </w:rPr>
                    <w:t>000 m</w:t>
                  </w:r>
                  <w:r>
                    <w:rPr>
                      <w:color w:val="auto"/>
                      <w:highlight w:val="none"/>
                      <w:u w:val="none"/>
                      <w:vertAlign w:val="superscript"/>
                    </w:rPr>
                    <w:t>3</w:t>
                  </w:r>
                  <w:r>
                    <w:rPr>
                      <w:color w:val="auto"/>
                      <w:highlight w:val="none"/>
                      <w:u w:val="none"/>
                    </w:rPr>
                    <w:t>/d</w:t>
                  </w:r>
                  <w:r>
                    <w:rPr>
                      <w:rFonts w:hint="eastAsia"/>
                      <w:color w:val="auto"/>
                      <w:highlight w:val="none"/>
                      <w:u w:val="none"/>
                      <w:lang w:eastAsia="zh-CN"/>
                    </w:rPr>
                    <w:t>；</w:t>
                  </w:r>
                </w:p>
                <w:p>
                  <w:pPr>
                    <w:bidi w:val="0"/>
                    <w:spacing w:line="240" w:lineRule="auto"/>
                    <w:rPr>
                      <w:rFonts w:hint="eastAsia" w:eastAsia="宋体"/>
                      <w:color w:val="auto"/>
                      <w:kern w:val="0"/>
                      <w:szCs w:val="28"/>
                      <w:highlight w:val="none"/>
                      <w:u w:val="none"/>
                      <w:lang w:eastAsia="zh-CN"/>
                    </w:rPr>
                  </w:pPr>
                  <w:r>
                    <w:rPr>
                      <w:rFonts w:hint="default" w:ascii="Times New Roman" w:hAnsi="Times New Roman" w:cs="Times New Roman"/>
                      <w:color w:val="auto"/>
                      <w:szCs w:val="22"/>
                      <w:highlight w:val="none"/>
                      <w:u w:val="none"/>
                    </w:rPr>
                    <w:t>外形尺寸：D=14.75m，H=4.8m</w:t>
                  </w:r>
                  <w:r>
                    <w:rPr>
                      <w:rFonts w:hint="default" w:ascii="Times New Roman" w:hAnsi="Times New Roman" w:cs="Times New Roman"/>
                      <w:color w:val="auto"/>
                      <w:szCs w:val="22"/>
                      <w:highlight w:val="none"/>
                      <w:u w:val="none"/>
                      <w:lang w:eastAsia="zh-CN"/>
                    </w:rPr>
                    <w:t>；</w:t>
                  </w:r>
                  <w:r>
                    <w:t>功能分区：</w:t>
                  </w:r>
                  <w:r>
                    <w:rPr>
                      <w:rFonts w:hint="default" w:ascii="Times New Roman" w:hAnsi="Times New Roman" w:cs="Times New Roman"/>
                      <w:color w:val="auto"/>
                      <w:szCs w:val="22"/>
                      <w:highlight w:val="none"/>
                      <w:u w:val="none"/>
                    </w:rPr>
                    <w:t>含缺氧区、好氧区、加药混合区、二沉区</w:t>
                  </w:r>
                  <w:r>
                    <w:rPr>
                      <w:rFonts w:hint="eastAsia" w:ascii="Times New Roman" w:hAnsi="Times New Roman" w:cs="Times New Roman"/>
                      <w:color w:val="auto"/>
                      <w:szCs w:val="22"/>
                      <w:highlight w:val="none"/>
                      <w:u w:val="none"/>
                      <w:lang w:eastAsia="zh-CN"/>
                    </w:rPr>
                    <w:t>；主要有底部曝气系统，</w:t>
                  </w:r>
                  <w:r>
                    <w:t>污泥回流、排放系统</w:t>
                  </w:r>
                  <w:r>
                    <w:rPr>
                      <w:rFonts w:hint="eastAsia"/>
                      <w:lang w:eastAsia="zh-CN"/>
                    </w:rPr>
                    <w:t>，</w:t>
                  </w:r>
                  <w:r>
                    <w:t>自曝气生物转轮</w:t>
                  </w:r>
                  <w:r>
                    <w:rPr>
                      <w:rFonts w:hint="eastAsia"/>
                      <w:lang w:eastAsia="zh-CN"/>
                    </w:rPr>
                    <w:t>，</w:t>
                  </w:r>
                  <w:r>
                    <w:t>硝化液回流系统</w:t>
                  </w:r>
                  <w:r>
                    <w:rPr>
                      <w:rFonts w:hint="eastAsia"/>
                      <w:lang w:eastAsia="zh-CN"/>
                    </w:rPr>
                    <w:t>，</w:t>
                  </w:r>
                  <w:r>
                    <w:t>搅拌系统</w:t>
                  </w:r>
                </w:p>
              </w:tc>
              <w:tc>
                <w:tcPr>
                  <w:tcW w:w="1203" w:type="dxa"/>
                  <w:tcBorders>
                    <w:tl2br w:val="nil"/>
                    <w:tr2bl w:val="nil"/>
                  </w:tcBorders>
                  <w:vAlign w:val="center"/>
                </w:tcPr>
                <w:p>
                  <w:pPr>
                    <w:tabs>
                      <w:tab w:val="left" w:pos="1021"/>
                    </w:tabs>
                    <w:autoSpaceDE w:val="0"/>
                    <w:autoSpaceDN w:val="0"/>
                    <w:adjustRightInd w:val="0"/>
                    <w:spacing w:line="240" w:lineRule="auto"/>
                    <w:jc w:val="center"/>
                    <w:rPr>
                      <w:rFonts w:hint="eastAsia"/>
                      <w:color w:val="auto"/>
                      <w:kern w:val="0"/>
                      <w:szCs w:val="21"/>
                      <w:highlight w:val="none"/>
                      <w:u w:val="none"/>
                    </w:rPr>
                  </w:pPr>
                  <w:r>
                    <w:rPr>
                      <w:rFonts w:hint="eastAsia"/>
                      <w:color w:val="auto"/>
                      <w:kern w:val="0"/>
                      <w:szCs w:val="21"/>
                      <w:highlight w:val="none"/>
                      <w:u w:val="none"/>
                    </w:rPr>
                    <w:t>钢砼</w:t>
                  </w:r>
                </w:p>
              </w:tc>
              <w:tc>
                <w:tcPr>
                  <w:tcW w:w="2734" w:type="dxa"/>
                  <w:tcBorders>
                    <w:tl2br w:val="nil"/>
                    <w:tr2bl w:val="nil"/>
                  </w:tcBorders>
                  <w:vAlign w:val="center"/>
                </w:tcPr>
                <w:p>
                  <w:pPr>
                    <w:tabs>
                      <w:tab w:val="left" w:pos="1021"/>
                    </w:tabs>
                    <w:autoSpaceDE w:val="0"/>
                    <w:autoSpaceDN w:val="0"/>
                    <w:adjustRightInd w:val="0"/>
                    <w:spacing w:line="240" w:lineRule="auto"/>
                    <w:jc w:val="center"/>
                    <w:rPr>
                      <w:rFonts w:hint="eastAsia"/>
                      <w:color w:val="auto"/>
                      <w:kern w:val="0"/>
                      <w:szCs w:val="28"/>
                      <w:highlight w:val="none"/>
                      <w:u w:val="none"/>
                    </w:rPr>
                  </w:pPr>
                  <w:r>
                    <w:rPr>
                      <w:rFonts w:hint="eastAsia"/>
                      <w:color w:val="auto"/>
                      <w:kern w:val="0"/>
                      <w:szCs w:val="28"/>
                      <w:highlight w:val="none"/>
                      <w:u w:val="none"/>
                    </w:rPr>
                    <w:t>工艺中固定生物膜可大量繁殖生长周期较长的硝化菌和反硝化菌，为其提供适合的生长环境，实现同步硝化反硝化及部分生物除磷，保障生物除氮效果；在活性污泥法中，通过控制较短的污泥龄为嗜磷菌的除磷创造最优条件，保障生物除磷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80" w:type="dxa"/>
                  <w:vMerge w:val="continue"/>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p>
              </w:tc>
              <w:tc>
                <w:tcPr>
                  <w:tcW w:w="130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脱水机房</w:t>
                  </w:r>
                </w:p>
              </w:tc>
              <w:tc>
                <w:tcPr>
                  <w:tcW w:w="2689" w:type="dxa"/>
                  <w:tcBorders>
                    <w:tl2br w:val="nil"/>
                    <w:tr2bl w:val="nil"/>
                  </w:tcBorders>
                  <w:vAlign w:val="center"/>
                </w:tcPr>
                <w:p>
                  <w:pPr>
                    <w:tabs>
                      <w:tab w:val="left" w:pos="1021"/>
                    </w:tabs>
                    <w:spacing w:line="240" w:lineRule="auto"/>
                    <w:jc w:val="center"/>
                    <w:rPr>
                      <w:color w:val="auto"/>
                      <w:kern w:val="0"/>
                      <w:szCs w:val="28"/>
                      <w:highlight w:val="none"/>
                      <w:u w:val="none"/>
                    </w:rPr>
                  </w:pPr>
                  <w:r>
                    <w:rPr>
                      <w:rFonts w:hint="eastAsia"/>
                      <w:color w:val="auto"/>
                      <w:szCs w:val="21"/>
                      <w:highlight w:val="none"/>
                      <w:u w:val="none"/>
                    </w:rPr>
                    <w:t>13.3×9.2×7（</w:t>
                  </w:r>
                  <w:r>
                    <w:rPr>
                      <w:color w:val="auto"/>
                      <w:szCs w:val="21"/>
                      <w:highlight w:val="none"/>
                      <w:u w:val="none"/>
                    </w:rPr>
                    <w:t>m</w:t>
                  </w:r>
                  <w:r>
                    <w:rPr>
                      <w:rFonts w:hint="eastAsia"/>
                      <w:color w:val="auto"/>
                      <w:szCs w:val="21"/>
                      <w:highlight w:val="none"/>
                      <w:u w:val="none"/>
                    </w:rPr>
                    <w:t>）</w:t>
                  </w:r>
                </w:p>
              </w:tc>
              <w:tc>
                <w:tcPr>
                  <w:tcW w:w="1203"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钢砼</w:t>
                  </w:r>
                </w:p>
              </w:tc>
              <w:tc>
                <w:tcPr>
                  <w:tcW w:w="273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8"/>
                      <w:highlight w:val="none"/>
                      <w:u w:val="none"/>
                    </w:rPr>
                  </w:pPr>
                  <w:r>
                    <w:rPr>
                      <w:color w:val="auto"/>
                      <w:szCs w:val="28"/>
                      <w:highlight w:val="none"/>
                      <w:u w:val="none"/>
                    </w:rPr>
                    <w:t>对浓缩后的污泥进一步脱水，减少污泥体积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80" w:type="dxa"/>
                  <w:vMerge w:val="continue"/>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p>
              </w:tc>
              <w:tc>
                <w:tcPr>
                  <w:tcW w:w="130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管网工程</w:t>
                  </w:r>
                </w:p>
              </w:tc>
              <w:tc>
                <w:tcPr>
                  <w:tcW w:w="2689" w:type="dxa"/>
                  <w:tcBorders>
                    <w:tl2br w:val="nil"/>
                    <w:tr2bl w:val="nil"/>
                  </w:tcBorders>
                  <w:vAlign w:val="center"/>
                </w:tcPr>
                <w:p>
                  <w:pPr>
                    <w:widowControl/>
                    <w:spacing w:line="240" w:lineRule="auto"/>
                    <w:jc w:val="center"/>
                    <w:rPr>
                      <w:color w:val="auto"/>
                      <w:szCs w:val="21"/>
                      <w:highlight w:val="none"/>
                      <w:u w:val="none"/>
                    </w:rPr>
                  </w:pPr>
                  <w:r>
                    <w:rPr>
                      <w:rFonts w:hint="default" w:ascii="Times New Roman" w:hAnsi="Times New Roman" w:cs="Times New Roman"/>
                      <w:color w:val="auto"/>
                      <w:kern w:val="0"/>
                      <w:szCs w:val="21"/>
                      <w:highlight w:val="none"/>
                      <w:u w:val="none"/>
                      <w:lang w:eastAsia="zh-CN"/>
                    </w:rPr>
                    <w:t>近期建设长度为</w:t>
                  </w:r>
                  <w:r>
                    <w:rPr>
                      <w:rFonts w:hint="eastAsia" w:cs="Times New Roman"/>
                      <w:color w:val="auto"/>
                      <w:kern w:val="0"/>
                      <w:szCs w:val="21"/>
                      <w:highlight w:val="none"/>
                      <w:u w:val="none"/>
                      <w:lang w:val="en-US" w:eastAsia="zh-CN"/>
                    </w:rPr>
                    <w:t>2096</w:t>
                  </w:r>
                  <w:r>
                    <w:rPr>
                      <w:rFonts w:hint="default" w:ascii="Times New Roman" w:hAnsi="Times New Roman" w:cs="Times New Roman"/>
                      <w:color w:val="auto"/>
                      <w:kern w:val="0"/>
                      <w:szCs w:val="21"/>
                      <w:highlight w:val="none"/>
                      <w:u w:val="none"/>
                      <w:lang w:val="en-US" w:eastAsia="zh-CN"/>
                    </w:rPr>
                    <w:t>m</w:t>
                  </w:r>
                </w:p>
              </w:tc>
              <w:tc>
                <w:tcPr>
                  <w:tcW w:w="1203"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w:t>
                  </w:r>
                </w:p>
              </w:tc>
              <w:tc>
                <w:tcPr>
                  <w:tcW w:w="273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收集纳污范围内的污水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80" w:type="dxa"/>
                  <w:vMerge w:val="continue"/>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p>
              </w:tc>
              <w:tc>
                <w:tcPr>
                  <w:tcW w:w="130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污水井</w:t>
                  </w:r>
                </w:p>
              </w:tc>
              <w:tc>
                <w:tcPr>
                  <w:tcW w:w="2689" w:type="dxa"/>
                  <w:tcBorders>
                    <w:tl2br w:val="nil"/>
                    <w:tr2bl w:val="nil"/>
                  </w:tcBorders>
                  <w:vAlign w:val="center"/>
                </w:tcPr>
                <w:p>
                  <w:pPr>
                    <w:widowControl/>
                    <w:spacing w:line="240" w:lineRule="auto"/>
                    <w:jc w:val="center"/>
                    <w:rPr>
                      <w:rFonts w:hint="eastAsia" w:ascii="宋体" w:hAnsi="宋体" w:eastAsia="宋体" w:cs="宋体"/>
                      <w:color w:val="auto"/>
                      <w:kern w:val="0"/>
                      <w:szCs w:val="21"/>
                      <w:highlight w:val="none"/>
                      <w:u w:val="none"/>
                      <w:lang w:eastAsia="zh-CN"/>
                    </w:rPr>
                  </w:pPr>
                  <w:r>
                    <w:rPr>
                      <w:rFonts w:hint="eastAsia"/>
                      <w:color w:val="auto"/>
                      <w:kern w:val="0"/>
                      <w:szCs w:val="21"/>
                      <w:highlight w:val="none"/>
                      <w:u w:val="none"/>
                      <w:lang w:eastAsia="zh-CN"/>
                    </w:rPr>
                    <w:t>321座</w:t>
                  </w:r>
                </w:p>
              </w:tc>
              <w:tc>
                <w:tcPr>
                  <w:tcW w:w="1203"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w:t>
                  </w:r>
                </w:p>
              </w:tc>
              <w:tc>
                <w:tcPr>
                  <w:tcW w:w="273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ascii="宋体" w:hAnsi="宋体" w:cs="宋体"/>
                      <w:color w:val="auto"/>
                      <w:kern w:val="0"/>
                      <w:szCs w:val="21"/>
                      <w:highlight w:val="none"/>
                      <w:u w:val="none"/>
                    </w:rPr>
                    <w:t>包括检查井、沉泥井、溢流井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restart"/>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辅助工程</w:t>
                  </w:r>
                </w:p>
              </w:tc>
              <w:tc>
                <w:tcPr>
                  <w:tcW w:w="1304" w:type="dxa"/>
                  <w:tcBorders>
                    <w:tl2br w:val="nil"/>
                    <w:tr2bl w:val="nil"/>
                  </w:tcBorders>
                  <w:vAlign w:val="center"/>
                </w:tcPr>
                <w:p>
                  <w:pPr>
                    <w:tabs>
                      <w:tab w:val="left" w:pos="1021"/>
                    </w:tabs>
                    <w:spacing w:line="240" w:lineRule="auto"/>
                    <w:jc w:val="center"/>
                    <w:rPr>
                      <w:color w:val="auto"/>
                      <w:szCs w:val="21"/>
                      <w:highlight w:val="none"/>
                      <w:u w:val="none"/>
                    </w:rPr>
                  </w:pPr>
                  <w:r>
                    <w:rPr>
                      <w:rFonts w:hint="eastAsia"/>
                      <w:color w:val="auto"/>
                      <w:szCs w:val="21"/>
                      <w:highlight w:val="none"/>
                      <w:u w:val="none"/>
                    </w:rPr>
                    <w:t>办公用房</w:t>
                  </w:r>
                </w:p>
              </w:tc>
              <w:tc>
                <w:tcPr>
                  <w:tcW w:w="2689" w:type="dxa"/>
                  <w:tcBorders>
                    <w:tl2br w:val="nil"/>
                    <w:tr2bl w:val="nil"/>
                  </w:tcBorders>
                  <w:vAlign w:val="center"/>
                </w:tcPr>
                <w:p>
                  <w:pPr>
                    <w:tabs>
                      <w:tab w:val="left" w:pos="1021"/>
                    </w:tabs>
                    <w:spacing w:line="240" w:lineRule="auto"/>
                    <w:jc w:val="center"/>
                    <w:rPr>
                      <w:color w:val="auto"/>
                      <w:szCs w:val="21"/>
                      <w:highlight w:val="none"/>
                      <w:u w:val="none"/>
                    </w:rPr>
                  </w:pPr>
                  <w:r>
                    <w:rPr>
                      <w:rFonts w:hint="eastAsia"/>
                      <w:color w:val="auto"/>
                      <w:szCs w:val="21"/>
                      <w:highlight w:val="none"/>
                      <w:u w:val="none"/>
                      <w:lang w:val="en-US" w:eastAsia="zh-CN"/>
                    </w:rPr>
                    <w:t>1</w:t>
                  </w:r>
                  <w:r>
                    <w:rPr>
                      <w:rFonts w:hint="eastAsia"/>
                      <w:color w:val="auto"/>
                      <w:szCs w:val="21"/>
                      <w:highlight w:val="none"/>
                      <w:u w:val="none"/>
                    </w:rPr>
                    <w:t>4.8×</w:t>
                  </w:r>
                  <w:r>
                    <w:rPr>
                      <w:rFonts w:hint="eastAsia"/>
                      <w:color w:val="auto"/>
                      <w:szCs w:val="21"/>
                      <w:highlight w:val="none"/>
                      <w:u w:val="none"/>
                      <w:lang w:val="en-US" w:eastAsia="zh-CN"/>
                    </w:rPr>
                    <w:t>1</w:t>
                  </w:r>
                  <w:r>
                    <w:rPr>
                      <w:rFonts w:hint="eastAsia"/>
                      <w:color w:val="auto"/>
                      <w:szCs w:val="21"/>
                      <w:highlight w:val="none"/>
                      <w:u w:val="none"/>
                    </w:rPr>
                    <w:t>4.8×</w:t>
                  </w:r>
                  <w:r>
                    <w:rPr>
                      <w:rFonts w:hint="eastAsia"/>
                      <w:color w:val="auto"/>
                      <w:szCs w:val="21"/>
                      <w:highlight w:val="none"/>
                      <w:u w:val="none"/>
                      <w:lang w:val="en-US" w:eastAsia="zh-CN"/>
                    </w:rPr>
                    <w:t>7.2</w:t>
                  </w:r>
                  <w:r>
                    <w:rPr>
                      <w:rFonts w:hint="eastAsia"/>
                      <w:color w:val="auto"/>
                      <w:szCs w:val="21"/>
                      <w:highlight w:val="none"/>
                      <w:u w:val="none"/>
                    </w:rPr>
                    <w:t>（</w:t>
                  </w:r>
                  <w:r>
                    <w:rPr>
                      <w:color w:val="auto"/>
                      <w:szCs w:val="21"/>
                      <w:highlight w:val="none"/>
                      <w:u w:val="none"/>
                    </w:rPr>
                    <w:t>m</w:t>
                  </w:r>
                  <w:r>
                    <w:rPr>
                      <w:rFonts w:hint="eastAsia"/>
                      <w:color w:val="auto"/>
                      <w:szCs w:val="21"/>
                      <w:highlight w:val="none"/>
                      <w:u w:val="none"/>
                    </w:rPr>
                    <w:t>）</w:t>
                  </w:r>
                </w:p>
              </w:tc>
              <w:tc>
                <w:tcPr>
                  <w:tcW w:w="1203"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砖混结构</w:t>
                  </w:r>
                </w:p>
              </w:tc>
              <w:tc>
                <w:tcPr>
                  <w:tcW w:w="273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①配套值班中控系统及现场监控；②值班室办公桌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p>
              </w:tc>
              <w:tc>
                <w:tcPr>
                  <w:tcW w:w="130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配电间</w:t>
                  </w:r>
                </w:p>
              </w:tc>
              <w:tc>
                <w:tcPr>
                  <w:tcW w:w="2689" w:type="dxa"/>
                  <w:tcBorders>
                    <w:tl2br w:val="nil"/>
                    <w:tr2bl w:val="nil"/>
                  </w:tcBorders>
                  <w:vAlign w:val="center"/>
                </w:tcPr>
                <w:p>
                  <w:pPr>
                    <w:tabs>
                      <w:tab w:val="left" w:pos="1021"/>
                    </w:tabs>
                    <w:spacing w:line="240" w:lineRule="auto"/>
                    <w:jc w:val="center"/>
                    <w:rPr>
                      <w:color w:val="auto"/>
                      <w:szCs w:val="21"/>
                      <w:highlight w:val="none"/>
                      <w:u w:val="none"/>
                    </w:rPr>
                  </w:pPr>
                  <w:r>
                    <w:rPr>
                      <w:rFonts w:hint="eastAsia"/>
                      <w:color w:val="auto"/>
                      <w:szCs w:val="21"/>
                      <w:highlight w:val="none"/>
                      <w:u w:val="none"/>
                    </w:rPr>
                    <w:t>4×4×</w:t>
                  </w:r>
                  <w:r>
                    <w:rPr>
                      <w:color w:val="auto"/>
                      <w:szCs w:val="21"/>
                      <w:highlight w:val="none"/>
                      <w:u w:val="none"/>
                    </w:rPr>
                    <w:t>3.5</w:t>
                  </w:r>
                  <w:r>
                    <w:rPr>
                      <w:rFonts w:hint="eastAsia"/>
                      <w:color w:val="auto"/>
                      <w:szCs w:val="21"/>
                      <w:highlight w:val="none"/>
                      <w:u w:val="none"/>
                    </w:rPr>
                    <w:t>（</w:t>
                  </w:r>
                  <w:r>
                    <w:rPr>
                      <w:color w:val="auto"/>
                      <w:szCs w:val="21"/>
                      <w:highlight w:val="none"/>
                      <w:u w:val="none"/>
                    </w:rPr>
                    <w:t>m</w:t>
                  </w:r>
                  <w:r>
                    <w:rPr>
                      <w:rFonts w:hint="eastAsia"/>
                      <w:color w:val="auto"/>
                      <w:szCs w:val="21"/>
                      <w:highlight w:val="none"/>
                      <w:u w:val="none"/>
                    </w:rPr>
                    <w:t>）</w:t>
                  </w:r>
                </w:p>
              </w:tc>
              <w:tc>
                <w:tcPr>
                  <w:tcW w:w="1203"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砖混结构</w:t>
                  </w:r>
                </w:p>
              </w:tc>
              <w:tc>
                <w:tcPr>
                  <w:tcW w:w="273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电气控制系统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bookmarkStart w:id="1" w:name="_Hlk399943857"/>
                  <w:bookmarkStart w:id="2" w:name="OLE_LINK54" w:colFirst="3" w:colLast="3"/>
                  <w:bookmarkStart w:id="3" w:name="OLE_LINK55" w:colFirst="3" w:colLast="3"/>
                </w:p>
              </w:tc>
              <w:tc>
                <w:tcPr>
                  <w:tcW w:w="130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在线监测室</w:t>
                  </w:r>
                </w:p>
              </w:tc>
              <w:tc>
                <w:tcPr>
                  <w:tcW w:w="2689" w:type="dxa"/>
                  <w:tcBorders>
                    <w:tl2br w:val="nil"/>
                    <w:tr2bl w:val="nil"/>
                  </w:tcBorders>
                  <w:vAlign w:val="center"/>
                </w:tcPr>
                <w:p>
                  <w:pPr>
                    <w:tabs>
                      <w:tab w:val="left" w:pos="1021"/>
                    </w:tabs>
                    <w:spacing w:line="240" w:lineRule="auto"/>
                    <w:jc w:val="center"/>
                    <w:rPr>
                      <w:color w:val="auto"/>
                      <w:szCs w:val="21"/>
                      <w:highlight w:val="none"/>
                      <w:u w:val="none"/>
                    </w:rPr>
                  </w:pPr>
                  <w:r>
                    <w:rPr>
                      <w:rFonts w:hint="eastAsia"/>
                      <w:color w:val="auto"/>
                      <w:szCs w:val="21"/>
                      <w:highlight w:val="none"/>
                      <w:u w:val="none"/>
                    </w:rPr>
                    <w:t>4×4×</w:t>
                  </w:r>
                  <w:r>
                    <w:rPr>
                      <w:color w:val="auto"/>
                      <w:szCs w:val="21"/>
                      <w:highlight w:val="none"/>
                      <w:u w:val="none"/>
                    </w:rPr>
                    <w:t>3.5</w:t>
                  </w:r>
                  <w:r>
                    <w:rPr>
                      <w:rFonts w:hint="eastAsia"/>
                      <w:color w:val="auto"/>
                      <w:szCs w:val="21"/>
                      <w:highlight w:val="none"/>
                      <w:u w:val="none"/>
                    </w:rPr>
                    <w:t>（</w:t>
                  </w:r>
                  <w:r>
                    <w:rPr>
                      <w:color w:val="auto"/>
                      <w:szCs w:val="21"/>
                      <w:highlight w:val="none"/>
                      <w:u w:val="none"/>
                    </w:rPr>
                    <w:t>m</w:t>
                  </w:r>
                  <w:r>
                    <w:rPr>
                      <w:rFonts w:hint="eastAsia"/>
                      <w:color w:val="auto"/>
                      <w:szCs w:val="21"/>
                      <w:highlight w:val="none"/>
                      <w:u w:val="none"/>
                    </w:rPr>
                    <w:t>）</w:t>
                  </w:r>
                </w:p>
              </w:tc>
              <w:tc>
                <w:tcPr>
                  <w:tcW w:w="1203"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砖混结构</w:t>
                  </w:r>
                </w:p>
              </w:tc>
              <w:tc>
                <w:tcPr>
                  <w:tcW w:w="273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放置在线监测设备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p>
              </w:tc>
              <w:tc>
                <w:tcPr>
                  <w:tcW w:w="1304" w:type="dxa"/>
                  <w:tcBorders>
                    <w:tl2br w:val="nil"/>
                    <w:tr2bl w:val="nil"/>
                  </w:tcBorders>
                  <w:vAlign w:val="center"/>
                </w:tcPr>
                <w:p>
                  <w:pPr>
                    <w:tabs>
                      <w:tab w:val="left" w:pos="1021"/>
                    </w:tabs>
                    <w:autoSpaceDE w:val="0"/>
                    <w:autoSpaceDN w:val="0"/>
                    <w:adjustRightInd w:val="0"/>
                    <w:spacing w:line="240" w:lineRule="auto"/>
                    <w:jc w:val="center"/>
                    <w:rPr>
                      <w:rFonts w:hint="eastAsia" w:eastAsia="宋体"/>
                      <w:color w:val="auto"/>
                      <w:kern w:val="0"/>
                      <w:szCs w:val="21"/>
                      <w:highlight w:val="none"/>
                      <w:u w:val="none"/>
                      <w:lang w:eastAsia="zh-CN"/>
                    </w:rPr>
                  </w:pPr>
                  <w:r>
                    <w:rPr>
                      <w:rFonts w:hint="eastAsia"/>
                      <w:color w:val="auto"/>
                      <w:kern w:val="0"/>
                      <w:szCs w:val="21"/>
                      <w:highlight w:val="none"/>
                      <w:u w:val="none"/>
                      <w:lang w:eastAsia="zh-CN"/>
                    </w:rPr>
                    <w:t>综合管理用房</w:t>
                  </w:r>
                </w:p>
              </w:tc>
              <w:tc>
                <w:tcPr>
                  <w:tcW w:w="2689" w:type="dxa"/>
                  <w:tcBorders>
                    <w:tl2br w:val="nil"/>
                    <w:tr2bl w:val="nil"/>
                  </w:tcBorders>
                  <w:vAlign w:val="center"/>
                </w:tcPr>
                <w:p>
                  <w:pPr>
                    <w:tabs>
                      <w:tab w:val="left" w:pos="1021"/>
                    </w:tabs>
                    <w:spacing w:line="240" w:lineRule="auto"/>
                    <w:jc w:val="center"/>
                    <w:rPr>
                      <w:rFonts w:hint="eastAsia" w:eastAsia="宋体"/>
                      <w:color w:val="auto"/>
                      <w:szCs w:val="21"/>
                      <w:highlight w:val="none"/>
                      <w:u w:val="none"/>
                      <w:lang w:eastAsia="zh-CN"/>
                    </w:rPr>
                  </w:pPr>
                  <w:r>
                    <w:rPr>
                      <w:rFonts w:ascii="Times New Roman" w:hAnsi="Times New Roman" w:eastAsia="Times New Roman"/>
                    </w:rPr>
                    <w:t>13.2</w:t>
                  </w:r>
                  <w:r>
                    <w:rPr>
                      <w:rFonts w:hint="eastAsia" w:ascii="Times New Roman" w:hAnsi="Times New Roman" w:eastAsia="宋体"/>
                      <w:lang w:val="en-US" w:eastAsia="zh-CN"/>
                    </w:rPr>
                    <w:t>m</w:t>
                  </w:r>
                  <w:r>
                    <w:rPr>
                      <w:rFonts w:ascii="Times New Roman" w:hAnsi="Times New Roman" w:eastAsia="Times New Roman"/>
                    </w:rPr>
                    <w:t>×6.3m</w:t>
                  </w:r>
                </w:p>
              </w:tc>
              <w:tc>
                <w:tcPr>
                  <w:tcW w:w="1203" w:type="dxa"/>
                  <w:tcBorders>
                    <w:tl2br w:val="nil"/>
                    <w:tr2bl w:val="nil"/>
                  </w:tcBorders>
                  <w:vAlign w:val="center"/>
                </w:tcPr>
                <w:p>
                  <w:pPr>
                    <w:tabs>
                      <w:tab w:val="left" w:pos="1021"/>
                    </w:tabs>
                    <w:autoSpaceDE w:val="0"/>
                    <w:autoSpaceDN w:val="0"/>
                    <w:adjustRightInd w:val="0"/>
                    <w:spacing w:line="240" w:lineRule="auto"/>
                    <w:jc w:val="center"/>
                    <w:rPr>
                      <w:rFonts w:hint="default" w:eastAsia="宋体"/>
                      <w:color w:val="auto"/>
                      <w:kern w:val="0"/>
                      <w:szCs w:val="21"/>
                      <w:highlight w:val="none"/>
                      <w:u w:val="none"/>
                      <w:lang w:val="en-US" w:eastAsia="zh-CN"/>
                    </w:rPr>
                  </w:pPr>
                  <w:r>
                    <w:t>钢筋混凝土结构</w:t>
                  </w:r>
                </w:p>
              </w:tc>
              <w:tc>
                <w:tcPr>
                  <w:tcW w:w="273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用于加药、污泥调制</w:t>
                  </w:r>
                </w:p>
              </w:tc>
            </w:tr>
            <w:bookmarkEnd w:id="1"/>
            <w:bookmarkEnd w:id="2"/>
            <w:bookmarkEnd w:id="3"/>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restart"/>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公用工程</w:t>
                  </w:r>
                </w:p>
              </w:tc>
              <w:tc>
                <w:tcPr>
                  <w:tcW w:w="130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供水</w:t>
                  </w:r>
                </w:p>
              </w:tc>
              <w:tc>
                <w:tcPr>
                  <w:tcW w:w="6626" w:type="dxa"/>
                  <w:gridSpan w:val="3"/>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市政自来水管网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p>
              </w:tc>
              <w:tc>
                <w:tcPr>
                  <w:tcW w:w="130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排水</w:t>
                  </w:r>
                </w:p>
              </w:tc>
              <w:tc>
                <w:tcPr>
                  <w:tcW w:w="6626" w:type="dxa"/>
                  <w:gridSpan w:val="3"/>
                  <w:tcBorders>
                    <w:tl2br w:val="nil"/>
                    <w:tr2bl w:val="nil"/>
                  </w:tcBorders>
                  <w:vAlign w:val="center"/>
                </w:tcPr>
                <w:p>
                  <w:pPr>
                    <w:tabs>
                      <w:tab w:val="left" w:pos="1021"/>
                    </w:tabs>
                    <w:autoSpaceDE w:val="0"/>
                    <w:autoSpaceDN w:val="0"/>
                    <w:adjustRightInd w:val="0"/>
                    <w:spacing w:line="240" w:lineRule="auto"/>
                    <w:jc w:val="center"/>
                    <w:rPr>
                      <w:rFonts w:hint="eastAsia"/>
                      <w:color w:val="auto"/>
                      <w:kern w:val="0"/>
                      <w:szCs w:val="21"/>
                      <w:highlight w:val="none"/>
                      <w:u w:val="none"/>
                    </w:rPr>
                  </w:pPr>
                  <w:r>
                    <w:rPr>
                      <w:rFonts w:hint="eastAsia"/>
                      <w:color w:val="auto"/>
                      <w:kern w:val="0"/>
                      <w:szCs w:val="21"/>
                      <w:highlight w:val="none"/>
                      <w:u w:val="none"/>
                    </w:rPr>
                    <w:t>采用雨污分流制，雨水经雨水沟渠</w:t>
                  </w:r>
                  <w:r>
                    <w:rPr>
                      <w:rFonts w:hint="eastAsia"/>
                      <w:color w:val="auto"/>
                      <w:kern w:val="0"/>
                      <w:szCs w:val="21"/>
                      <w:highlight w:val="none"/>
                      <w:u w:val="none"/>
                      <w:lang w:eastAsia="zh-CN"/>
                    </w:rPr>
                    <w:t>收集后</w:t>
                  </w:r>
                  <w:r>
                    <w:rPr>
                      <w:rFonts w:hint="eastAsia"/>
                      <w:color w:val="auto"/>
                      <w:kern w:val="0"/>
                      <w:szCs w:val="21"/>
                      <w:highlight w:val="none"/>
                      <w:u w:val="none"/>
                    </w:rPr>
                    <w:t>排入</w:t>
                  </w:r>
                  <w:r>
                    <w:rPr>
                      <w:rFonts w:hint="eastAsia"/>
                      <w:color w:val="auto"/>
                      <w:kern w:val="0"/>
                      <w:szCs w:val="21"/>
                      <w:highlight w:val="none"/>
                      <w:u w:val="none"/>
                      <w:lang w:eastAsia="zh-CN"/>
                    </w:rPr>
                    <w:t>邵水河</w:t>
                  </w:r>
                  <w:r>
                    <w:rPr>
                      <w:rFonts w:hint="eastAsia"/>
                      <w:color w:val="auto"/>
                      <w:kern w:val="0"/>
                      <w:szCs w:val="21"/>
                      <w:highlight w:val="none"/>
                      <w:u w:val="none"/>
                    </w:rPr>
                    <w:t>；</w:t>
                  </w:r>
                </w:p>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生产及生活污水（化粪池）经污水管道收集后由污水处理厂处理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p>
              </w:tc>
              <w:tc>
                <w:tcPr>
                  <w:tcW w:w="130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供热制冷</w:t>
                  </w:r>
                </w:p>
              </w:tc>
              <w:tc>
                <w:tcPr>
                  <w:tcW w:w="6626" w:type="dxa"/>
                  <w:gridSpan w:val="3"/>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独立空调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vMerge w:val="continue"/>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p>
              </w:tc>
              <w:tc>
                <w:tcPr>
                  <w:tcW w:w="130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供电</w:t>
                  </w:r>
                </w:p>
              </w:tc>
              <w:tc>
                <w:tcPr>
                  <w:tcW w:w="6626" w:type="dxa"/>
                  <w:gridSpan w:val="3"/>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szCs w:val="21"/>
                      <w:highlight w:val="none"/>
                      <w:u w:val="none"/>
                    </w:rPr>
                    <w:t>设有配电房，</w:t>
                  </w:r>
                  <w:r>
                    <w:rPr>
                      <w:color w:val="auto"/>
                      <w:kern w:val="0"/>
                      <w:szCs w:val="21"/>
                      <w:highlight w:val="none"/>
                      <w:u w:val="none"/>
                    </w:rPr>
                    <w:t>用两路10KV供电电源，均从市</w:t>
                  </w:r>
                  <w:r>
                    <w:rPr>
                      <w:rFonts w:hint="eastAsia"/>
                      <w:color w:val="auto"/>
                      <w:kern w:val="0"/>
                      <w:szCs w:val="21"/>
                      <w:highlight w:val="none"/>
                      <w:u w:val="none"/>
                    </w:rPr>
                    <w:t>政</w:t>
                  </w:r>
                  <w:r>
                    <w:rPr>
                      <w:color w:val="auto"/>
                      <w:kern w:val="0"/>
                      <w:szCs w:val="21"/>
                      <w:highlight w:val="none"/>
                      <w:u w:val="none"/>
                    </w:rPr>
                    <w:t>10KV电网“T”接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p>
              </w:tc>
              <w:tc>
                <w:tcPr>
                  <w:tcW w:w="130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消防</w:t>
                  </w:r>
                </w:p>
              </w:tc>
              <w:tc>
                <w:tcPr>
                  <w:tcW w:w="6626" w:type="dxa"/>
                  <w:gridSpan w:val="3"/>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消防通道，室外消火栓，干式灭火器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0" w:type="dxa"/>
                  <w:vMerge w:val="restart"/>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环保工程</w:t>
                  </w:r>
                </w:p>
              </w:tc>
              <w:tc>
                <w:tcPr>
                  <w:tcW w:w="130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废水</w:t>
                  </w:r>
                </w:p>
              </w:tc>
              <w:tc>
                <w:tcPr>
                  <w:tcW w:w="6626" w:type="dxa"/>
                  <w:gridSpan w:val="3"/>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color w:val="auto"/>
                      <w:kern w:val="0"/>
                      <w:szCs w:val="21"/>
                      <w:highlight w:val="none"/>
                      <w:u w:val="none"/>
                    </w:rPr>
                    <w:t>生活污水</w:t>
                  </w:r>
                  <w:r>
                    <w:rPr>
                      <w:rFonts w:hint="eastAsia"/>
                      <w:color w:val="auto"/>
                      <w:kern w:val="0"/>
                      <w:szCs w:val="21"/>
                      <w:highlight w:val="none"/>
                      <w:u w:val="none"/>
                    </w:rPr>
                    <w:t>经化粪池收集后同</w:t>
                  </w:r>
                  <w:r>
                    <w:rPr>
                      <w:color w:val="auto"/>
                      <w:kern w:val="0"/>
                      <w:szCs w:val="21"/>
                      <w:highlight w:val="none"/>
                      <w:u w:val="none"/>
                    </w:rPr>
                    <w:t>生产</w:t>
                  </w:r>
                  <w:r>
                    <w:rPr>
                      <w:rFonts w:hint="eastAsia"/>
                      <w:color w:val="auto"/>
                      <w:kern w:val="0"/>
                      <w:szCs w:val="21"/>
                      <w:highlight w:val="none"/>
                      <w:u w:val="none"/>
                    </w:rPr>
                    <w:t>废</w:t>
                  </w:r>
                  <w:r>
                    <w:rPr>
                      <w:color w:val="auto"/>
                      <w:kern w:val="0"/>
                      <w:szCs w:val="21"/>
                      <w:highlight w:val="none"/>
                      <w:u w:val="none"/>
                    </w:rPr>
                    <w:t>水经污水管道</w:t>
                  </w:r>
                  <w:r>
                    <w:rPr>
                      <w:rFonts w:hint="eastAsia"/>
                      <w:color w:val="auto"/>
                      <w:kern w:val="0"/>
                      <w:szCs w:val="21"/>
                      <w:highlight w:val="none"/>
                      <w:u w:val="none"/>
                    </w:rPr>
                    <w:t>汇</w:t>
                  </w:r>
                  <w:r>
                    <w:rPr>
                      <w:color w:val="auto"/>
                      <w:kern w:val="0"/>
                      <w:szCs w:val="21"/>
                      <w:highlight w:val="none"/>
                      <w:u w:val="none"/>
                    </w:rPr>
                    <w:t>入格栅</w:t>
                  </w:r>
                  <w:r>
                    <w:rPr>
                      <w:rFonts w:hint="eastAsia"/>
                      <w:color w:val="auto"/>
                      <w:kern w:val="0"/>
                      <w:szCs w:val="21"/>
                      <w:highlight w:val="none"/>
                      <w:u w:val="none"/>
                    </w:rPr>
                    <w:t>井</w:t>
                  </w:r>
                  <w:r>
                    <w:rPr>
                      <w:color w:val="auto"/>
                      <w:kern w:val="0"/>
                      <w:szCs w:val="21"/>
                      <w:highlight w:val="none"/>
                      <w:u w:val="none"/>
                    </w:rPr>
                    <w:t>，然后进入污水处理系统进行处理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p>
              </w:tc>
              <w:tc>
                <w:tcPr>
                  <w:tcW w:w="130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szCs w:val="21"/>
                      <w:highlight w:val="none"/>
                      <w:u w:val="none"/>
                    </w:rPr>
                    <w:t>废气</w:t>
                  </w:r>
                </w:p>
              </w:tc>
              <w:tc>
                <w:tcPr>
                  <w:tcW w:w="6626" w:type="dxa"/>
                  <w:gridSpan w:val="3"/>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对全厂所有需除臭的建、构筑物进行全封闭加盖处理，尽量减少臭气外溢，同时进行厂区绿化，于格栅</w:t>
                  </w:r>
                  <w:r>
                    <w:rPr>
                      <w:rFonts w:hint="eastAsia"/>
                      <w:color w:val="auto"/>
                      <w:kern w:val="0"/>
                      <w:szCs w:val="21"/>
                      <w:highlight w:val="none"/>
                      <w:u w:val="none"/>
                      <w:lang w:eastAsia="zh-CN"/>
                    </w:rPr>
                    <w:t>渠、</w:t>
                  </w:r>
                  <w:r>
                    <w:rPr>
                      <w:rFonts w:hint="eastAsia"/>
                      <w:color w:val="auto"/>
                      <w:kern w:val="0"/>
                      <w:szCs w:val="21"/>
                      <w:highlight w:val="none"/>
                      <w:u w:val="none"/>
                    </w:rPr>
                    <w:t>调节池、污泥池周边喷洒除臭剂等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p>
              </w:tc>
              <w:tc>
                <w:tcPr>
                  <w:tcW w:w="130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噪声</w:t>
                  </w:r>
                </w:p>
              </w:tc>
              <w:tc>
                <w:tcPr>
                  <w:tcW w:w="6626" w:type="dxa"/>
                  <w:gridSpan w:val="3"/>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建筑内安装，消声、基础减振等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p>
              </w:tc>
              <w:tc>
                <w:tcPr>
                  <w:tcW w:w="130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固废</w:t>
                  </w:r>
                </w:p>
              </w:tc>
              <w:tc>
                <w:tcPr>
                  <w:tcW w:w="6626" w:type="dxa"/>
                  <w:gridSpan w:val="3"/>
                  <w:tcBorders>
                    <w:tl2br w:val="nil"/>
                    <w:tr2bl w:val="nil"/>
                  </w:tcBorders>
                  <w:vAlign w:val="center"/>
                </w:tcPr>
                <w:p>
                  <w:pPr>
                    <w:tabs>
                      <w:tab w:val="left" w:pos="1021"/>
                    </w:tabs>
                    <w:autoSpaceDE w:val="0"/>
                    <w:autoSpaceDN w:val="0"/>
                    <w:adjustRightInd w:val="0"/>
                    <w:spacing w:line="240" w:lineRule="auto"/>
                    <w:jc w:val="center"/>
                    <w:rPr>
                      <w:rFonts w:hint="eastAsia" w:eastAsia="宋体"/>
                      <w:color w:val="auto"/>
                      <w:kern w:val="0"/>
                      <w:szCs w:val="21"/>
                      <w:highlight w:val="none"/>
                      <w:u w:val="none"/>
                      <w:lang w:eastAsia="zh-CN"/>
                    </w:rPr>
                  </w:pPr>
                  <w:r>
                    <w:rPr>
                      <w:rFonts w:hint="eastAsia"/>
                      <w:color w:val="auto"/>
                      <w:kern w:val="0"/>
                      <w:szCs w:val="21"/>
                      <w:highlight w:val="none"/>
                      <w:u w:val="none"/>
                    </w:rPr>
                    <w:t>生活垃圾收集桶，污泥处理系统、污泥暂存间（</w:t>
                  </w:r>
                  <w:r>
                    <w:rPr>
                      <w:rFonts w:hint="eastAsia"/>
                      <w:color w:val="auto"/>
                      <w:kern w:val="0"/>
                      <w:szCs w:val="21"/>
                      <w:highlight w:val="none"/>
                      <w:u w:val="none"/>
                      <w:lang w:val="en-US" w:eastAsia="zh-CN"/>
                    </w:rPr>
                    <w:t>10</w:t>
                  </w:r>
                  <w:r>
                    <w:rPr>
                      <w:color w:val="auto"/>
                      <w:kern w:val="0"/>
                      <w:szCs w:val="21"/>
                      <w:highlight w:val="none"/>
                      <w:u w:val="none"/>
                    </w:rPr>
                    <w:t>m</w:t>
                  </w:r>
                  <w:r>
                    <w:rPr>
                      <w:rFonts w:hint="eastAsia"/>
                      <w:color w:val="auto"/>
                      <w:kern w:val="0"/>
                      <w:szCs w:val="21"/>
                      <w:highlight w:val="none"/>
                      <w:u w:val="none"/>
                      <w:vertAlign w:val="superscript"/>
                    </w:rPr>
                    <w:t>2</w:t>
                  </w:r>
                  <w:r>
                    <w:rPr>
                      <w:rFonts w:hint="eastAsia"/>
                      <w:color w:val="auto"/>
                      <w:kern w:val="0"/>
                      <w:szCs w:val="21"/>
                      <w:highlight w:val="none"/>
                      <w:u w:val="none"/>
                    </w:rPr>
                    <w:t>）</w:t>
                  </w:r>
                  <w:r>
                    <w:rPr>
                      <w:rFonts w:hint="eastAsia"/>
                      <w:color w:val="auto"/>
                      <w:kern w:val="0"/>
                      <w:szCs w:val="21"/>
                      <w:highlight w:val="none"/>
                      <w:u w:val="none"/>
                      <w:lang w:eastAsia="zh-CN"/>
                    </w:rPr>
                    <w:t>，一般固废暂存间（</w:t>
                  </w:r>
                  <w:r>
                    <w:rPr>
                      <w:rFonts w:hint="eastAsia"/>
                      <w:color w:val="auto"/>
                      <w:kern w:val="0"/>
                      <w:szCs w:val="21"/>
                      <w:highlight w:val="none"/>
                      <w:u w:val="none"/>
                      <w:lang w:val="en-US" w:eastAsia="zh-CN"/>
                    </w:rPr>
                    <w:t>5</w:t>
                  </w:r>
                  <w:r>
                    <w:rPr>
                      <w:color w:val="auto"/>
                      <w:kern w:val="0"/>
                      <w:szCs w:val="21"/>
                      <w:highlight w:val="none"/>
                      <w:u w:val="none"/>
                    </w:rPr>
                    <w:t>m</w:t>
                  </w:r>
                  <w:r>
                    <w:rPr>
                      <w:rFonts w:hint="eastAsia"/>
                      <w:color w:val="auto"/>
                      <w:kern w:val="0"/>
                      <w:szCs w:val="21"/>
                      <w:highlight w:val="none"/>
                      <w:u w:val="none"/>
                      <w:vertAlign w:val="superscript"/>
                    </w:rPr>
                    <w:t>2</w:t>
                  </w:r>
                  <w:r>
                    <w:rPr>
                      <w:rFonts w:hint="eastAsia"/>
                      <w:color w:val="auto"/>
                      <w:kern w:val="0"/>
                      <w:szCs w:val="21"/>
                      <w:highlight w:val="none"/>
                      <w:u w:val="none"/>
                      <w:lang w:eastAsia="zh-CN"/>
                    </w:rPr>
                    <w:t>），危废暂存间（</w:t>
                  </w:r>
                  <w:r>
                    <w:rPr>
                      <w:rFonts w:hint="eastAsia"/>
                      <w:color w:val="auto"/>
                      <w:kern w:val="0"/>
                      <w:szCs w:val="21"/>
                      <w:highlight w:val="none"/>
                      <w:u w:val="none"/>
                      <w:lang w:val="en-US" w:eastAsia="zh-CN"/>
                    </w:rPr>
                    <w:t>1m</w:t>
                  </w:r>
                  <w:r>
                    <w:rPr>
                      <w:rFonts w:hint="eastAsia"/>
                      <w:color w:val="auto"/>
                      <w:kern w:val="0"/>
                      <w:szCs w:val="21"/>
                      <w:highlight w:val="none"/>
                      <w:u w:val="none"/>
                      <w:vertAlign w:val="superscript"/>
                      <w:lang w:val="en-US" w:eastAsia="zh-CN"/>
                    </w:rPr>
                    <w:t>3</w:t>
                  </w:r>
                  <w:r>
                    <w:rPr>
                      <w:rFonts w:hint="eastAsia"/>
                      <w:color w:val="auto"/>
                      <w:kern w:val="0"/>
                      <w:szCs w:val="21"/>
                      <w:highlight w:val="none"/>
                      <w:u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p>
              </w:tc>
              <w:tc>
                <w:tcPr>
                  <w:tcW w:w="130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生态</w:t>
                  </w:r>
                </w:p>
              </w:tc>
              <w:tc>
                <w:tcPr>
                  <w:tcW w:w="6626" w:type="dxa"/>
                  <w:gridSpan w:val="3"/>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场地内景观绿化，绿化面积</w:t>
                  </w:r>
                  <w:r>
                    <w:rPr>
                      <w:rFonts w:hint="eastAsia"/>
                      <w:color w:val="auto"/>
                      <w:kern w:val="0"/>
                      <w:szCs w:val="21"/>
                      <w:highlight w:val="none"/>
                      <w:u w:val="none"/>
                      <w:lang w:val="en-US" w:eastAsia="zh-CN"/>
                    </w:rPr>
                    <w:t>762.96</w:t>
                  </w:r>
                  <w:r>
                    <w:rPr>
                      <w:color w:val="auto"/>
                      <w:kern w:val="0"/>
                      <w:szCs w:val="21"/>
                      <w:highlight w:val="none"/>
                      <w:u w:val="none"/>
                    </w:rPr>
                    <w:t>m</w:t>
                  </w:r>
                  <w:r>
                    <w:rPr>
                      <w:color w:val="auto"/>
                      <w:kern w:val="0"/>
                      <w:szCs w:val="21"/>
                      <w:highlight w:val="none"/>
                      <w:u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Merge w:val="continue"/>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p>
              </w:tc>
              <w:tc>
                <w:tcPr>
                  <w:tcW w:w="1304" w:type="dxa"/>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风险防范</w:t>
                  </w:r>
                </w:p>
              </w:tc>
              <w:tc>
                <w:tcPr>
                  <w:tcW w:w="6626" w:type="dxa"/>
                  <w:gridSpan w:val="3"/>
                  <w:tcBorders>
                    <w:tl2br w:val="nil"/>
                    <w:tr2bl w:val="nil"/>
                  </w:tcBorders>
                  <w:vAlign w:val="center"/>
                </w:tcPr>
                <w:p>
                  <w:pPr>
                    <w:tabs>
                      <w:tab w:val="left" w:pos="1021"/>
                    </w:tabs>
                    <w:autoSpaceDE w:val="0"/>
                    <w:autoSpaceDN w:val="0"/>
                    <w:adjustRightInd w:val="0"/>
                    <w:spacing w:line="240" w:lineRule="auto"/>
                    <w:jc w:val="center"/>
                    <w:rPr>
                      <w:color w:val="auto"/>
                      <w:kern w:val="0"/>
                      <w:szCs w:val="21"/>
                      <w:highlight w:val="none"/>
                      <w:u w:val="none"/>
                    </w:rPr>
                  </w:pPr>
                  <w:r>
                    <w:rPr>
                      <w:rFonts w:hint="eastAsia"/>
                      <w:color w:val="auto"/>
                      <w:kern w:val="0"/>
                      <w:szCs w:val="21"/>
                      <w:highlight w:val="none"/>
                      <w:u w:val="none"/>
                    </w:rPr>
                    <w:t>主要构筑物防渗、容积预留等</w:t>
                  </w:r>
                </w:p>
              </w:tc>
            </w:tr>
          </w:tbl>
          <w:p>
            <w:pPr>
              <w:adjustRightInd w:val="0"/>
              <w:snapToGrid w:val="0"/>
              <w:spacing w:line="360" w:lineRule="auto"/>
              <w:ind w:firstLine="480" w:firstLineChars="200"/>
              <w:rPr>
                <w:color w:val="auto"/>
                <w:sz w:val="24"/>
                <w:szCs w:val="24"/>
                <w:u w:val="none"/>
              </w:rPr>
            </w:pPr>
            <w:r>
              <w:rPr>
                <w:rFonts w:hint="eastAsia"/>
                <w:color w:val="auto"/>
                <w:sz w:val="24"/>
                <w:szCs w:val="24"/>
                <w:u w:val="none"/>
              </w:rPr>
              <w:t>项目经济技术指标如下：</w:t>
            </w:r>
          </w:p>
          <w:p>
            <w:pPr>
              <w:adjustRightInd w:val="0"/>
              <w:snapToGrid w:val="0"/>
              <w:spacing w:beforeLines="50"/>
              <w:jc w:val="center"/>
              <w:rPr>
                <w:rFonts w:hint="eastAsia"/>
                <w:b/>
                <w:bCs/>
                <w:color w:val="auto"/>
                <w:szCs w:val="21"/>
                <w:u w:val="none"/>
              </w:rPr>
            </w:pPr>
            <w:r>
              <w:rPr>
                <w:rFonts w:hint="eastAsia"/>
                <w:b/>
                <w:bCs/>
                <w:color w:val="auto"/>
                <w:szCs w:val="21"/>
                <w:u w:val="none"/>
              </w:rPr>
              <w:t>表1-2  项目经济技术指标</w:t>
            </w:r>
          </w:p>
          <w:tbl>
            <w:tblPr>
              <w:tblStyle w:val="27"/>
              <w:tblW w:w="842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10"/>
              <w:gridCol w:w="3012"/>
              <w:gridCol w:w="1226"/>
              <w:gridCol w:w="1228"/>
              <w:gridCol w:w="214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序号</w:t>
                  </w:r>
                </w:p>
              </w:tc>
              <w:tc>
                <w:tcPr>
                  <w:tcW w:w="30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名称</w:t>
                  </w:r>
                </w:p>
              </w:tc>
              <w:tc>
                <w:tcPr>
                  <w:tcW w:w="12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单位</w:t>
                  </w:r>
                </w:p>
              </w:tc>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数量</w:t>
                  </w:r>
                </w:p>
              </w:tc>
              <w:tc>
                <w:tcPr>
                  <w:tcW w:w="2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一</w:t>
                  </w:r>
                </w:p>
              </w:tc>
              <w:tc>
                <w:tcPr>
                  <w:tcW w:w="30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项目技术指标</w:t>
                  </w:r>
                </w:p>
              </w:tc>
              <w:tc>
                <w:tcPr>
                  <w:tcW w:w="12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p>
              </w:tc>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p>
              </w:tc>
              <w:tc>
                <w:tcPr>
                  <w:tcW w:w="2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1</w:t>
                  </w:r>
                </w:p>
              </w:tc>
              <w:tc>
                <w:tcPr>
                  <w:tcW w:w="30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污水处理规模</w:t>
                  </w:r>
                </w:p>
              </w:tc>
              <w:tc>
                <w:tcPr>
                  <w:tcW w:w="12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万</w:t>
                  </w:r>
                  <w:r>
                    <w:rPr>
                      <w:rFonts w:hint="default" w:ascii="Times New Roman" w:hAnsi="Times New Roman" w:eastAsia="宋体" w:cs="Times New Roman"/>
                      <w:b w:val="0"/>
                      <w:bCs w:val="0"/>
                      <w:color w:val="auto"/>
                      <w:kern w:val="0"/>
                      <w:sz w:val="21"/>
                      <w:szCs w:val="21"/>
                    </w:rPr>
                    <w:t>m³/d</w:t>
                  </w:r>
                </w:p>
              </w:tc>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0.3</w:t>
                  </w:r>
                </w:p>
              </w:tc>
              <w:tc>
                <w:tcPr>
                  <w:tcW w:w="2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1.1</w:t>
                  </w:r>
                </w:p>
              </w:tc>
              <w:tc>
                <w:tcPr>
                  <w:tcW w:w="30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FF0000"/>
                      <w:kern w:val="0"/>
                      <w:sz w:val="21"/>
                      <w:szCs w:val="21"/>
                      <w:u w:val="wave"/>
                      <w:lang w:eastAsia="zh-CN"/>
                    </w:rPr>
                  </w:pPr>
                  <w:r>
                    <w:rPr>
                      <w:rFonts w:hint="eastAsia" w:ascii="Times New Roman" w:hAnsi="Times New Roman" w:eastAsia="宋体" w:cs="Times New Roman"/>
                      <w:b w:val="0"/>
                      <w:bCs w:val="0"/>
                      <w:color w:val="FF0000"/>
                      <w:kern w:val="0"/>
                      <w:sz w:val="21"/>
                      <w:szCs w:val="21"/>
                      <w:u w:val="wave"/>
                      <w:lang w:eastAsia="zh-CN"/>
                    </w:rPr>
                    <w:t>一期污水处理规模</w:t>
                  </w:r>
                </w:p>
              </w:tc>
              <w:tc>
                <w:tcPr>
                  <w:tcW w:w="12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FF0000"/>
                      <w:kern w:val="0"/>
                      <w:sz w:val="21"/>
                      <w:szCs w:val="21"/>
                      <w:u w:val="wave"/>
                      <w:lang w:eastAsia="zh-CN"/>
                    </w:rPr>
                  </w:pPr>
                  <w:r>
                    <w:rPr>
                      <w:rFonts w:hint="eastAsia" w:ascii="Times New Roman" w:hAnsi="Times New Roman" w:eastAsia="宋体" w:cs="Times New Roman"/>
                      <w:b w:val="0"/>
                      <w:bCs w:val="0"/>
                      <w:color w:val="FF0000"/>
                      <w:kern w:val="0"/>
                      <w:sz w:val="21"/>
                      <w:szCs w:val="21"/>
                      <w:u w:val="wave"/>
                      <w:lang w:eastAsia="zh-CN"/>
                    </w:rPr>
                    <w:t>万</w:t>
                  </w:r>
                  <w:r>
                    <w:rPr>
                      <w:rFonts w:hint="default" w:ascii="Times New Roman" w:hAnsi="Times New Roman" w:eastAsia="宋体" w:cs="Times New Roman"/>
                      <w:b w:val="0"/>
                      <w:bCs w:val="0"/>
                      <w:color w:val="FF0000"/>
                      <w:kern w:val="0"/>
                      <w:sz w:val="21"/>
                      <w:szCs w:val="21"/>
                      <w:u w:val="wave"/>
                    </w:rPr>
                    <w:t>m³/d</w:t>
                  </w:r>
                </w:p>
              </w:tc>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FF0000"/>
                      <w:kern w:val="0"/>
                      <w:sz w:val="21"/>
                      <w:szCs w:val="21"/>
                      <w:u w:val="wave"/>
                      <w:lang w:eastAsia="zh-CN"/>
                    </w:rPr>
                  </w:pPr>
                  <w:r>
                    <w:rPr>
                      <w:rFonts w:hint="default" w:ascii="Times New Roman" w:hAnsi="Times New Roman" w:eastAsia="宋体" w:cs="Times New Roman"/>
                      <w:b w:val="0"/>
                      <w:bCs w:val="0"/>
                      <w:color w:val="FF0000"/>
                      <w:kern w:val="0"/>
                      <w:sz w:val="21"/>
                      <w:szCs w:val="21"/>
                      <w:u w:val="wave"/>
                      <w:lang w:eastAsia="zh-CN"/>
                    </w:rPr>
                    <w:t>0.1</w:t>
                  </w:r>
                </w:p>
              </w:tc>
              <w:tc>
                <w:tcPr>
                  <w:tcW w:w="2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FF0000"/>
                      <w:kern w:val="0"/>
                      <w:sz w:val="21"/>
                      <w:szCs w:val="21"/>
                      <w:u w:val="wave"/>
                      <w:lang w:val="en-US" w:eastAsia="zh-CN"/>
                    </w:rPr>
                  </w:pPr>
                  <w:r>
                    <w:rPr>
                      <w:rFonts w:hint="eastAsia" w:cs="Times New Roman"/>
                      <w:b w:val="0"/>
                      <w:bCs w:val="0"/>
                      <w:color w:val="FF0000"/>
                      <w:kern w:val="0"/>
                      <w:sz w:val="21"/>
                      <w:szCs w:val="21"/>
                      <w:u w:val="wave"/>
                      <w:lang w:val="en-US" w:eastAsia="zh-CN"/>
                    </w:rPr>
                    <w:t>本次环评仅针对项目一期进行评价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1.2</w:t>
                  </w:r>
                </w:p>
              </w:tc>
              <w:tc>
                <w:tcPr>
                  <w:tcW w:w="30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二期污水处理规模</w:t>
                  </w:r>
                </w:p>
              </w:tc>
              <w:tc>
                <w:tcPr>
                  <w:tcW w:w="12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 xml:space="preserve">万 </w:t>
                  </w:r>
                  <w:r>
                    <w:rPr>
                      <w:rFonts w:hint="default" w:ascii="Times New Roman" w:hAnsi="Times New Roman" w:eastAsia="宋体" w:cs="Times New Roman"/>
                      <w:b w:val="0"/>
                      <w:bCs w:val="0"/>
                      <w:color w:val="auto"/>
                      <w:kern w:val="0"/>
                      <w:sz w:val="21"/>
                      <w:szCs w:val="21"/>
                      <w:lang w:eastAsia="zh-CN"/>
                    </w:rPr>
                    <w:t>m</w:t>
                  </w:r>
                  <w:r>
                    <w:rPr>
                      <w:rFonts w:hint="eastAsia" w:ascii="Times New Roman" w:hAnsi="Times New Roman" w:eastAsia="宋体" w:cs="Times New Roman"/>
                      <w:b w:val="0"/>
                      <w:bCs w:val="0"/>
                      <w:color w:val="auto"/>
                      <w:kern w:val="0"/>
                      <w:sz w:val="21"/>
                      <w:szCs w:val="21"/>
                      <w:lang w:eastAsia="zh-CN"/>
                    </w:rPr>
                    <w:t>³</w:t>
                  </w:r>
                  <w:r>
                    <w:rPr>
                      <w:rFonts w:hint="default" w:ascii="Times New Roman" w:hAnsi="Times New Roman" w:eastAsia="宋体" w:cs="Times New Roman"/>
                      <w:b w:val="0"/>
                      <w:bCs w:val="0"/>
                      <w:color w:val="auto"/>
                      <w:kern w:val="0"/>
                      <w:sz w:val="21"/>
                      <w:szCs w:val="21"/>
                      <w:lang w:eastAsia="zh-CN"/>
                    </w:rPr>
                    <w:t>/d</w:t>
                  </w:r>
                </w:p>
              </w:tc>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0.2</w:t>
                  </w:r>
                </w:p>
              </w:tc>
              <w:tc>
                <w:tcPr>
                  <w:tcW w:w="2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2</w:t>
                  </w:r>
                </w:p>
              </w:tc>
              <w:tc>
                <w:tcPr>
                  <w:tcW w:w="30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项目总用地面积</w:t>
                  </w:r>
                </w:p>
              </w:tc>
              <w:tc>
                <w:tcPr>
                  <w:tcW w:w="1226" w:type="dxa"/>
                  <w:tcBorders>
                    <w:tl2br w:val="nil"/>
                    <w:tr2bl w:val="nil"/>
                  </w:tcBorders>
                  <w:vAlign w:val="center"/>
                </w:tcPr>
                <w:p>
                  <w:pPr>
                    <w:keepNext w:val="0"/>
                    <w:keepLines w:val="0"/>
                    <w:pageBreakBefore w:val="0"/>
                    <w:widowControl/>
                    <w:kinsoku/>
                    <w:wordWrap/>
                    <w:overflowPunct/>
                    <w:topLinePunct w:val="0"/>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vertAlign w:val="superscript"/>
                      <w:lang w:val="en-US" w:eastAsia="zh-CN" w:bidi="ar-SA"/>
                    </w:rPr>
                  </w:pPr>
                  <w:r>
                    <w:rPr>
                      <w:rFonts w:hint="eastAsia" w:cs="Times New Roman"/>
                      <w:b w:val="0"/>
                      <w:bCs w:val="0"/>
                      <w:color w:val="auto"/>
                      <w:kern w:val="0"/>
                      <w:sz w:val="21"/>
                      <w:szCs w:val="21"/>
                      <w:vertAlign w:val="baseline"/>
                      <w:lang w:val="en-US" w:eastAsia="zh-CN"/>
                    </w:rPr>
                    <w:t>m</w:t>
                  </w:r>
                  <w:r>
                    <w:rPr>
                      <w:rFonts w:hint="eastAsia" w:cs="Times New Roman"/>
                      <w:b w:val="0"/>
                      <w:bCs w:val="0"/>
                      <w:color w:val="auto"/>
                      <w:kern w:val="0"/>
                      <w:sz w:val="21"/>
                      <w:szCs w:val="21"/>
                      <w:vertAlign w:val="superscript"/>
                      <w:lang w:val="en-US" w:eastAsia="zh-CN"/>
                    </w:rPr>
                    <w:t>2</w:t>
                  </w:r>
                </w:p>
              </w:tc>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3333.35</w:t>
                  </w:r>
                </w:p>
              </w:tc>
              <w:tc>
                <w:tcPr>
                  <w:tcW w:w="2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 xml:space="preserve">合 </w:t>
                  </w:r>
                  <w:r>
                    <w:rPr>
                      <w:rFonts w:hint="default" w:ascii="Times New Roman" w:hAnsi="Times New Roman" w:eastAsia="宋体" w:cs="Times New Roman"/>
                      <w:b w:val="0"/>
                      <w:bCs w:val="0"/>
                      <w:color w:val="auto"/>
                      <w:kern w:val="0"/>
                      <w:sz w:val="21"/>
                      <w:szCs w:val="21"/>
                      <w:lang w:eastAsia="zh-CN"/>
                    </w:rPr>
                    <w:t xml:space="preserve">5 </w:t>
                  </w:r>
                  <w:r>
                    <w:rPr>
                      <w:rFonts w:hint="eastAsia" w:ascii="Times New Roman" w:hAnsi="Times New Roman" w:eastAsia="宋体" w:cs="Times New Roman"/>
                      <w:b w:val="0"/>
                      <w:bCs w:val="0"/>
                      <w:color w:val="auto"/>
                      <w:kern w:val="0"/>
                      <w:sz w:val="21"/>
                      <w:szCs w:val="21"/>
                      <w:lang w:eastAsia="zh-CN"/>
                    </w:rPr>
                    <w:t>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3</w:t>
                  </w:r>
                </w:p>
              </w:tc>
              <w:tc>
                <w:tcPr>
                  <w:tcW w:w="30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绿地面积</w:t>
                  </w:r>
                </w:p>
              </w:tc>
              <w:tc>
                <w:tcPr>
                  <w:tcW w:w="1226" w:type="dxa"/>
                  <w:tcBorders>
                    <w:tl2br w:val="nil"/>
                    <w:tr2bl w:val="nil"/>
                  </w:tcBorders>
                  <w:vAlign w:val="center"/>
                </w:tcPr>
                <w:p>
                  <w:pPr>
                    <w:keepNext w:val="0"/>
                    <w:keepLines w:val="0"/>
                    <w:pageBreakBefore w:val="0"/>
                    <w:widowControl/>
                    <w:kinsoku/>
                    <w:wordWrap/>
                    <w:overflowPunct/>
                    <w:topLinePunct w:val="0"/>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vertAlign w:val="baseline"/>
                      <w:lang w:val="en-US" w:eastAsia="zh-CN"/>
                    </w:rPr>
                    <w:t>m</w:t>
                  </w:r>
                  <w:r>
                    <w:rPr>
                      <w:rFonts w:hint="eastAsia" w:cs="Times New Roman"/>
                      <w:b w:val="0"/>
                      <w:bCs w:val="0"/>
                      <w:color w:val="auto"/>
                      <w:kern w:val="0"/>
                      <w:sz w:val="21"/>
                      <w:szCs w:val="21"/>
                      <w:vertAlign w:val="superscript"/>
                      <w:lang w:val="en-US" w:eastAsia="zh-CN"/>
                    </w:rPr>
                    <w:t>2</w:t>
                  </w:r>
                </w:p>
              </w:tc>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762.96</w:t>
                  </w:r>
                </w:p>
              </w:tc>
              <w:tc>
                <w:tcPr>
                  <w:tcW w:w="2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4</w:t>
                  </w:r>
                </w:p>
              </w:tc>
              <w:tc>
                <w:tcPr>
                  <w:tcW w:w="30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辅助用房面积</w:t>
                  </w:r>
                </w:p>
              </w:tc>
              <w:tc>
                <w:tcPr>
                  <w:tcW w:w="1226" w:type="dxa"/>
                  <w:tcBorders>
                    <w:tl2br w:val="nil"/>
                    <w:tr2bl w:val="nil"/>
                  </w:tcBorders>
                  <w:vAlign w:val="center"/>
                </w:tcPr>
                <w:p>
                  <w:pPr>
                    <w:keepNext w:val="0"/>
                    <w:keepLines w:val="0"/>
                    <w:pageBreakBefore w:val="0"/>
                    <w:widowControl/>
                    <w:kinsoku/>
                    <w:wordWrap/>
                    <w:overflowPunct/>
                    <w:topLinePunct w:val="0"/>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vertAlign w:val="baseline"/>
                      <w:lang w:val="en-US" w:eastAsia="zh-CN"/>
                    </w:rPr>
                    <w:t>m</w:t>
                  </w:r>
                  <w:r>
                    <w:rPr>
                      <w:rFonts w:hint="eastAsia" w:cs="Times New Roman"/>
                      <w:b w:val="0"/>
                      <w:bCs w:val="0"/>
                      <w:color w:val="auto"/>
                      <w:kern w:val="0"/>
                      <w:sz w:val="21"/>
                      <w:szCs w:val="21"/>
                      <w:vertAlign w:val="superscript"/>
                      <w:lang w:val="en-US" w:eastAsia="zh-CN"/>
                    </w:rPr>
                    <w:t>2</w:t>
                  </w:r>
                </w:p>
              </w:tc>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1160</w:t>
                  </w:r>
                </w:p>
              </w:tc>
              <w:tc>
                <w:tcPr>
                  <w:tcW w:w="2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5</w:t>
                  </w:r>
                </w:p>
              </w:tc>
              <w:tc>
                <w:tcPr>
                  <w:tcW w:w="30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建筑密度</w:t>
                  </w:r>
                </w:p>
              </w:tc>
              <w:tc>
                <w:tcPr>
                  <w:tcW w:w="12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p>
              </w:tc>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52.2%</w:t>
                  </w:r>
                </w:p>
              </w:tc>
              <w:tc>
                <w:tcPr>
                  <w:tcW w:w="2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6</w:t>
                  </w:r>
                </w:p>
              </w:tc>
              <w:tc>
                <w:tcPr>
                  <w:tcW w:w="30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绿地率</w:t>
                  </w:r>
                </w:p>
              </w:tc>
              <w:tc>
                <w:tcPr>
                  <w:tcW w:w="12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p>
              </w:tc>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22.89%</w:t>
                  </w:r>
                </w:p>
              </w:tc>
              <w:tc>
                <w:tcPr>
                  <w:tcW w:w="2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FF0000"/>
                      <w:kern w:val="0"/>
                      <w:sz w:val="21"/>
                      <w:szCs w:val="21"/>
                      <w:u w:val="wave"/>
                      <w:lang w:eastAsia="zh-CN"/>
                    </w:rPr>
                  </w:pPr>
                  <w:r>
                    <w:rPr>
                      <w:rFonts w:hint="default" w:ascii="Times New Roman" w:hAnsi="Times New Roman" w:eastAsia="宋体" w:cs="Times New Roman"/>
                      <w:b w:val="0"/>
                      <w:bCs w:val="0"/>
                      <w:color w:val="FF0000"/>
                      <w:kern w:val="0"/>
                      <w:sz w:val="21"/>
                      <w:szCs w:val="21"/>
                      <w:u w:val="wave"/>
                      <w:lang w:eastAsia="zh-CN"/>
                    </w:rPr>
                    <w:t>7</w:t>
                  </w:r>
                </w:p>
              </w:tc>
              <w:tc>
                <w:tcPr>
                  <w:tcW w:w="30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FF0000"/>
                      <w:kern w:val="0"/>
                      <w:sz w:val="21"/>
                      <w:szCs w:val="21"/>
                      <w:u w:val="wave"/>
                      <w:lang w:eastAsia="zh-CN"/>
                    </w:rPr>
                  </w:pPr>
                  <w:r>
                    <w:rPr>
                      <w:rFonts w:hint="eastAsia" w:ascii="Times New Roman" w:hAnsi="Times New Roman" w:eastAsia="宋体" w:cs="Times New Roman"/>
                      <w:b w:val="0"/>
                      <w:bCs w:val="0"/>
                      <w:color w:val="FF0000"/>
                      <w:kern w:val="0"/>
                      <w:sz w:val="21"/>
                      <w:szCs w:val="21"/>
                      <w:u w:val="wave"/>
                      <w:lang w:eastAsia="zh-CN"/>
                    </w:rPr>
                    <w:t>污水管网总长</w:t>
                  </w:r>
                </w:p>
              </w:tc>
              <w:tc>
                <w:tcPr>
                  <w:tcW w:w="12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FF0000"/>
                      <w:kern w:val="0"/>
                      <w:sz w:val="21"/>
                      <w:szCs w:val="21"/>
                      <w:u w:val="wave"/>
                      <w:lang w:eastAsia="zh-CN"/>
                    </w:rPr>
                  </w:pPr>
                  <w:r>
                    <w:rPr>
                      <w:rFonts w:hint="default" w:ascii="Times New Roman" w:hAnsi="Times New Roman" w:eastAsia="宋体" w:cs="Times New Roman"/>
                      <w:b w:val="0"/>
                      <w:bCs w:val="0"/>
                      <w:color w:val="FF0000"/>
                      <w:kern w:val="0"/>
                      <w:sz w:val="21"/>
                      <w:szCs w:val="21"/>
                      <w:u w:val="wave"/>
                      <w:lang w:eastAsia="zh-CN"/>
                    </w:rPr>
                    <w:t>m</w:t>
                  </w:r>
                </w:p>
              </w:tc>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FF0000"/>
                      <w:kern w:val="0"/>
                      <w:sz w:val="21"/>
                      <w:szCs w:val="21"/>
                      <w:u w:val="wave"/>
                      <w:lang w:eastAsia="zh-CN"/>
                    </w:rPr>
                  </w:pPr>
                  <w:r>
                    <w:rPr>
                      <w:rFonts w:hint="default" w:ascii="Times New Roman" w:hAnsi="Times New Roman" w:eastAsia="宋体" w:cs="Times New Roman"/>
                      <w:b w:val="0"/>
                      <w:bCs w:val="0"/>
                      <w:color w:val="FF0000"/>
                      <w:kern w:val="0"/>
                      <w:sz w:val="21"/>
                      <w:szCs w:val="21"/>
                      <w:u w:val="wave"/>
                      <w:lang w:eastAsia="zh-CN"/>
                    </w:rPr>
                    <w:t>7890</w:t>
                  </w:r>
                </w:p>
              </w:tc>
              <w:tc>
                <w:tcPr>
                  <w:tcW w:w="2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FF0000"/>
                      <w:kern w:val="0"/>
                      <w:sz w:val="21"/>
                      <w:szCs w:val="21"/>
                      <w:u w:val="wave"/>
                      <w:lang w:val="en-US" w:eastAsia="zh-CN"/>
                    </w:rPr>
                  </w:pPr>
                  <w:r>
                    <w:rPr>
                      <w:rFonts w:hint="eastAsia" w:cs="Times New Roman"/>
                      <w:b w:val="0"/>
                      <w:bCs w:val="0"/>
                      <w:color w:val="FF0000"/>
                      <w:kern w:val="0"/>
                      <w:sz w:val="21"/>
                      <w:szCs w:val="21"/>
                      <w:u w:val="wave"/>
                      <w:lang w:eastAsia="zh-CN"/>
                    </w:rPr>
                    <w:t>其中一期建设污水管网总长</w:t>
                  </w:r>
                  <w:r>
                    <w:rPr>
                      <w:rFonts w:hint="eastAsia" w:cs="Times New Roman"/>
                      <w:b w:val="0"/>
                      <w:bCs w:val="0"/>
                      <w:color w:val="FF0000"/>
                      <w:kern w:val="0"/>
                      <w:sz w:val="21"/>
                      <w:szCs w:val="21"/>
                      <w:u w:val="wave"/>
                      <w:lang w:val="en-US" w:eastAsia="zh-CN"/>
                    </w:rPr>
                    <w:t>2096m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二</w:t>
                  </w:r>
                </w:p>
              </w:tc>
              <w:tc>
                <w:tcPr>
                  <w:tcW w:w="30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项目经济指标</w:t>
                  </w:r>
                </w:p>
              </w:tc>
              <w:tc>
                <w:tcPr>
                  <w:tcW w:w="12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p>
              </w:tc>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p>
              </w:tc>
              <w:tc>
                <w:tcPr>
                  <w:tcW w:w="2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1</w:t>
                  </w:r>
                </w:p>
              </w:tc>
              <w:tc>
                <w:tcPr>
                  <w:tcW w:w="30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项目投入总资金</w:t>
                  </w:r>
                </w:p>
              </w:tc>
              <w:tc>
                <w:tcPr>
                  <w:tcW w:w="12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万元</w:t>
                  </w:r>
                </w:p>
              </w:tc>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3024.23</w:t>
                  </w:r>
                </w:p>
              </w:tc>
              <w:tc>
                <w:tcPr>
                  <w:tcW w:w="2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FF0000"/>
                      <w:kern w:val="0"/>
                      <w:sz w:val="21"/>
                      <w:szCs w:val="21"/>
                      <w:u w:val="wave"/>
                      <w:lang w:eastAsia="zh-CN"/>
                    </w:rPr>
                  </w:pPr>
                  <w:r>
                    <w:rPr>
                      <w:rFonts w:hint="default" w:ascii="Times New Roman" w:hAnsi="Times New Roman" w:eastAsia="宋体" w:cs="Times New Roman"/>
                      <w:b w:val="0"/>
                      <w:bCs w:val="0"/>
                      <w:color w:val="FF0000"/>
                      <w:kern w:val="0"/>
                      <w:sz w:val="21"/>
                      <w:szCs w:val="21"/>
                      <w:u w:val="wave"/>
                      <w:lang w:eastAsia="zh-CN"/>
                    </w:rPr>
                    <w:t>1.1</w:t>
                  </w:r>
                </w:p>
              </w:tc>
              <w:tc>
                <w:tcPr>
                  <w:tcW w:w="30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FF0000"/>
                      <w:kern w:val="0"/>
                      <w:sz w:val="21"/>
                      <w:szCs w:val="21"/>
                      <w:u w:val="wave"/>
                      <w:lang w:eastAsia="zh-CN"/>
                    </w:rPr>
                  </w:pPr>
                  <w:r>
                    <w:rPr>
                      <w:rFonts w:hint="eastAsia" w:ascii="Times New Roman" w:hAnsi="Times New Roman" w:eastAsia="宋体" w:cs="Times New Roman"/>
                      <w:b w:val="0"/>
                      <w:bCs w:val="0"/>
                      <w:color w:val="FF0000"/>
                      <w:kern w:val="0"/>
                      <w:sz w:val="21"/>
                      <w:szCs w:val="21"/>
                      <w:u w:val="wave"/>
                      <w:lang w:eastAsia="zh-CN"/>
                    </w:rPr>
                    <w:t>工程费用</w:t>
                  </w:r>
                </w:p>
              </w:tc>
              <w:tc>
                <w:tcPr>
                  <w:tcW w:w="12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FF0000"/>
                      <w:kern w:val="0"/>
                      <w:sz w:val="21"/>
                      <w:szCs w:val="21"/>
                      <w:u w:val="wave"/>
                      <w:lang w:eastAsia="zh-CN"/>
                    </w:rPr>
                  </w:pPr>
                  <w:r>
                    <w:rPr>
                      <w:rFonts w:hint="eastAsia" w:ascii="Times New Roman" w:hAnsi="Times New Roman" w:eastAsia="宋体" w:cs="Times New Roman"/>
                      <w:b w:val="0"/>
                      <w:bCs w:val="0"/>
                      <w:color w:val="FF0000"/>
                      <w:kern w:val="0"/>
                      <w:sz w:val="21"/>
                      <w:szCs w:val="21"/>
                      <w:u w:val="wave"/>
                      <w:lang w:eastAsia="zh-CN"/>
                    </w:rPr>
                    <w:t>万元</w:t>
                  </w:r>
                </w:p>
              </w:tc>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FF0000"/>
                      <w:kern w:val="0"/>
                      <w:sz w:val="21"/>
                      <w:szCs w:val="21"/>
                      <w:u w:val="wave"/>
                      <w:lang w:eastAsia="zh-CN"/>
                    </w:rPr>
                  </w:pPr>
                  <w:r>
                    <w:rPr>
                      <w:rFonts w:hint="default" w:ascii="Times New Roman" w:hAnsi="Times New Roman" w:eastAsia="宋体" w:cs="Times New Roman"/>
                      <w:b w:val="0"/>
                      <w:bCs w:val="0"/>
                      <w:color w:val="FF0000"/>
                      <w:kern w:val="0"/>
                      <w:sz w:val="21"/>
                      <w:szCs w:val="21"/>
                      <w:u w:val="wave"/>
                      <w:lang w:eastAsia="zh-CN"/>
                    </w:rPr>
                    <w:t>2575.25</w:t>
                  </w:r>
                </w:p>
              </w:tc>
              <w:tc>
                <w:tcPr>
                  <w:tcW w:w="2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FF0000"/>
                      <w:kern w:val="0"/>
                      <w:sz w:val="21"/>
                      <w:szCs w:val="21"/>
                      <w:u w:val="wave"/>
                      <w:lang w:eastAsia="zh-CN"/>
                    </w:rPr>
                  </w:pPr>
                  <w:r>
                    <w:rPr>
                      <w:rFonts w:hint="eastAsia" w:cs="Times New Roman"/>
                      <w:b w:val="0"/>
                      <w:bCs w:val="0"/>
                      <w:color w:val="FF0000"/>
                      <w:kern w:val="0"/>
                      <w:sz w:val="21"/>
                      <w:szCs w:val="21"/>
                      <w:u w:val="wave"/>
                      <w:lang w:eastAsia="zh-CN"/>
                    </w:rPr>
                    <w:t>（一期投入</w:t>
                  </w:r>
                  <w:r>
                    <w:rPr>
                      <w:rFonts w:hint="eastAsia" w:cs="Times New Roman"/>
                      <w:b w:val="0"/>
                      <w:bCs w:val="0"/>
                      <w:color w:val="FF0000"/>
                      <w:kern w:val="0"/>
                      <w:sz w:val="21"/>
                      <w:szCs w:val="21"/>
                      <w:u w:val="wave"/>
                      <w:lang w:val="en-US" w:eastAsia="zh-CN"/>
                    </w:rPr>
                    <w:t>1077.42</w:t>
                  </w:r>
                  <w:r>
                    <w:rPr>
                      <w:rFonts w:hint="eastAsia" w:cs="Times New Roman"/>
                      <w:b w:val="0"/>
                      <w:bCs w:val="0"/>
                      <w:color w:val="FF0000"/>
                      <w:kern w:val="0"/>
                      <w:sz w:val="21"/>
                      <w:szCs w:val="21"/>
                      <w:u w:val="wave"/>
                      <w:lang w:eastAsia="zh-C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1.2</w:t>
                  </w:r>
                </w:p>
              </w:tc>
              <w:tc>
                <w:tcPr>
                  <w:tcW w:w="30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工程建设其他费用</w:t>
                  </w:r>
                </w:p>
              </w:tc>
              <w:tc>
                <w:tcPr>
                  <w:tcW w:w="12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万元</w:t>
                  </w:r>
                </w:p>
              </w:tc>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336.0</w:t>
                  </w:r>
                </w:p>
              </w:tc>
              <w:tc>
                <w:tcPr>
                  <w:tcW w:w="2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FF0000"/>
                      <w:kern w:val="0"/>
                      <w:sz w:val="21"/>
                      <w:szCs w:val="21"/>
                      <w:lang w:eastAsia="zh-CN"/>
                    </w:rPr>
                  </w:pPr>
                  <w:r>
                    <w:rPr>
                      <w:rFonts w:hint="default" w:ascii="Times New Roman" w:hAnsi="Times New Roman" w:eastAsia="宋体" w:cs="Times New Roman"/>
                      <w:b w:val="0"/>
                      <w:bCs w:val="0"/>
                      <w:color w:val="FF0000"/>
                      <w:kern w:val="0"/>
                      <w:sz w:val="21"/>
                      <w:szCs w:val="21"/>
                      <w:lang w:eastAsia="zh-CN"/>
                    </w:rPr>
                    <w:t>2</w:t>
                  </w:r>
                </w:p>
              </w:tc>
              <w:tc>
                <w:tcPr>
                  <w:tcW w:w="30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FF0000"/>
                      <w:kern w:val="0"/>
                      <w:sz w:val="21"/>
                      <w:szCs w:val="21"/>
                      <w:lang w:eastAsia="zh-CN"/>
                    </w:rPr>
                  </w:pPr>
                  <w:r>
                    <w:rPr>
                      <w:rFonts w:hint="eastAsia" w:ascii="Times New Roman" w:hAnsi="Times New Roman" w:eastAsia="宋体" w:cs="Times New Roman"/>
                      <w:b w:val="0"/>
                      <w:bCs w:val="0"/>
                      <w:color w:val="FF0000"/>
                      <w:kern w:val="0"/>
                      <w:sz w:val="21"/>
                      <w:szCs w:val="21"/>
                      <w:lang w:eastAsia="zh-CN"/>
                    </w:rPr>
                    <w:t>资金筹措</w:t>
                  </w:r>
                </w:p>
              </w:tc>
              <w:tc>
                <w:tcPr>
                  <w:tcW w:w="12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FF0000"/>
                      <w:kern w:val="0"/>
                      <w:sz w:val="21"/>
                      <w:szCs w:val="21"/>
                      <w:lang w:eastAsia="zh-CN"/>
                    </w:rPr>
                  </w:pPr>
                  <w:r>
                    <w:rPr>
                      <w:rFonts w:hint="eastAsia" w:ascii="Times New Roman" w:hAnsi="Times New Roman" w:eastAsia="宋体" w:cs="Times New Roman"/>
                      <w:b w:val="0"/>
                      <w:bCs w:val="0"/>
                      <w:color w:val="FF0000"/>
                      <w:kern w:val="0"/>
                      <w:sz w:val="21"/>
                      <w:szCs w:val="21"/>
                      <w:lang w:eastAsia="zh-CN"/>
                    </w:rPr>
                    <w:t>万元</w:t>
                  </w:r>
                </w:p>
              </w:tc>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FF0000"/>
                      <w:kern w:val="0"/>
                      <w:sz w:val="21"/>
                      <w:szCs w:val="21"/>
                      <w:lang w:eastAsia="zh-CN"/>
                    </w:rPr>
                  </w:pPr>
                  <w:r>
                    <w:rPr>
                      <w:rFonts w:hint="default" w:ascii="Times New Roman" w:hAnsi="Times New Roman" w:eastAsia="宋体" w:cs="Times New Roman"/>
                      <w:b w:val="0"/>
                      <w:bCs w:val="0"/>
                      <w:color w:val="FF0000"/>
                      <w:kern w:val="0"/>
                      <w:sz w:val="21"/>
                      <w:szCs w:val="21"/>
                      <w:lang w:eastAsia="zh-CN"/>
                    </w:rPr>
                    <w:t>3024.23</w:t>
                  </w:r>
                </w:p>
              </w:tc>
              <w:tc>
                <w:tcPr>
                  <w:tcW w:w="2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FF0000"/>
                      <w:kern w:val="0"/>
                      <w:sz w:val="21"/>
                      <w:szCs w:val="21"/>
                      <w:lang w:eastAsia="zh-CN"/>
                    </w:rPr>
                  </w:pPr>
                  <w:r>
                    <w:rPr>
                      <w:rFonts w:hint="eastAsia" w:cs="Times New Roman"/>
                      <w:b w:val="0"/>
                      <w:bCs w:val="0"/>
                      <w:color w:val="FF0000"/>
                      <w:kern w:val="0"/>
                      <w:sz w:val="21"/>
                      <w:szCs w:val="21"/>
                      <w:lang w:eastAsia="zh-CN"/>
                    </w:rPr>
                    <w:t>（一期总投资</w:t>
                  </w:r>
                  <w:r>
                    <w:rPr>
                      <w:rFonts w:hint="eastAsia" w:cs="Times New Roman"/>
                      <w:b w:val="0"/>
                      <w:bCs w:val="0"/>
                      <w:color w:val="FF0000"/>
                      <w:kern w:val="0"/>
                      <w:sz w:val="21"/>
                      <w:szCs w:val="21"/>
                      <w:lang w:val="en-US" w:eastAsia="zh-CN"/>
                    </w:rPr>
                    <w:t>1436.02万元</w:t>
                  </w:r>
                  <w:r>
                    <w:rPr>
                      <w:rFonts w:hint="eastAsia" w:cs="Times New Roman"/>
                      <w:b w:val="0"/>
                      <w:bCs w:val="0"/>
                      <w:color w:val="FF0000"/>
                      <w:kern w:val="0"/>
                      <w:sz w:val="21"/>
                      <w:szCs w:val="21"/>
                      <w:lang w:eastAsia="zh-C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3</w:t>
                  </w:r>
                </w:p>
              </w:tc>
              <w:tc>
                <w:tcPr>
                  <w:tcW w:w="30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FF0000"/>
                      <w:kern w:val="0"/>
                      <w:sz w:val="21"/>
                      <w:szCs w:val="21"/>
                      <w:u w:val="wave"/>
                      <w:lang w:eastAsia="zh-CN"/>
                    </w:rPr>
                  </w:pPr>
                  <w:r>
                    <w:rPr>
                      <w:rFonts w:hint="eastAsia" w:ascii="Times New Roman" w:hAnsi="Times New Roman" w:eastAsia="宋体" w:cs="Times New Roman"/>
                      <w:b w:val="0"/>
                      <w:bCs w:val="0"/>
                      <w:color w:val="FF0000"/>
                      <w:kern w:val="0"/>
                      <w:sz w:val="21"/>
                      <w:szCs w:val="21"/>
                      <w:u w:val="wave"/>
                      <w:lang w:eastAsia="zh-CN"/>
                    </w:rPr>
                    <w:t>建设期</w:t>
                  </w:r>
                </w:p>
              </w:tc>
              <w:tc>
                <w:tcPr>
                  <w:tcW w:w="12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eastAsia" w:ascii="Times New Roman" w:hAnsi="Times New Roman" w:eastAsia="宋体" w:cs="Times New Roman"/>
                      <w:b w:val="0"/>
                      <w:bCs w:val="0"/>
                      <w:color w:val="FF0000"/>
                      <w:kern w:val="0"/>
                      <w:sz w:val="21"/>
                      <w:szCs w:val="21"/>
                      <w:u w:val="wave"/>
                      <w:lang w:eastAsia="zh-CN"/>
                    </w:rPr>
                  </w:pPr>
                  <w:r>
                    <w:rPr>
                      <w:rFonts w:hint="eastAsia" w:ascii="Times New Roman" w:hAnsi="Times New Roman" w:eastAsia="宋体" w:cs="Times New Roman"/>
                      <w:b w:val="0"/>
                      <w:bCs w:val="0"/>
                      <w:color w:val="FF0000"/>
                      <w:kern w:val="0"/>
                      <w:sz w:val="21"/>
                      <w:szCs w:val="21"/>
                      <w:u w:val="wave"/>
                      <w:lang w:eastAsia="zh-CN"/>
                    </w:rPr>
                    <w:t>年</w:t>
                  </w:r>
                </w:p>
              </w:tc>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FF0000"/>
                      <w:kern w:val="0"/>
                      <w:sz w:val="21"/>
                      <w:szCs w:val="21"/>
                      <w:u w:val="wave"/>
                      <w:lang w:eastAsia="zh-CN"/>
                    </w:rPr>
                  </w:pPr>
                  <w:r>
                    <w:rPr>
                      <w:rFonts w:hint="default" w:ascii="Times New Roman" w:hAnsi="Times New Roman" w:eastAsia="宋体" w:cs="Times New Roman"/>
                      <w:b w:val="0"/>
                      <w:bCs w:val="0"/>
                      <w:color w:val="FF0000"/>
                      <w:kern w:val="0"/>
                      <w:sz w:val="21"/>
                      <w:szCs w:val="21"/>
                      <w:u w:val="wave"/>
                      <w:lang w:eastAsia="zh-CN"/>
                    </w:rPr>
                    <w:t>2</w:t>
                  </w:r>
                </w:p>
              </w:tc>
              <w:tc>
                <w:tcPr>
                  <w:tcW w:w="2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after="0"/>
                    <w:ind w:left="0" w:leftChars="0" w:right="0" w:rightChars="0"/>
                    <w:jc w:val="center"/>
                    <w:textAlignment w:val="auto"/>
                    <w:rPr>
                      <w:rFonts w:hint="default" w:ascii="Times New Roman" w:hAnsi="Times New Roman" w:eastAsia="宋体" w:cs="Times New Roman"/>
                      <w:b w:val="0"/>
                      <w:bCs w:val="0"/>
                      <w:color w:val="FF0000"/>
                      <w:kern w:val="0"/>
                      <w:sz w:val="21"/>
                      <w:szCs w:val="21"/>
                      <w:u w:val="wave"/>
                      <w:lang w:val="en-US" w:eastAsia="zh-CN"/>
                    </w:rPr>
                  </w:pPr>
                  <w:r>
                    <w:rPr>
                      <w:rFonts w:hint="eastAsia" w:cs="Times New Roman"/>
                      <w:b w:val="0"/>
                      <w:bCs w:val="0"/>
                      <w:color w:val="FF0000"/>
                      <w:kern w:val="0"/>
                      <w:sz w:val="21"/>
                      <w:szCs w:val="21"/>
                      <w:u w:val="wave"/>
                      <w:lang w:eastAsia="zh-CN"/>
                    </w:rPr>
                    <w:t>其中一期建设期</w:t>
                  </w:r>
                  <w:r>
                    <w:rPr>
                      <w:rFonts w:hint="eastAsia" w:cs="Times New Roman"/>
                      <w:b w:val="0"/>
                      <w:bCs w:val="0"/>
                      <w:color w:val="FF0000"/>
                      <w:kern w:val="0"/>
                      <w:sz w:val="21"/>
                      <w:szCs w:val="21"/>
                      <w:u w:val="wave"/>
                      <w:lang w:val="en-US" w:eastAsia="zh-CN"/>
                    </w:rPr>
                    <w:t>4个月</w:t>
                  </w:r>
                </w:p>
              </w:tc>
            </w:tr>
          </w:tbl>
          <w:p>
            <w:pPr>
              <w:numPr>
                <w:ilvl w:val="0"/>
                <w:numId w:val="1"/>
              </w:numPr>
              <w:adjustRightInd w:val="0"/>
              <w:snapToGrid w:val="0"/>
              <w:spacing w:line="360" w:lineRule="auto"/>
              <w:ind w:firstLine="482" w:firstLineChars="200"/>
              <w:rPr>
                <w:b/>
                <w:bCs/>
                <w:color w:val="auto"/>
                <w:sz w:val="24"/>
                <w:szCs w:val="24"/>
                <w:u w:val="none"/>
              </w:rPr>
            </w:pPr>
            <w:r>
              <w:rPr>
                <w:rFonts w:hint="eastAsia"/>
                <w:b/>
                <w:bCs/>
                <w:color w:val="auto"/>
                <w:sz w:val="24"/>
                <w:szCs w:val="24"/>
                <w:u w:val="none"/>
              </w:rPr>
              <w:t>管网工程</w:t>
            </w:r>
          </w:p>
          <w:p>
            <w:pPr>
              <w:adjustRightInd w:val="0"/>
              <w:snapToGrid w:val="0"/>
              <w:spacing w:line="360" w:lineRule="auto"/>
              <w:ind w:firstLine="480" w:firstLineChars="200"/>
              <w:rPr>
                <w:rFonts w:hint="eastAsia" w:cs="Times New Roman"/>
                <w:color w:val="auto"/>
                <w:spacing w:val="-7"/>
                <w:sz w:val="24"/>
                <w:szCs w:val="22"/>
                <w:u w:val="none"/>
                <w:lang w:val="en-US" w:eastAsia="zh-CN"/>
              </w:rPr>
            </w:pPr>
            <w:r>
              <w:rPr>
                <w:rFonts w:hint="eastAsia"/>
                <w:color w:val="auto"/>
                <w:sz w:val="24"/>
                <w:szCs w:val="24"/>
                <w:u w:val="none"/>
                <w:lang w:eastAsia="zh-CN"/>
              </w:rPr>
              <w:t>本项目一期纳</w:t>
            </w:r>
            <w:r>
              <w:rPr>
                <w:rFonts w:ascii="Times New Roman" w:hAnsi="Times New Roman"/>
                <w:color w:val="auto"/>
                <w:sz w:val="24"/>
                <w:szCs w:val="24"/>
                <w:u w:val="none"/>
              </w:rPr>
              <w:t>污范围为渡头桥社区和爱莲社区中心镇区</w:t>
            </w:r>
            <w:r>
              <w:rPr>
                <w:rFonts w:hint="eastAsia"/>
                <w:color w:val="auto"/>
                <w:spacing w:val="-7"/>
                <w:sz w:val="24"/>
                <w:szCs w:val="22"/>
                <w:u w:val="none"/>
              </w:rPr>
              <w:t>，</w:t>
            </w:r>
            <w:r>
              <w:rPr>
                <w:rFonts w:hint="eastAsia"/>
                <w:color w:val="FF0000"/>
                <w:spacing w:val="-7"/>
                <w:sz w:val="24"/>
                <w:szCs w:val="22"/>
                <w:u w:val="wave"/>
                <w:lang w:eastAsia="zh-CN"/>
              </w:rPr>
              <w:t>纳</w:t>
            </w:r>
            <w:r>
              <w:rPr>
                <w:rFonts w:hint="eastAsia"/>
                <w:color w:val="FF0000"/>
                <w:spacing w:val="-7"/>
                <w:sz w:val="24"/>
                <w:szCs w:val="22"/>
                <w:u w:val="wave"/>
              </w:rPr>
              <w:t>污水管</w:t>
            </w:r>
            <w:r>
              <w:rPr>
                <w:rFonts w:hint="eastAsia"/>
                <w:color w:val="FF0000"/>
                <w:spacing w:val="-7"/>
                <w:sz w:val="24"/>
                <w:szCs w:val="22"/>
                <w:u w:val="wave"/>
                <w:lang w:eastAsia="zh-CN"/>
              </w:rPr>
              <w:t>近期设计</w:t>
            </w:r>
            <w:r>
              <w:rPr>
                <w:rFonts w:hint="eastAsia"/>
                <w:color w:val="FF0000"/>
                <w:spacing w:val="-7"/>
                <w:sz w:val="24"/>
                <w:szCs w:val="22"/>
                <w:u w:val="wave"/>
              </w:rPr>
              <w:t>总长</w:t>
            </w:r>
            <w:r>
              <w:rPr>
                <w:rFonts w:hint="eastAsia"/>
                <w:color w:val="FF0000"/>
                <w:spacing w:val="-7"/>
                <w:sz w:val="24"/>
                <w:szCs w:val="22"/>
                <w:u w:val="wave"/>
                <w:lang w:val="en-US" w:eastAsia="zh-CN"/>
              </w:rPr>
              <w:t>2096</w:t>
            </w:r>
            <w:r>
              <w:rPr>
                <w:rFonts w:hint="eastAsia"/>
                <w:color w:val="FF0000"/>
                <w:spacing w:val="-7"/>
                <w:sz w:val="24"/>
                <w:szCs w:val="22"/>
                <w:u w:val="wave"/>
              </w:rPr>
              <w:t>米。</w:t>
            </w:r>
            <w:r>
              <w:rPr>
                <w:rFonts w:hint="eastAsia" w:ascii="Times New Roman" w:hAnsi="Times New Roman" w:eastAsia="宋体" w:cs="Times New Roman"/>
                <w:color w:val="auto"/>
                <w:spacing w:val="-7"/>
                <w:sz w:val="24"/>
                <w:szCs w:val="22"/>
                <w:u w:val="none"/>
                <w:lang w:val="en-US" w:eastAsia="zh-CN"/>
              </w:rPr>
              <w:t>根据本项目实际情况，</w:t>
            </w:r>
            <w:r>
              <w:rPr>
                <w:rFonts w:hint="eastAsia" w:cs="Times New Roman"/>
                <w:color w:val="auto"/>
                <w:spacing w:val="-7"/>
                <w:sz w:val="24"/>
                <w:szCs w:val="22"/>
                <w:u w:val="none"/>
                <w:lang w:val="en-US" w:eastAsia="zh-CN"/>
              </w:rPr>
              <w:t>项目近期纳污范围管网布置</w:t>
            </w:r>
          </w:p>
          <w:p>
            <w:pPr>
              <w:adjustRightInd w:val="0"/>
              <w:snapToGrid w:val="0"/>
              <w:spacing w:line="360" w:lineRule="auto"/>
              <w:ind w:firstLine="452" w:firstLineChars="200"/>
              <w:rPr>
                <w:rFonts w:hint="eastAsia" w:ascii="Times New Roman" w:hAnsi="Times New Roman" w:eastAsia="宋体" w:cs="Times New Roman"/>
                <w:color w:val="auto"/>
                <w:spacing w:val="-7"/>
                <w:sz w:val="24"/>
                <w:szCs w:val="22"/>
                <w:u w:val="none"/>
              </w:rPr>
            </w:pPr>
            <w:r>
              <w:rPr>
                <w:rFonts w:hint="eastAsia" w:ascii="Times New Roman" w:hAnsi="Times New Roman" w:eastAsia="宋体" w:cs="Times New Roman"/>
                <w:color w:val="auto"/>
                <w:spacing w:val="-7"/>
                <w:sz w:val="24"/>
                <w:szCs w:val="22"/>
                <w:u w:val="none"/>
                <w:lang w:val="en-US" w:eastAsia="zh-CN"/>
              </w:rPr>
              <w:t>排水管网布置应遵照如下原则：1、排水管道干管管径应考虑到远期，避免重复建设；</w:t>
            </w:r>
            <w:r>
              <w:rPr>
                <w:rFonts w:hint="default" w:ascii="Times New Roman" w:hAnsi="Times New Roman" w:eastAsia="宋体" w:cs="Times New Roman"/>
                <w:color w:val="auto"/>
                <w:spacing w:val="-7"/>
                <w:sz w:val="24"/>
                <w:szCs w:val="22"/>
                <w:u w:val="none"/>
                <w:lang w:val="en-US" w:eastAsia="zh-CN"/>
              </w:rPr>
              <w:t>2</w:t>
            </w:r>
            <w:r>
              <w:rPr>
                <w:rFonts w:hint="eastAsia" w:ascii="Times New Roman" w:hAnsi="Times New Roman" w:eastAsia="宋体" w:cs="Times New Roman"/>
                <w:color w:val="auto"/>
                <w:spacing w:val="-7"/>
                <w:sz w:val="24"/>
                <w:szCs w:val="22"/>
                <w:u w:val="none"/>
                <w:lang w:val="en-US" w:eastAsia="zh-CN"/>
              </w:rPr>
              <w:t>、排水管道应以重力流为主，宜顺坡敷设；</w:t>
            </w:r>
            <w:r>
              <w:rPr>
                <w:rFonts w:hint="default" w:ascii="Times New Roman" w:hAnsi="Times New Roman" w:eastAsia="宋体" w:cs="Times New Roman"/>
                <w:color w:val="auto"/>
                <w:spacing w:val="-7"/>
                <w:sz w:val="24"/>
                <w:szCs w:val="22"/>
                <w:u w:val="none"/>
                <w:lang w:val="en-US" w:eastAsia="zh-CN"/>
              </w:rPr>
              <w:t>3</w:t>
            </w:r>
            <w:r>
              <w:rPr>
                <w:rFonts w:hint="eastAsia" w:ascii="Times New Roman" w:hAnsi="Times New Roman" w:eastAsia="宋体" w:cs="Times New Roman"/>
                <w:color w:val="auto"/>
                <w:spacing w:val="-7"/>
                <w:sz w:val="24"/>
                <w:szCs w:val="22"/>
                <w:u w:val="none"/>
                <w:lang w:val="en-US" w:eastAsia="zh-CN"/>
              </w:rPr>
              <w:t>、综合选择管材，合理地确定管道坡度及管径，降低整个管线的造价；</w:t>
            </w:r>
            <w:r>
              <w:rPr>
                <w:rFonts w:hint="default" w:ascii="Times New Roman" w:hAnsi="Times New Roman" w:eastAsia="宋体" w:cs="Times New Roman"/>
                <w:color w:val="auto"/>
                <w:spacing w:val="-7"/>
                <w:sz w:val="24"/>
                <w:szCs w:val="22"/>
                <w:u w:val="none"/>
                <w:lang w:val="en-US" w:eastAsia="zh-CN"/>
              </w:rPr>
              <w:t>4</w:t>
            </w:r>
            <w:r>
              <w:rPr>
                <w:rFonts w:hint="eastAsia" w:ascii="Times New Roman" w:hAnsi="Times New Roman" w:eastAsia="宋体" w:cs="Times New Roman"/>
                <w:color w:val="auto"/>
                <w:spacing w:val="-7"/>
                <w:sz w:val="24"/>
                <w:szCs w:val="22"/>
                <w:u w:val="none"/>
                <w:lang w:val="en-US" w:eastAsia="zh-CN"/>
              </w:rPr>
              <w:t>、排水管道在城市道路下的埋设位置应符合《室外排水设计规范》（</w:t>
            </w:r>
            <w:r>
              <w:rPr>
                <w:rFonts w:hint="default" w:ascii="Times New Roman" w:hAnsi="Times New Roman" w:eastAsia="宋体" w:cs="Times New Roman"/>
                <w:color w:val="auto"/>
                <w:spacing w:val="-7"/>
                <w:sz w:val="24"/>
                <w:szCs w:val="22"/>
                <w:u w:val="none"/>
                <w:lang w:val="en-US" w:eastAsia="zh-CN"/>
              </w:rPr>
              <w:t>GB50014-2006</w:t>
            </w:r>
            <w:r>
              <w:rPr>
                <w:rFonts w:hint="eastAsia" w:ascii="Times New Roman" w:hAnsi="Times New Roman" w:eastAsia="宋体" w:cs="Times New Roman"/>
                <w:color w:val="auto"/>
                <w:spacing w:val="-7"/>
                <w:sz w:val="24"/>
                <w:szCs w:val="22"/>
                <w:u w:val="none"/>
                <w:lang w:val="en-US" w:eastAsia="zh-CN"/>
              </w:rPr>
              <w:t>）的规定。</w:t>
            </w:r>
          </w:p>
          <w:p>
            <w:pPr>
              <w:keepNext w:val="0"/>
              <w:keepLines w:val="0"/>
              <w:pageBreakBefore w:val="0"/>
              <w:widowControl w:val="0"/>
              <w:kinsoku/>
              <w:wordWrap/>
              <w:overflowPunct/>
              <w:topLinePunct w:val="0"/>
              <w:autoSpaceDE/>
              <w:autoSpaceDN/>
              <w:bidi w:val="0"/>
              <w:adjustRightInd w:val="0"/>
              <w:snapToGrid w:val="0"/>
              <w:spacing w:line="360" w:lineRule="auto"/>
              <w:ind w:firstLine="452" w:firstLineChars="200"/>
              <w:textAlignment w:val="auto"/>
              <w:rPr>
                <w:b/>
                <w:bCs/>
                <w:color w:val="auto"/>
                <w:szCs w:val="21"/>
                <w:u w:val="none"/>
              </w:rPr>
            </w:pPr>
            <w:r>
              <w:rPr>
                <w:rFonts w:hint="eastAsia" w:ascii="Times New Roman" w:hAnsi="Times New Roman" w:eastAsia="宋体" w:cs="Times New Roman"/>
                <w:color w:val="auto"/>
                <w:spacing w:val="-7"/>
                <w:sz w:val="24"/>
                <w:szCs w:val="22"/>
                <w:u w:val="none"/>
                <w:lang w:val="en-US" w:eastAsia="zh-CN"/>
              </w:rPr>
              <w:t>本项目污水管网主要负责收集</w:t>
            </w:r>
            <w:r>
              <w:rPr>
                <w:rFonts w:hint="eastAsia" w:ascii="Times New Roman" w:hAnsi="Times New Roman" w:cs="Times New Roman"/>
                <w:color w:val="auto"/>
                <w:sz w:val="24"/>
                <w:szCs w:val="22"/>
                <w:highlight w:val="none"/>
                <w:u w:val="none"/>
                <w:lang w:eastAsia="zh-CN"/>
              </w:rPr>
              <w:t>渡头桥镇及爱莲社区</w:t>
            </w:r>
            <w:r>
              <w:rPr>
                <w:rFonts w:hint="eastAsia" w:ascii="Times New Roman" w:hAnsi="Times New Roman" w:eastAsia="宋体" w:cs="Times New Roman"/>
                <w:color w:val="auto"/>
                <w:spacing w:val="-7"/>
                <w:sz w:val="24"/>
                <w:szCs w:val="22"/>
                <w:u w:val="none"/>
                <w:lang w:val="en-US" w:eastAsia="zh-CN"/>
              </w:rPr>
              <w:t>生活污水，污水管线均沿规划的道路进行敷设，</w:t>
            </w:r>
            <w:r>
              <w:rPr>
                <w:rFonts w:hint="eastAsia" w:ascii="Times New Roman" w:hAnsi="Times New Roman" w:eastAsia="宋体" w:cs="Times New Roman"/>
                <w:color w:val="FF0000"/>
                <w:spacing w:val="-7"/>
                <w:sz w:val="24"/>
                <w:szCs w:val="22"/>
                <w:u w:val="wave"/>
                <w:lang w:val="en-US" w:eastAsia="zh-CN"/>
              </w:rPr>
              <w:t>本项目位于渡头桥镇规划区下游，地势相对较低，污水由进污干管重力自流进入污水处理厂，</w:t>
            </w:r>
            <w:r>
              <w:rPr>
                <w:rFonts w:hint="eastAsia"/>
                <w:color w:val="FF0000"/>
                <w:spacing w:val="-7"/>
                <w:sz w:val="24"/>
                <w:szCs w:val="22"/>
                <w:u w:val="wave"/>
              </w:rPr>
              <w:t>沿途</w:t>
            </w:r>
            <w:r>
              <w:rPr>
                <w:rFonts w:hint="eastAsia"/>
                <w:color w:val="FF0000"/>
                <w:spacing w:val="-7"/>
                <w:sz w:val="24"/>
                <w:szCs w:val="22"/>
                <w:u w:val="wave"/>
                <w:lang w:eastAsia="zh-CN"/>
              </w:rPr>
              <w:t>无需</w:t>
            </w:r>
            <w:r>
              <w:rPr>
                <w:rFonts w:hint="eastAsia"/>
                <w:color w:val="FF0000"/>
                <w:spacing w:val="-7"/>
                <w:sz w:val="24"/>
                <w:szCs w:val="22"/>
                <w:u w:val="wave"/>
              </w:rPr>
              <w:t>设提升泵。</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Cs w:val="21"/>
                <w:u w:val="none"/>
              </w:rPr>
            </w:pPr>
            <w:r>
              <w:rPr>
                <w:b/>
                <w:bCs/>
                <w:color w:val="auto"/>
                <w:szCs w:val="21"/>
                <w:u w:val="none"/>
              </w:rPr>
              <w:t>表1-</w:t>
            </w:r>
            <w:r>
              <w:rPr>
                <w:rFonts w:hint="eastAsia"/>
                <w:b/>
                <w:bCs/>
                <w:color w:val="auto"/>
                <w:szCs w:val="21"/>
                <w:u w:val="none"/>
              </w:rPr>
              <w:t>3   管网工程实施内容</w:t>
            </w:r>
          </w:p>
          <w:tbl>
            <w:tblPr>
              <w:tblStyle w:val="27"/>
              <w:tblW w:w="86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912"/>
              <w:gridCol w:w="984"/>
              <w:gridCol w:w="1076"/>
              <w:gridCol w:w="767"/>
              <w:gridCol w:w="970"/>
              <w:gridCol w:w="22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70"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序号</w:t>
                  </w:r>
                </w:p>
              </w:tc>
              <w:tc>
                <w:tcPr>
                  <w:tcW w:w="1912"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名称</w:t>
                  </w:r>
                </w:p>
              </w:tc>
              <w:tc>
                <w:tcPr>
                  <w:tcW w:w="984"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规格</w:t>
                  </w:r>
                </w:p>
              </w:tc>
              <w:tc>
                <w:tcPr>
                  <w:tcW w:w="1076"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材料</w:t>
                  </w:r>
                </w:p>
              </w:tc>
              <w:tc>
                <w:tcPr>
                  <w:tcW w:w="767"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单位</w:t>
                  </w:r>
                </w:p>
              </w:tc>
              <w:tc>
                <w:tcPr>
                  <w:tcW w:w="970"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数量</w:t>
                  </w:r>
                </w:p>
              </w:tc>
              <w:tc>
                <w:tcPr>
                  <w:tcW w:w="2266"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0"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1</w:t>
                  </w:r>
                </w:p>
              </w:tc>
              <w:tc>
                <w:tcPr>
                  <w:tcW w:w="1912"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HDPE缠绕管</w:t>
                  </w:r>
                </w:p>
              </w:tc>
              <w:tc>
                <w:tcPr>
                  <w:tcW w:w="984"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DN600</w:t>
                  </w:r>
                </w:p>
              </w:tc>
              <w:tc>
                <w:tcPr>
                  <w:tcW w:w="1076"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钢筋砼</w:t>
                  </w:r>
                </w:p>
              </w:tc>
              <w:tc>
                <w:tcPr>
                  <w:tcW w:w="767"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m</w:t>
                  </w:r>
                </w:p>
              </w:tc>
              <w:tc>
                <w:tcPr>
                  <w:tcW w:w="970" w:type="dxa"/>
                  <w:tcBorders>
                    <w:tl2br w:val="nil"/>
                    <w:tr2bl w:val="nil"/>
                  </w:tcBorders>
                  <w:vAlign w:val="center"/>
                </w:tcPr>
                <w:p>
                  <w:pPr>
                    <w:jc w:val="center"/>
                    <w:rPr>
                      <w:rFonts w:hint="default" w:ascii="Times New Roman" w:hAnsi="Times New Roman" w:eastAsia="宋体" w:cs="Times New Roman"/>
                      <w:color w:val="auto"/>
                      <w:szCs w:val="21"/>
                      <w:u w:val="none"/>
                      <w:lang w:val="en-US" w:eastAsia="zh-CN"/>
                    </w:rPr>
                  </w:pPr>
                  <w:r>
                    <w:rPr>
                      <w:rFonts w:hint="default" w:ascii="Times New Roman" w:hAnsi="Times New Roman" w:eastAsia="宋体" w:cs="Times New Roman"/>
                      <w:color w:val="auto"/>
                      <w:szCs w:val="21"/>
                      <w:u w:val="none"/>
                      <w:lang w:val="en-US" w:eastAsia="zh-CN"/>
                    </w:rPr>
                    <w:t>1601</w:t>
                  </w:r>
                </w:p>
              </w:tc>
              <w:tc>
                <w:tcPr>
                  <w:tcW w:w="2266"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道路污水主管，环刚度≥8KN/m</w:t>
                  </w:r>
                  <w:r>
                    <w:rPr>
                      <w:rFonts w:hint="default" w:ascii="Times New Roman" w:hAnsi="Times New Roman" w:eastAsia="宋体" w:cs="Times New Roman"/>
                      <w:color w:val="auto"/>
                      <w:szCs w:val="21"/>
                      <w:u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0"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2</w:t>
                  </w:r>
                </w:p>
              </w:tc>
              <w:tc>
                <w:tcPr>
                  <w:tcW w:w="1912"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HDPE缠绕管</w:t>
                  </w:r>
                </w:p>
              </w:tc>
              <w:tc>
                <w:tcPr>
                  <w:tcW w:w="984"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DN600</w:t>
                  </w:r>
                </w:p>
              </w:tc>
              <w:tc>
                <w:tcPr>
                  <w:tcW w:w="1076"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钢筋砼</w:t>
                  </w:r>
                </w:p>
              </w:tc>
              <w:tc>
                <w:tcPr>
                  <w:tcW w:w="767"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m</w:t>
                  </w:r>
                </w:p>
              </w:tc>
              <w:tc>
                <w:tcPr>
                  <w:tcW w:w="970" w:type="dxa"/>
                  <w:tcBorders>
                    <w:tl2br w:val="nil"/>
                    <w:tr2bl w:val="nil"/>
                  </w:tcBorders>
                  <w:vAlign w:val="center"/>
                </w:tcPr>
                <w:p>
                  <w:pPr>
                    <w:jc w:val="center"/>
                    <w:rPr>
                      <w:rFonts w:hint="default" w:ascii="Times New Roman" w:hAnsi="Times New Roman" w:eastAsia="宋体" w:cs="Times New Roman"/>
                      <w:color w:val="auto"/>
                      <w:szCs w:val="21"/>
                      <w:u w:val="none"/>
                      <w:lang w:val="en-US" w:eastAsia="zh-CN"/>
                    </w:rPr>
                  </w:pPr>
                  <w:r>
                    <w:rPr>
                      <w:rFonts w:hint="default" w:ascii="Times New Roman" w:hAnsi="Times New Roman" w:eastAsia="宋体" w:cs="Times New Roman"/>
                      <w:color w:val="auto"/>
                      <w:szCs w:val="21"/>
                      <w:u w:val="none"/>
                      <w:lang w:val="en-US" w:eastAsia="zh-CN"/>
                    </w:rPr>
                    <w:t>495</w:t>
                  </w:r>
                </w:p>
              </w:tc>
              <w:tc>
                <w:tcPr>
                  <w:tcW w:w="2266"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沿河砼满包污水主管，环刚度≥8KN/m</w:t>
                  </w:r>
                  <w:r>
                    <w:rPr>
                      <w:rFonts w:hint="default" w:ascii="Times New Roman" w:hAnsi="Times New Roman" w:eastAsia="宋体" w:cs="Times New Roman"/>
                      <w:color w:val="auto"/>
                      <w:szCs w:val="21"/>
                      <w:u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70" w:type="dxa"/>
                  <w:tcBorders>
                    <w:tl2br w:val="nil"/>
                    <w:tr2bl w:val="nil"/>
                  </w:tcBorders>
                  <w:vAlign w:val="center"/>
                </w:tcPr>
                <w:p>
                  <w:pPr>
                    <w:jc w:val="center"/>
                    <w:rPr>
                      <w:rFonts w:hint="default" w:ascii="Times New Roman" w:hAnsi="Times New Roman" w:eastAsia="宋体" w:cs="Times New Roman"/>
                      <w:color w:val="auto"/>
                      <w:szCs w:val="21"/>
                      <w:u w:val="none"/>
                      <w:lang w:val="en-US" w:eastAsia="zh-CN"/>
                    </w:rPr>
                  </w:pPr>
                  <w:r>
                    <w:rPr>
                      <w:rFonts w:hint="default" w:ascii="Times New Roman" w:hAnsi="Times New Roman" w:eastAsia="宋体" w:cs="Times New Roman"/>
                      <w:color w:val="auto"/>
                      <w:szCs w:val="21"/>
                      <w:u w:val="none"/>
                      <w:lang w:val="en-US" w:eastAsia="zh-CN"/>
                    </w:rPr>
                    <w:t>3</w:t>
                  </w:r>
                </w:p>
              </w:tc>
              <w:tc>
                <w:tcPr>
                  <w:tcW w:w="1912"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污水检查井</w:t>
                  </w:r>
                </w:p>
              </w:tc>
              <w:tc>
                <w:tcPr>
                  <w:tcW w:w="984"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Φ1000</w:t>
                  </w:r>
                </w:p>
              </w:tc>
              <w:tc>
                <w:tcPr>
                  <w:tcW w:w="1076"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钢筋砼</w:t>
                  </w:r>
                </w:p>
              </w:tc>
              <w:tc>
                <w:tcPr>
                  <w:tcW w:w="767"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座</w:t>
                  </w:r>
                </w:p>
              </w:tc>
              <w:tc>
                <w:tcPr>
                  <w:tcW w:w="970" w:type="dxa"/>
                  <w:tcBorders>
                    <w:tl2br w:val="nil"/>
                    <w:tr2bl w:val="nil"/>
                  </w:tcBorders>
                  <w:vAlign w:val="center"/>
                </w:tcPr>
                <w:p>
                  <w:pPr>
                    <w:jc w:val="center"/>
                    <w:rPr>
                      <w:rFonts w:hint="default" w:ascii="Times New Roman" w:hAnsi="Times New Roman" w:eastAsia="宋体" w:cs="Times New Roman"/>
                      <w:color w:val="auto"/>
                      <w:szCs w:val="21"/>
                      <w:u w:val="none"/>
                      <w:lang w:val="en-US" w:eastAsia="zh-CN"/>
                    </w:rPr>
                  </w:pPr>
                  <w:r>
                    <w:rPr>
                      <w:rFonts w:hint="default" w:ascii="Times New Roman" w:hAnsi="Times New Roman" w:eastAsia="宋体" w:cs="Times New Roman"/>
                      <w:color w:val="auto"/>
                      <w:szCs w:val="21"/>
                      <w:u w:val="none"/>
                      <w:lang w:val="en-US" w:eastAsia="zh-CN"/>
                    </w:rPr>
                    <w:t>54</w:t>
                  </w:r>
                </w:p>
              </w:tc>
              <w:tc>
                <w:tcPr>
                  <w:tcW w:w="2266" w:type="dxa"/>
                  <w:tcBorders>
                    <w:tl2br w:val="nil"/>
                    <w:tr2bl w:val="nil"/>
                  </w:tcBorders>
                  <w:vAlign w:val="center"/>
                </w:tcPr>
                <w:p>
                  <w:pPr>
                    <w:jc w:val="center"/>
                    <w:rPr>
                      <w:rFonts w:hint="default" w:ascii="Times New Roman" w:hAnsi="Times New Roman" w:eastAsia="宋体" w:cs="Times New Roman"/>
                      <w:color w:val="auto"/>
                      <w:szCs w:val="21"/>
                      <w:u w:val="none"/>
                      <w:lang w:eastAsia="zh-CN"/>
                    </w:rPr>
                  </w:pPr>
                  <w:r>
                    <w:rPr>
                      <w:rFonts w:hint="default" w:ascii="Times New Roman" w:hAnsi="Times New Roman" w:eastAsia="宋体" w:cs="Times New Roman"/>
                      <w:color w:val="auto"/>
                      <w:szCs w:val="21"/>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0" w:type="dxa"/>
                  <w:tcBorders>
                    <w:tl2br w:val="nil"/>
                    <w:tr2bl w:val="nil"/>
                  </w:tcBorders>
                  <w:vAlign w:val="center"/>
                </w:tcPr>
                <w:p>
                  <w:pPr>
                    <w:jc w:val="center"/>
                    <w:rPr>
                      <w:rFonts w:hint="default" w:ascii="Times New Roman" w:hAnsi="Times New Roman" w:eastAsia="宋体" w:cs="Times New Roman"/>
                      <w:color w:val="auto"/>
                      <w:szCs w:val="21"/>
                      <w:u w:val="none"/>
                      <w:lang w:val="en-US" w:eastAsia="zh-CN"/>
                    </w:rPr>
                  </w:pPr>
                  <w:r>
                    <w:rPr>
                      <w:rFonts w:hint="default" w:ascii="Times New Roman" w:hAnsi="Times New Roman" w:eastAsia="宋体" w:cs="Times New Roman"/>
                      <w:color w:val="auto"/>
                      <w:szCs w:val="21"/>
                      <w:u w:val="none"/>
                      <w:lang w:val="en-US" w:eastAsia="zh-CN"/>
                    </w:rPr>
                    <w:t>4</w:t>
                  </w:r>
                </w:p>
              </w:tc>
              <w:tc>
                <w:tcPr>
                  <w:tcW w:w="1912" w:type="dxa"/>
                  <w:tcBorders>
                    <w:tl2br w:val="nil"/>
                    <w:tr2bl w:val="nil"/>
                  </w:tcBorders>
                  <w:vAlign w:val="center"/>
                </w:tcPr>
                <w:p>
                  <w:pPr>
                    <w:pStyle w:val="47"/>
                    <w:spacing w:before="108"/>
                    <w:ind w:left="45" w:leftChars="0" w:right="29" w:rightChars="0"/>
                    <w:jc w:val="center"/>
                    <w:rPr>
                      <w:rFonts w:hint="default" w:ascii="Times New Roman" w:hAnsi="Times New Roman" w:eastAsia="宋体" w:cs="Times New Roman"/>
                      <w:kern w:val="2"/>
                      <w:sz w:val="22"/>
                      <w:lang w:val="zh-CN" w:eastAsia="zh-CN" w:bidi="zh-CN"/>
                    </w:rPr>
                  </w:pPr>
                  <w:r>
                    <w:rPr>
                      <w:rFonts w:hint="default" w:ascii="Times New Roman" w:hAnsi="Times New Roman" w:eastAsia="宋体" w:cs="Times New Roman"/>
                      <w:sz w:val="22"/>
                    </w:rPr>
                    <w:t>现状砼路面、房屋前坪拆除</w:t>
                  </w:r>
                </w:p>
              </w:tc>
              <w:tc>
                <w:tcPr>
                  <w:tcW w:w="984"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Φ1000</w:t>
                  </w:r>
                </w:p>
              </w:tc>
              <w:tc>
                <w:tcPr>
                  <w:tcW w:w="1076"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砖砌</w:t>
                  </w:r>
                </w:p>
              </w:tc>
              <w:tc>
                <w:tcPr>
                  <w:tcW w:w="767"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eastAsia" w:ascii="Times New Roman" w:hAnsi="Times New Roman" w:eastAsia="宋体" w:cs="Times New Roman"/>
                      <w:color w:val="auto"/>
                      <w:szCs w:val="21"/>
                      <w:u w:val="none"/>
                      <w:vertAlign w:val="baseline"/>
                      <w:lang w:val="en-US" w:eastAsia="zh-CN"/>
                    </w:rPr>
                    <w:t>m</w:t>
                  </w:r>
                  <w:r>
                    <w:rPr>
                      <w:rFonts w:hint="eastAsia" w:ascii="Times New Roman" w:hAnsi="Times New Roman" w:eastAsia="宋体" w:cs="Times New Roman"/>
                      <w:color w:val="auto"/>
                      <w:szCs w:val="21"/>
                      <w:u w:val="none"/>
                      <w:vertAlign w:val="superscript"/>
                      <w:lang w:val="en-US" w:eastAsia="zh-CN"/>
                    </w:rPr>
                    <w:t>2</w:t>
                  </w:r>
                </w:p>
              </w:tc>
              <w:tc>
                <w:tcPr>
                  <w:tcW w:w="970"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kern w:val="2"/>
                      <w:sz w:val="20"/>
                      <w:lang w:val="zh-CN" w:eastAsia="zh-CN" w:bidi="zh-CN"/>
                    </w:rPr>
                  </w:pPr>
                  <w:r>
                    <w:rPr>
                      <w:rFonts w:hint="default" w:ascii="Times New Roman" w:hAnsi="Times New Roman" w:eastAsia="宋体" w:cs="Times New Roman"/>
                      <w:sz w:val="20"/>
                    </w:rPr>
                    <w:t>490.05</w:t>
                  </w:r>
                </w:p>
              </w:tc>
              <w:tc>
                <w:tcPr>
                  <w:tcW w:w="2266" w:type="dxa"/>
                  <w:tcBorders>
                    <w:tl2br w:val="nil"/>
                    <w:tr2bl w:val="nil"/>
                  </w:tcBorders>
                  <w:vAlign w:val="center"/>
                </w:tcPr>
                <w:p>
                  <w:pPr>
                    <w:jc w:val="center"/>
                    <w:rPr>
                      <w:rFonts w:hint="default" w:ascii="Times New Roman" w:hAnsi="Times New Roman" w:eastAsia="宋体" w:cs="Times New Roman"/>
                      <w:color w:val="auto"/>
                      <w:szCs w:val="21"/>
                      <w:u w:val="none"/>
                      <w:lang w:eastAsia="zh-CN"/>
                    </w:rPr>
                  </w:pPr>
                  <w:r>
                    <w:rPr>
                      <w:rFonts w:hint="default" w:ascii="Times New Roman" w:hAnsi="Times New Roman" w:eastAsia="宋体" w:cs="Times New Roman"/>
                      <w:color w:val="auto"/>
                      <w:szCs w:val="21"/>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0" w:type="dxa"/>
                  <w:tcBorders>
                    <w:tl2br w:val="nil"/>
                    <w:tr2bl w:val="nil"/>
                  </w:tcBorders>
                  <w:vAlign w:val="center"/>
                </w:tcPr>
                <w:p>
                  <w:pPr>
                    <w:jc w:val="center"/>
                    <w:rPr>
                      <w:rFonts w:hint="default" w:ascii="Times New Roman" w:hAnsi="Times New Roman" w:eastAsia="宋体" w:cs="Times New Roman"/>
                      <w:color w:val="auto"/>
                      <w:szCs w:val="21"/>
                      <w:u w:val="none"/>
                      <w:lang w:val="en-US" w:eastAsia="zh-CN"/>
                    </w:rPr>
                  </w:pPr>
                  <w:r>
                    <w:rPr>
                      <w:rFonts w:hint="default" w:ascii="Times New Roman" w:hAnsi="Times New Roman" w:eastAsia="宋体" w:cs="Times New Roman"/>
                      <w:color w:val="auto"/>
                      <w:szCs w:val="21"/>
                      <w:u w:val="none"/>
                      <w:lang w:val="en-US" w:eastAsia="zh-CN"/>
                    </w:rPr>
                    <w:t>5</w:t>
                  </w:r>
                </w:p>
              </w:tc>
              <w:tc>
                <w:tcPr>
                  <w:tcW w:w="1912" w:type="dxa"/>
                  <w:tcBorders>
                    <w:tl2br w:val="nil"/>
                    <w:tr2bl w:val="nil"/>
                  </w:tcBorders>
                  <w:vAlign w:val="center"/>
                </w:tcPr>
                <w:p>
                  <w:pPr>
                    <w:pStyle w:val="47"/>
                    <w:spacing w:before="107"/>
                    <w:ind w:left="43" w:leftChars="0" w:right="29" w:rightChars="0"/>
                    <w:jc w:val="center"/>
                    <w:rPr>
                      <w:rFonts w:hint="default" w:ascii="Times New Roman" w:hAnsi="Times New Roman" w:eastAsia="宋体" w:cs="Times New Roman"/>
                      <w:kern w:val="2"/>
                      <w:sz w:val="22"/>
                      <w:lang w:val="zh-CN" w:eastAsia="zh-CN" w:bidi="zh-CN"/>
                    </w:rPr>
                  </w:pPr>
                  <w:r>
                    <w:rPr>
                      <w:rFonts w:hint="default" w:ascii="Times New Roman" w:hAnsi="Times New Roman" w:eastAsia="宋体" w:cs="Times New Roman"/>
                      <w:sz w:val="22"/>
                    </w:rPr>
                    <w:t>挖沟槽土石方</w:t>
                  </w:r>
                </w:p>
              </w:tc>
              <w:tc>
                <w:tcPr>
                  <w:tcW w:w="984"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Φ315</w:t>
                  </w:r>
                </w:p>
              </w:tc>
              <w:tc>
                <w:tcPr>
                  <w:tcW w:w="1076" w:type="dxa"/>
                  <w:tcBorders>
                    <w:tl2br w:val="nil"/>
                    <w:tr2bl w:val="nil"/>
                  </w:tcBorders>
                  <w:vAlign w:val="center"/>
                </w:tcPr>
                <w:p>
                  <w:pPr>
                    <w:jc w:val="center"/>
                    <w:rPr>
                      <w:rFonts w:hint="eastAsia" w:ascii="Times New Roman" w:hAnsi="Times New Roman" w:eastAsia="宋体" w:cs="Times New Roman"/>
                      <w:color w:val="auto"/>
                      <w:szCs w:val="21"/>
                      <w:u w:val="none"/>
                      <w:lang w:val="en-US" w:eastAsia="zh-CN"/>
                    </w:rPr>
                  </w:pPr>
                  <w:r>
                    <w:rPr>
                      <w:rFonts w:hint="eastAsia" w:ascii="Times New Roman" w:hAnsi="Times New Roman" w:eastAsia="宋体" w:cs="Times New Roman"/>
                      <w:color w:val="auto"/>
                      <w:szCs w:val="21"/>
                      <w:u w:val="none"/>
                      <w:lang w:val="en-US" w:eastAsia="zh-CN"/>
                    </w:rPr>
                    <w:t>/</w:t>
                  </w:r>
                </w:p>
              </w:tc>
              <w:tc>
                <w:tcPr>
                  <w:tcW w:w="767" w:type="dxa"/>
                  <w:tcBorders>
                    <w:tl2br w:val="nil"/>
                    <w:tr2bl w:val="nil"/>
                  </w:tcBorders>
                  <w:vAlign w:val="center"/>
                </w:tcPr>
                <w:p>
                  <w:pPr>
                    <w:jc w:val="center"/>
                    <w:rPr>
                      <w:rFonts w:hint="default" w:ascii="Times New Roman" w:hAnsi="Times New Roman" w:eastAsia="宋体" w:cs="Times New Roman"/>
                      <w:color w:val="auto"/>
                      <w:szCs w:val="21"/>
                      <w:u w:val="none"/>
                    </w:rPr>
                  </w:pPr>
                  <w:r>
                    <w:rPr>
                      <w:rFonts w:hint="eastAsia" w:ascii="Times New Roman" w:hAnsi="Times New Roman" w:eastAsia="宋体" w:cs="Times New Roman"/>
                      <w:color w:val="auto"/>
                      <w:szCs w:val="21"/>
                      <w:u w:val="none"/>
                      <w:vertAlign w:val="baseline"/>
                      <w:lang w:val="en-US" w:eastAsia="zh-CN"/>
                    </w:rPr>
                    <w:t>m</w:t>
                  </w:r>
                  <w:r>
                    <w:rPr>
                      <w:rFonts w:hint="eastAsia" w:ascii="Times New Roman" w:hAnsi="Times New Roman" w:eastAsia="宋体" w:cs="Times New Roman"/>
                      <w:color w:val="auto"/>
                      <w:szCs w:val="21"/>
                      <w:u w:val="none"/>
                      <w:vertAlign w:val="superscript"/>
                      <w:lang w:val="en-US" w:eastAsia="zh-CN"/>
                    </w:rPr>
                    <w:t>2</w:t>
                  </w:r>
                </w:p>
              </w:tc>
              <w:tc>
                <w:tcPr>
                  <w:tcW w:w="970"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kern w:val="2"/>
                      <w:sz w:val="20"/>
                      <w:lang w:val="en-US" w:eastAsia="zh-CN" w:bidi="zh-CN"/>
                    </w:rPr>
                  </w:pPr>
                  <w:r>
                    <w:rPr>
                      <w:rFonts w:hint="default" w:ascii="Times New Roman" w:hAnsi="Times New Roman" w:eastAsia="宋体" w:cs="Times New Roman"/>
                      <w:sz w:val="20"/>
                    </w:rPr>
                    <w:t>16860.72</w:t>
                  </w:r>
                </w:p>
              </w:tc>
              <w:tc>
                <w:tcPr>
                  <w:tcW w:w="2266" w:type="dxa"/>
                  <w:tcBorders>
                    <w:tl2br w:val="nil"/>
                    <w:tr2bl w:val="nil"/>
                  </w:tcBorders>
                  <w:vAlign w:val="center"/>
                </w:tcPr>
                <w:p>
                  <w:pPr>
                    <w:jc w:val="center"/>
                    <w:rPr>
                      <w:rFonts w:hint="default" w:ascii="Times New Roman" w:hAnsi="Times New Roman" w:eastAsia="宋体" w:cs="Times New Roman"/>
                      <w:color w:val="auto"/>
                      <w:szCs w:val="21"/>
                      <w:u w:val="none"/>
                      <w:lang w:eastAsia="zh-CN"/>
                    </w:rPr>
                  </w:pPr>
                  <w:r>
                    <w:rPr>
                      <w:rFonts w:hint="default" w:ascii="Times New Roman" w:hAnsi="Times New Roman" w:eastAsia="宋体" w:cs="Times New Roman"/>
                      <w:color w:val="auto"/>
                      <w:szCs w:val="21"/>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0" w:type="auto"/>
                  <w:vAlign w:val="center"/>
                </w:tcPr>
                <w:p>
                  <w:pPr>
                    <w:jc w:val="center"/>
                    <w:rPr>
                      <w:rFonts w:hint="default" w:ascii="Times New Roman" w:hAnsi="Times New Roman" w:eastAsia="宋体" w:cs="Times New Roman"/>
                      <w:color w:val="auto"/>
                      <w:szCs w:val="21"/>
                      <w:u w:val="none"/>
                      <w:lang w:val="en-US" w:eastAsia="zh-CN"/>
                    </w:rPr>
                  </w:pPr>
                  <w:r>
                    <w:rPr>
                      <w:rFonts w:hint="default" w:ascii="Times New Roman" w:hAnsi="Times New Roman" w:eastAsia="宋体" w:cs="Times New Roman"/>
                      <w:color w:val="auto"/>
                      <w:szCs w:val="21"/>
                      <w:u w:val="none"/>
                      <w:lang w:val="en-US" w:eastAsia="zh-CN"/>
                    </w:rPr>
                    <w:t>6</w:t>
                  </w:r>
                </w:p>
              </w:tc>
              <w:tc>
                <w:tcPr>
                  <w:tcW w:w="0" w:type="auto"/>
                  <w:vAlign w:val="center"/>
                </w:tcPr>
                <w:p>
                  <w:pPr>
                    <w:pStyle w:val="47"/>
                    <w:spacing w:before="107"/>
                    <w:ind w:left="41" w:leftChars="0" w:right="29" w:rightChars="0"/>
                    <w:jc w:val="center"/>
                    <w:rPr>
                      <w:rFonts w:hint="default" w:ascii="Times New Roman" w:hAnsi="Times New Roman" w:eastAsia="宋体" w:cs="Times New Roman"/>
                      <w:kern w:val="2"/>
                      <w:sz w:val="22"/>
                      <w:lang w:val="zh-CN" w:eastAsia="zh-CN" w:bidi="zh-CN"/>
                    </w:rPr>
                  </w:pPr>
                  <w:r>
                    <w:rPr>
                      <w:rFonts w:hint="default" w:ascii="Times New Roman" w:hAnsi="Times New Roman" w:eastAsia="宋体" w:cs="Times New Roman"/>
                      <w:sz w:val="22"/>
                    </w:rPr>
                    <w:t>回填方</w:t>
                  </w:r>
                </w:p>
              </w:tc>
              <w:tc>
                <w:tcPr>
                  <w:tcW w:w="0" w:type="auto"/>
                  <w:vAlign w:val="center"/>
                </w:tcPr>
                <w:p>
                  <w:pPr>
                    <w:jc w:val="center"/>
                    <w:rPr>
                      <w:rFonts w:hint="eastAsia" w:ascii="Times New Roman" w:hAnsi="Times New Roman" w:eastAsia="宋体" w:cs="Times New Roman"/>
                      <w:color w:val="auto"/>
                      <w:szCs w:val="21"/>
                      <w:u w:val="none"/>
                      <w:lang w:val="en-US" w:eastAsia="zh-CN"/>
                    </w:rPr>
                  </w:pPr>
                  <w:r>
                    <w:rPr>
                      <w:rFonts w:hint="eastAsia" w:ascii="Times New Roman" w:hAnsi="Times New Roman" w:eastAsia="宋体" w:cs="Times New Roman"/>
                      <w:color w:val="auto"/>
                      <w:szCs w:val="21"/>
                      <w:u w:val="none"/>
                      <w:lang w:val="en-US" w:eastAsia="zh-CN"/>
                    </w:rPr>
                    <w:t>/</w:t>
                  </w:r>
                </w:p>
              </w:tc>
              <w:tc>
                <w:tcPr>
                  <w:tcW w:w="0" w:type="auto"/>
                  <w:vAlign w:val="center"/>
                </w:tcPr>
                <w:p>
                  <w:pPr>
                    <w:jc w:val="center"/>
                    <w:rPr>
                      <w:rFonts w:hint="default" w:ascii="Times New Roman" w:hAnsi="Times New Roman" w:eastAsia="宋体" w:cs="Times New Roman"/>
                      <w:color w:val="auto"/>
                      <w:szCs w:val="21"/>
                      <w:u w:val="none"/>
                      <w:lang w:val="en-US" w:eastAsia="zh-CN"/>
                    </w:rPr>
                  </w:pPr>
                  <w:r>
                    <w:rPr>
                      <w:rFonts w:hint="eastAsia" w:ascii="Times New Roman" w:hAnsi="Times New Roman" w:eastAsia="宋体" w:cs="Times New Roman"/>
                      <w:color w:val="auto"/>
                      <w:szCs w:val="21"/>
                      <w:u w:val="none"/>
                      <w:lang w:val="en-US" w:eastAsia="zh-CN"/>
                    </w:rPr>
                    <w:t>土石方</w:t>
                  </w:r>
                </w:p>
              </w:tc>
              <w:tc>
                <w:tcPr>
                  <w:tcW w:w="0" w:type="auto"/>
                  <w:vAlign w:val="center"/>
                </w:tcPr>
                <w:p>
                  <w:pPr>
                    <w:jc w:val="center"/>
                    <w:rPr>
                      <w:rFonts w:hint="default" w:ascii="Times New Roman" w:hAnsi="Times New Roman" w:eastAsia="宋体" w:cs="Times New Roman"/>
                      <w:color w:val="auto"/>
                      <w:szCs w:val="21"/>
                      <w:u w:val="none"/>
                      <w:vertAlign w:val="superscript"/>
                      <w:lang w:val="en-US" w:eastAsia="zh-CN"/>
                    </w:rPr>
                  </w:pPr>
                  <w:r>
                    <w:rPr>
                      <w:rFonts w:hint="eastAsia" w:ascii="Times New Roman" w:hAnsi="Times New Roman" w:eastAsia="宋体" w:cs="Times New Roman"/>
                      <w:color w:val="auto"/>
                      <w:szCs w:val="21"/>
                      <w:u w:val="none"/>
                      <w:vertAlign w:val="baseline"/>
                      <w:lang w:val="en-US" w:eastAsia="zh-CN"/>
                    </w:rPr>
                    <w:t>m</w:t>
                  </w:r>
                  <w:r>
                    <w:rPr>
                      <w:rFonts w:hint="eastAsia" w:ascii="Times New Roman" w:hAnsi="Times New Roman" w:eastAsia="宋体" w:cs="Times New Roman"/>
                      <w:color w:val="auto"/>
                      <w:szCs w:val="21"/>
                      <w:u w:val="none"/>
                      <w:vertAlign w:val="superscript"/>
                      <w:lang w:val="en-US" w:eastAsia="zh-CN"/>
                    </w:rPr>
                    <w:t>2</w:t>
                  </w:r>
                </w:p>
              </w:tc>
              <w:tc>
                <w:tcPr>
                  <w:tcW w:w="0" w:type="auto"/>
                  <w:vAlign w:val="center"/>
                </w:tcPr>
                <w:p>
                  <w:pPr>
                    <w:pStyle w:val="47"/>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kern w:val="2"/>
                      <w:sz w:val="20"/>
                      <w:lang w:val="en-US" w:eastAsia="zh-CN" w:bidi="zh-CN"/>
                    </w:rPr>
                  </w:pPr>
                  <w:r>
                    <w:rPr>
                      <w:rFonts w:hint="default" w:ascii="Times New Roman" w:hAnsi="Times New Roman" w:eastAsia="宋体" w:cs="Times New Roman"/>
                      <w:sz w:val="20"/>
                    </w:rPr>
                    <w:t>10343.65</w:t>
                  </w:r>
                </w:p>
              </w:tc>
              <w:tc>
                <w:tcPr>
                  <w:tcW w:w="0" w:type="auto"/>
                  <w:vAlign w:val="center"/>
                </w:tcPr>
                <w:p>
                  <w:pPr>
                    <w:jc w:val="center"/>
                    <w:rPr>
                      <w:rFonts w:hint="default" w:ascii="Times New Roman" w:hAnsi="Times New Roman" w:eastAsia="宋体" w:cs="Times New Roman"/>
                      <w:color w:val="auto"/>
                      <w:szCs w:val="21"/>
                      <w:u w:val="none"/>
                      <w:lang w:val="en-US" w:eastAsia="zh-CN"/>
                    </w:rPr>
                  </w:pPr>
                  <w:r>
                    <w:rPr>
                      <w:rFonts w:hint="eastAsia" w:ascii="Times New Roman" w:hAnsi="Times New Roman" w:eastAsia="宋体" w:cs="Times New Roman"/>
                      <w:color w:val="auto"/>
                      <w:szCs w:val="21"/>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0" w:type="auto"/>
                  <w:vAlign w:val="center"/>
                </w:tcPr>
                <w:p>
                  <w:pPr>
                    <w:jc w:val="center"/>
                    <w:rPr>
                      <w:rFonts w:hint="default" w:ascii="Times New Roman" w:hAnsi="Times New Roman" w:eastAsia="宋体" w:cs="Times New Roman"/>
                      <w:color w:val="auto"/>
                      <w:szCs w:val="21"/>
                      <w:u w:val="none"/>
                      <w:lang w:val="en-US" w:eastAsia="zh-CN"/>
                    </w:rPr>
                  </w:pPr>
                  <w:r>
                    <w:rPr>
                      <w:rFonts w:hint="default" w:ascii="Times New Roman" w:hAnsi="Times New Roman" w:eastAsia="宋体" w:cs="Times New Roman"/>
                      <w:color w:val="auto"/>
                      <w:szCs w:val="21"/>
                      <w:u w:val="none"/>
                      <w:lang w:val="en-US" w:eastAsia="zh-CN"/>
                    </w:rPr>
                    <w:t>7</w:t>
                  </w:r>
                </w:p>
              </w:tc>
              <w:tc>
                <w:tcPr>
                  <w:tcW w:w="0" w:type="auto"/>
                  <w:vAlign w:val="center"/>
                </w:tcPr>
                <w:p>
                  <w:pPr>
                    <w:pStyle w:val="47"/>
                    <w:spacing w:before="108"/>
                    <w:ind w:left="45" w:leftChars="0" w:right="29" w:rightChars="0"/>
                    <w:jc w:val="center"/>
                    <w:rPr>
                      <w:rFonts w:hint="default" w:ascii="Times New Roman" w:hAnsi="Times New Roman" w:eastAsia="宋体" w:cs="Times New Roman"/>
                      <w:kern w:val="2"/>
                      <w:sz w:val="22"/>
                      <w:lang w:val="zh-CN" w:eastAsia="zh-CN" w:bidi="zh-CN"/>
                    </w:rPr>
                  </w:pPr>
                  <w:r>
                    <w:rPr>
                      <w:rFonts w:hint="default" w:ascii="Times New Roman" w:hAnsi="Times New Roman" w:eastAsia="宋体" w:cs="Times New Roman"/>
                      <w:sz w:val="22"/>
                    </w:rPr>
                    <w:t>现状砼路面、房屋前坪恢复</w:t>
                  </w:r>
                </w:p>
              </w:tc>
              <w:tc>
                <w:tcPr>
                  <w:tcW w:w="0" w:type="auto"/>
                  <w:vAlign w:val="center"/>
                </w:tcPr>
                <w:p>
                  <w:pPr>
                    <w:jc w:val="center"/>
                    <w:rPr>
                      <w:rFonts w:hint="eastAsia" w:ascii="Times New Roman" w:hAnsi="Times New Roman" w:eastAsia="宋体" w:cs="Times New Roman"/>
                      <w:color w:val="auto"/>
                      <w:szCs w:val="21"/>
                      <w:u w:val="none"/>
                      <w:lang w:val="en-US" w:eastAsia="zh-CN"/>
                    </w:rPr>
                  </w:pPr>
                  <w:r>
                    <w:rPr>
                      <w:rFonts w:hint="eastAsia" w:ascii="Times New Roman" w:hAnsi="Times New Roman" w:eastAsia="宋体" w:cs="Times New Roman"/>
                      <w:color w:val="auto"/>
                      <w:szCs w:val="21"/>
                      <w:u w:val="none"/>
                      <w:lang w:val="en-US" w:eastAsia="zh-CN"/>
                    </w:rPr>
                    <w:t>/</w:t>
                  </w:r>
                </w:p>
              </w:tc>
              <w:tc>
                <w:tcPr>
                  <w:tcW w:w="0" w:type="auto"/>
                  <w:vAlign w:val="center"/>
                </w:tcPr>
                <w:p>
                  <w:pPr>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钢筋砼</w:t>
                  </w:r>
                </w:p>
              </w:tc>
              <w:tc>
                <w:tcPr>
                  <w:tcW w:w="0" w:type="auto"/>
                  <w:vAlign w:val="center"/>
                </w:tcPr>
                <w:p>
                  <w:pPr>
                    <w:jc w:val="center"/>
                    <w:rPr>
                      <w:rFonts w:hint="default" w:ascii="Times New Roman" w:hAnsi="Times New Roman" w:eastAsia="宋体" w:cs="Times New Roman"/>
                      <w:color w:val="auto"/>
                      <w:szCs w:val="21"/>
                      <w:u w:val="none"/>
                    </w:rPr>
                  </w:pPr>
                  <w:r>
                    <w:rPr>
                      <w:rFonts w:hint="eastAsia" w:ascii="Times New Roman" w:hAnsi="Times New Roman" w:eastAsia="宋体" w:cs="Times New Roman"/>
                      <w:color w:val="auto"/>
                      <w:szCs w:val="21"/>
                      <w:u w:val="none"/>
                      <w:vertAlign w:val="baseline"/>
                      <w:lang w:val="en-US" w:eastAsia="zh-CN"/>
                    </w:rPr>
                    <w:t>m</w:t>
                  </w:r>
                  <w:r>
                    <w:rPr>
                      <w:rFonts w:hint="eastAsia" w:ascii="Times New Roman" w:hAnsi="Times New Roman" w:eastAsia="宋体" w:cs="Times New Roman"/>
                      <w:color w:val="auto"/>
                      <w:szCs w:val="21"/>
                      <w:u w:val="none"/>
                      <w:vertAlign w:val="superscript"/>
                      <w:lang w:val="en-US" w:eastAsia="zh-CN"/>
                    </w:rPr>
                    <w:t>2</w:t>
                  </w:r>
                </w:p>
              </w:tc>
              <w:tc>
                <w:tcPr>
                  <w:tcW w:w="0" w:type="auto"/>
                  <w:vAlign w:val="center"/>
                </w:tcPr>
                <w:p>
                  <w:pPr>
                    <w:pStyle w:val="47"/>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kern w:val="2"/>
                      <w:sz w:val="20"/>
                      <w:lang w:val="en-US" w:eastAsia="zh-CN" w:bidi="zh-CN"/>
                    </w:rPr>
                  </w:pPr>
                  <w:r>
                    <w:rPr>
                      <w:rFonts w:hint="default" w:ascii="Times New Roman" w:hAnsi="Times New Roman" w:eastAsia="宋体" w:cs="Times New Roman"/>
                      <w:sz w:val="20"/>
                    </w:rPr>
                    <w:t>490.05</w:t>
                  </w:r>
                </w:p>
              </w:tc>
              <w:tc>
                <w:tcPr>
                  <w:tcW w:w="0" w:type="auto"/>
                  <w:vAlign w:val="center"/>
                </w:tcPr>
                <w:p>
                  <w:pPr>
                    <w:jc w:val="center"/>
                    <w:rPr>
                      <w:rFonts w:hint="default" w:ascii="Times New Roman" w:hAnsi="Times New Roman" w:eastAsia="宋体" w:cs="Times New Roman"/>
                      <w:color w:val="auto"/>
                      <w:szCs w:val="21"/>
                      <w:u w:val="none"/>
                      <w:lang w:val="en-US" w:eastAsia="zh-CN"/>
                    </w:rPr>
                  </w:pPr>
                  <w:r>
                    <w:rPr>
                      <w:rFonts w:hint="eastAsia" w:ascii="Times New Roman" w:hAnsi="Times New Roman" w:eastAsia="宋体" w:cs="Times New Roman"/>
                      <w:color w:val="auto"/>
                      <w:szCs w:val="21"/>
                      <w:u w:val="none"/>
                      <w:lang w:val="en-US" w:eastAsia="zh-CN"/>
                    </w:rPr>
                    <w:t>/</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none"/>
              </w:rPr>
            </w:pPr>
            <w:r>
              <w:rPr>
                <w:rFonts w:hint="eastAsia"/>
                <w:b/>
                <w:bCs/>
                <w:color w:val="auto"/>
                <w:sz w:val="24"/>
                <w:szCs w:val="24"/>
                <w:u w:val="none"/>
              </w:rPr>
              <w:t>项目平面布置</w:t>
            </w:r>
          </w:p>
          <w:p>
            <w:pPr>
              <w:keepNext w:val="0"/>
              <w:keepLines w:val="0"/>
              <w:pageBreakBefore w:val="0"/>
              <w:widowControl w:val="0"/>
              <w:tabs>
                <w:tab w:val="left" w:pos="7920"/>
              </w:tabs>
              <w:kinsoku/>
              <w:wordWrap/>
              <w:overflowPunct/>
              <w:topLinePunct w:val="0"/>
              <w:autoSpaceDE/>
              <w:autoSpaceDN/>
              <w:bidi w:val="0"/>
              <w:adjustRightInd w:val="0"/>
              <w:snapToGrid w:val="0"/>
              <w:spacing w:line="360" w:lineRule="auto"/>
              <w:ind w:firstLine="480" w:firstLineChars="200"/>
              <w:textAlignment w:val="auto"/>
              <w:rPr>
                <w:color w:val="auto"/>
                <w:sz w:val="24"/>
                <w:szCs w:val="24"/>
                <w:u w:val="none"/>
              </w:rPr>
            </w:pPr>
            <w:r>
              <w:rPr>
                <w:rFonts w:hint="eastAsia"/>
                <w:color w:val="auto"/>
                <w:sz w:val="24"/>
                <w:szCs w:val="24"/>
                <w:u w:val="none"/>
              </w:rPr>
              <w:t>本项目厂区按照不同的功能区分为办公区、污水区和污泥区。污水区位于厂区</w:t>
            </w:r>
            <w:r>
              <w:rPr>
                <w:rFonts w:hint="eastAsia"/>
                <w:color w:val="auto"/>
                <w:sz w:val="24"/>
                <w:szCs w:val="24"/>
                <w:u w:val="none"/>
                <w:lang w:eastAsia="zh-CN"/>
              </w:rPr>
              <w:t>南</w:t>
            </w:r>
            <w:r>
              <w:rPr>
                <w:rFonts w:hint="eastAsia"/>
                <w:color w:val="auto"/>
                <w:sz w:val="24"/>
                <w:szCs w:val="24"/>
                <w:u w:val="none"/>
              </w:rPr>
              <w:t>侧，污泥区位于厂内</w:t>
            </w:r>
            <w:r>
              <w:rPr>
                <w:rFonts w:hint="eastAsia"/>
                <w:color w:val="auto"/>
                <w:sz w:val="24"/>
                <w:szCs w:val="24"/>
                <w:u w:val="none"/>
                <w:lang w:eastAsia="zh-CN"/>
              </w:rPr>
              <w:t>东南</w:t>
            </w:r>
            <w:r>
              <w:rPr>
                <w:rFonts w:hint="eastAsia"/>
                <w:color w:val="auto"/>
                <w:sz w:val="24"/>
                <w:szCs w:val="24"/>
                <w:u w:val="none"/>
              </w:rPr>
              <w:t>面，区域主要风向为东</w:t>
            </w:r>
            <w:r>
              <w:rPr>
                <w:rFonts w:hint="eastAsia"/>
                <w:color w:val="auto"/>
                <w:sz w:val="24"/>
                <w:szCs w:val="24"/>
                <w:u w:val="none"/>
                <w:lang w:eastAsia="zh-CN"/>
              </w:rPr>
              <w:t>北</w:t>
            </w:r>
            <w:r>
              <w:rPr>
                <w:rFonts w:hint="eastAsia"/>
                <w:color w:val="auto"/>
                <w:sz w:val="24"/>
                <w:szCs w:val="24"/>
                <w:u w:val="none"/>
              </w:rPr>
              <w:t>风，办公区</w:t>
            </w:r>
            <w:r>
              <w:rPr>
                <w:rFonts w:hint="eastAsia"/>
                <w:color w:val="auto"/>
                <w:sz w:val="24"/>
                <w:szCs w:val="24"/>
                <w:u w:val="none"/>
                <w:lang w:eastAsia="zh-CN"/>
              </w:rPr>
              <w:t>位于</w:t>
            </w:r>
            <w:r>
              <w:rPr>
                <w:rFonts w:hint="eastAsia"/>
                <w:color w:val="auto"/>
                <w:sz w:val="24"/>
                <w:szCs w:val="24"/>
                <w:u w:val="none"/>
              </w:rPr>
              <w:t>厂区东</w:t>
            </w:r>
            <w:r>
              <w:rPr>
                <w:rFonts w:hint="eastAsia"/>
                <w:color w:val="auto"/>
                <w:sz w:val="24"/>
                <w:szCs w:val="24"/>
                <w:u w:val="none"/>
                <w:lang w:eastAsia="zh-CN"/>
              </w:rPr>
              <w:t>北</w:t>
            </w:r>
            <w:r>
              <w:rPr>
                <w:rFonts w:hint="eastAsia"/>
                <w:color w:val="auto"/>
                <w:sz w:val="24"/>
                <w:szCs w:val="24"/>
                <w:u w:val="none"/>
              </w:rPr>
              <w:t>侧，位于其上风向，降低其运营过程中产生的恶臭气味对</w:t>
            </w:r>
            <w:r>
              <w:rPr>
                <w:rFonts w:hint="eastAsia"/>
                <w:color w:val="auto"/>
                <w:sz w:val="24"/>
                <w:szCs w:val="24"/>
                <w:u w:val="none"/>
                <w:lang w:eastAsia="zh-CN"/>
              </w:rPr>
              <w:t>工作</w:t>
            </w:r>
            <w:r>
              <w:rPr>
                <w:rFonts w:hint="eastAsia"/>
                <w:color w:val="auto"/>
                <w:sz w:val="24"/>
                <w:szCs w:val="24"/>
                <w:u w:val="none"/>
              </w:rPr>
              <w:t>人员的影响；</w:t>
            </w:r>
            <w:r>
              <w:rPr>
                <w:rFonts w:hint="default" w:ascii="Times New Roman" w:hAnsi="Times New Roman" w:eastAsia="宋体" w:cs="Times New Roman"/>
                <w:color w:val="auto"/>
                <w:kern w:val="2"/>
                <w:sz w:val="24"/>
                <w:szCs w:val="22"/>
                <w:u w:val="none"/>
                <w:lang w:val="en-US" w:eastAsia="zh-CN" w:bidi="ar-SA"/>
              </w:rPr>
              <w:t>厂界四周均设绿化带，厂区绿化以花草树木为主，可有效降低恶臭气体及噪声对外环境的影响。</w:t>
            </w:r>
            <w:r>
              <w:rPr>
                <w:rFonts w:hint="eastAsia"/>
                <w:color w:val="auto"/>
                <w:sz w:val="24"/>
                <w:szCs w:val="24"/>
                <w:u w:val="none"/>
              </w:rPr>
              <w:t>项目所在区域地势</w:t>
            </w:r>
            <w:r>
              <w:rPr>
                <w:rFonts w:hint="eastAsia"/>
                <w:color w:val="auto"/>
                <w:sz w:val="24"/>
                <w:szCs w:val="24"/>
                <w:u w:val="none"/>
                <w:lang w:eastAsia="zh-CN"/>
              </w:rPr>
              <w:t>北</w:t>
            </w:r>
            <w:r>
              <w:rPr>
                <w:rFonts w:hint="eastAsia"/>
                <w:color w:val="auto"/>
                <w:sz w:val="24"/>
                <w:szCs w:val="24"/>
                <w:u w:val="none"/>
              </w:rPr>
              <w:t>高</w:t>
            </w:r>
            <w:r>
              <w:rPr>
                <w:rFonts w:hint="eastAsia"/>
                <w:color w:val="auto"/>
                <w:sz w:val="24"/>
                <w:szCs w:val="24"/>
                <w:u w:val="none"/>
                <w:lang w:eastAsia="zh-CN"/>
              </w:rPr>
              <w:t>南</w:t>
            </w:r>
            <w:r>
              <w:rPr>
                <w:rFonts w:hint="eastAsia"/>
                <w:color w:val="auto"/>
                <w:sz w:val="24"/>
                <w:szCs w:val="24"/>
                <w:u w:val="none"/>
              </w:rPr>
              <w:t>低，污水均可以自流入污水区，极大的节省了能源及人力。</w:t>
            </w:r>
            <w:r>
              <w:rPr>
                <w:rFonts w:hint="eastAsia"/>
                <w:color w:val="auto"/>
                <w:sz w:val="24"/>
                <w:szCs w:val="24"/>
                <w:u w:val="none"/>
                <w:lang w:eastAsia="zh-CN"/>
              </w:rPr>
              <w:t>排放池靠近纳污水体一侧布置，不需穿越建筑物，</w:t>
            </w:r>
            <w:r>
              <w:rPr>
                <w:rFonts w:hint="default" w:eastAsia="宋体"/>
                <w:color w:val="auto"/>
                <w:sz w:val="24"/>
                <w:szCs w:val="22"/>
                <w:highlight w:val="none"/>
                <w:u w:val="none"/>
                <w:lang w:val="en-US" w:eastAsia="zh-CN"/>
              </w:rPr>
              <w:t>污水经处理后可就近排入</w:t>
            </w:r>
            <w:r>
              <w:rPr>
                <w:rFonts w:hint="eastAsia"/>
                <w:color w:val="auto"/>
                <w:sz w:val="24"/>
                <w:szCs w:val="22"/>
                <w:highlight w:val="none"/>
                <w:u w:val="none"/>
                <w:lang w:val="en-US" w:eastAsia="zh-CN"/>
              </w:rPr>
              <w:t>邵水</w:t>
            </w:r>
            <w:r>
              <w:rPr>
                <w:rFonts w:hint="default" w:eastAsia="宋体"/>
                <w:color w:val="auto"/>
                <w:sz w:val="24"/>
                <w:szCs w:val="22"/>
                <w:highlight w:val="none"/>
                <w:u w:val="none"/>
                <w:lang w:val="en-US" w:eastAsia="zh-CN"/>
              </w:rPr>
              <w:t>，有利于排水。</w:t>
            </w:r>
            <w:r>
              <w:rPr>
                <w:rFonts w:hint="eastAsia"/>
                <w:color w:val="auto"/>
                <w:sz w:val="24"/>
                <w:szCs w:val="24"/>
                <w:u w:val="none"/>
              </w:rPr>
              <w:t>厂区平面图详见附图2。</w:t>
            </w:r>
          </w:p>
          <w:p>
            <w:pPr>
              <w:numPr>
                <w:ilvl w:val="0"/>
                <w:numId w:val="1"/>
              </w:numPr>
              <w:adjustRightInd w:val="0"/>
              <w:snapToGrid w:val="0"/>
              <w:spacing w:line="360" w:lineRule="auto"/>
              <w:ind w:firstLine="482" w:firstLineChars="200"/>
              <w:rPr>
                <w:b/>
                <w:bCs/>
                <w:color w:val="auto"/>
                <w:sz w:val="24"/>
                <w:szCs w:val="24"/>
                <w:u w:val="none"/>
              </w:rPr>
            </w:pPr>
            <w:r>
              <w:rPr>
                <w:rFonts w:hint="eastAsia"/>
                <w:b/>
                <w:bCs/>
                <w:color w:val="auto"/>
                <w:sz w:val="24"/>
                <w:szCs w:val="24"/>
                <w:u w:val="none"/>
              </w:rPr>
              <w:t>工艺设备</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color w:val="auto"/>
                <w:sz w:val="24"/>
                <w:szCs w:val="24"/>
                <w:u w:val="none"/>
              </w:rPr>
            </w:pPr>
            <w:r>
              <w:rPr>
                <w:rFonts w:hint="eastAsia"/>
                <w:color w:val="auto"/>
                <w:sz w:val="24"/>
                <w:szCs w:val="24"/>
                <w:u w:val="none"/>
              </w:rPr>
              <w:t>厂内运营期工艺设备明细如</w:t>
            </w:r>
            <w:r>
              <w:rPr>
                <w:rFonts w:hint="eastAsia"/>
                <w:color w:val="auto"/>
                <w:sz w:val="24"/>
                <w:szCs w:val="24"/>
                <w:u w:val="none"/>
                <w:lang w:eastAsia="zh-CN"/>
              </w:rPr>
              <w:t>表</w:t>
            </w:r>
            <w:r>
              <w:rPr>
                <w:rFonts w:hint="eastAsia"/>
                <w:color w:val="auto"/>
                <w:sz w:val="24"/>
                <w:szCs w:val="24"/>
                <w:u w:val="none"/>
                <w:lang w:val="en-US" w:eastAsia="zh-CN"/>
              </w:rPr>
              <w:t>1-4</w:t>
            </w:r>
            <w:r>
              <w:rPr>
                <w:rFonts w:hint="eastAsia"/>
                <w:color w:val="auto"/>
                <w:sz w:val="24"/>
                <w:szCs w:val="24"/>
                <w:u w:val="none"/>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Cs w:val="21"/>
                <w:u w:val="none"/>
              </w:rPr>
            </w:pPr>
            <w:r>
              <w:rPr>
                <w:rFonts w:hint="eastAsia"/>
                <w:b/>
                <w:bCs/>
                <w:color w:val="auto"/>
                <w:szCs w:val="21"/>
                <w:u w:val="none"/>
              </w:rPr>
              <w:t>表1-4  工艺设备明细</w:t>
            </w:r>
          </w:p>
          <w:tbl>
            <w:tblPr>
              <w:tblStyle w:val="27"/>
              <w:tblW w:w="89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905"/>
              <w:gridCol w:w="2719"/>
              <w:gridCol w:w="660"/>
              <w:gridCol w:w="690"/>
              <w:gridCol w:w="18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功能区</w:t>
                  </w: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设备名称</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设备参数</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数量</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单位</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5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kern w:val="0"/>
                      <w:szCs w:val="21"/>
                      <w:u w:val="none"/>
                      <w:lang w:eastAsia="zh-CN"/>
                    </w:rPr>
                  </w:pPr>
                  <w:r>
                    <w:rPr>
                      <w:color w:val="auto"/>
                      <w:kern w:val="0"/>
                      <w:szCs w:val="21"/>
                      <w:u w:val="none"/>
                    </w:rPr>
                    <w:t>格栅</w:t>
                  </w:r>
                  <w:r>
                    <w:rPr>
                      <w:rFonts w:hint="eastAsia"/>
                      <w:color w:val="auto"/>
                      <w:kern w:val="0"/>
                      <w:szCs w:val="21"/>
                      <w:u w:val="none"/>
                      <w:lang w:eastAsia="zh-CN"/>
                    </w:rPr>
                    <w:t>渠</w:t>
                  </w: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0"/>
                      <w:sz w:val="21"/>
                      <w:szCs w:val="21"/>
                      <w:u w:val="none"/>
                      <w:lang w:val="en-US" w:eastAsia="zh-CN" w:bidi="ar-SA"/>
                    </w:rPr>
                  </w:pPr>
                  <w:r>
                    <w:rPr>
                      <w:color w:val="auto"/>
                      <w:kern w:val="0"/>
                      <w:szCs w:val="21"/>
                      <w:u w:val="none"/>
                    </w:rPr>
                    <w:t>循环式齿耙清污机</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0"/>
                      <w:sz w:val="21"/>
                      <w:szCs w:val="21"/>
                      <w:u w:val="none"/>
                      <w:lang w:val="en-US" w:eastAsia="zh-CN" w:bidi="ar-SA"/>
                    </w:rPr>
                  </w:pPr>
                  <w:r>
                    <w:rPr>
                      <w:color w:val="auto"/>
                      <w:szCs w:val="21"/>
                      <w:u w:val="none"/>
                    </w:rPr>
                    <w:t>渠宽度：0.7m</w:t>
                  </w:r>
                  <w:r>
                    <w:rPr>
                      <w:rFonts w:hint="eastAsia"/>
                      <w:color w:val="auto"/>
                      <w:szCs w:val="21"/>
                      <w:u w:val="none"/>
                      <w:lang w:eastAsia="zh-CN"/>
                    </w:rPr>
                    <w:t>；</w:t>
                  </w:r>
                  <w:r>
                    <w:rPr>
                      <w:color w:val="auto"/>
                      <w:szCs w:val="21"/>
                      <w:u w:val="none"/>
                    </w:rPr>
                    <w:t>安装角度：75°</w:t>
                  </w:r>
                  <w:r>
                    <w:rPr>
                      <w:rFonts w:hint="eastAsia"/>
                      <w:color w:val="auto"/>
                      <w:szCs w:val="21"/>
                      <w:u w:val="none"/>
                      <w:lang w:eastAsia="zh-CN"/>
                    </w:rPr>
                    <w:t>；</w:t>
                  </w:r>
                  <w:r>
                    <w:rPr>
                      <w:color w:val="auto"/>
                      <w:szCs w:val="21"/>
                      <w:u w:val="none"/>
                    </w:rPr>
                    <w:t>栅条间隙：10 mm</w:t>
                  </w:r>
                  <w:r>
                    <w:rPr>
                      <w:rFonts w:hint="eastAsia"/>
                      <w:color w:val="auto"/>
                      <w:szCs w:val="21"/>
                      <w:u w:val="none"/>
                      <w:lang w:eastAsia="zh-CN"/>
                    </w:rPr>
                    <w:t>；</w:t>
                  </w:r>
                  <w:r>
                    <w:rPr>
                      <w:color w:val="auto"/>
                      <w:szCs w:val="21"/>
                      <w:u w:val="none"/>
                    </w:rPr>
                    <w:t>栅前水深：0.4</w:t>
                  </w:r>
                  <w:r>
                    <w:rPr>
                      <w:rFonts w:hint="eastAsia"/>
                      <w:color w:val="auto"/>
                      <w:szCs w:val="21"/>
                      <w:u w:val="none"/>
                      <w:lang w:val="en-US" w:eastAsia="zh-CN"/>
                    </w:rPr>
                    <w:t>m；</w:t>
                  </w:r>
                  <w:r>
                    <w:rPr>
                      <w:color w:val="auto"/>
                      <w:szCs w:val="21"/>
                      <w:u w:val="none"/>
                    </w:rPr>
                    <w:t>过栅流速：0.5-1.0</w:t>
                  </w:r>
                  <w:r>
                    <w:rPr>
                      <w:rFonts w:hint="eastAsia"/>
                      <w:color w:val="auto"/>
                      <w:szCs w:val="21"/>
                      <w:u w:val="none"/>
                      <w:lang w:val="en-US" w:eastAsia="zh-CN"/>
                    </w:rPr>
                    <w:t>m/s</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21"/>
                      <w:szCs w:val="21"/>
                      <w:u w:val="none"/>
                      <w:lang w:val="en-US" w:eastAsia="zh-CN" w:bidi="ar-SA"/>
                    </w:rPr>
                  </w:pPr>
                  <w:r>
                    <w:rPr>
                      <w:color w:val="auto"/>
                      <w:szCs w:val="21"/>
                      <w:u w:val="none"/>
                    </w:rPr>
                    <w:t>1</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kern w:val="0"/>
                      <w:szCs w:val="21"/>
                      <w:u w:val="none"/>
                      <w:lang w:eastAsia="zh-CN"/>
                    </w:rPr>
                  </w:pPr>
                  <w:r>
                    <w:rPr>
                      <w:rFonts w:hint="eastAsia"/>
                      <w:color w:val="auto"/>
                      <w:kern w:val="0"/>
                      <w:szCs w:val="21"/>
                      <w:u w:val="none"/>
                      <w:lang w:eastAsia="zh-CN"/>
                    </w:rPr>
                    <w:t>套</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rFonts w:hint="eastAsia"/>
                      <w:color w:val="auto"/>
                      <w:kern w:val="0"/>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t>栅渣小推车</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kern w:val="0"/>
                      <w:szCs w:val="21"/>
                      <w:u w:val="none"/>
                      <w:lang w:val="en-US" w:eastAsia="zh-CN"/>
                    </w:rPr>
                  </w:pPr>
                  <w:r>
                    <w:rPr>
                      <w:sz w:val="21"/>
                    </w:rPr>
                    <w:t>V=0.5m</w:t>
                  </w:r>
                  <w:r>
                    <w:rPr>
                      <w:position w:val="7"/>
                      <w:sz w:val="13"/>
                    </w:rPr>
                    <w:t>3</w:t>
                  </w:r>
                  <w:r>
                    <w:rPr>
                      <w:rFonts w:hint="eastAsia" w:ascii="宋体" w:eastAsia="宋体"/>
                      <w:sz w:val="21"/>
                    </w:rPr>
                    <w:t>，</w:t>
                  </w:r>
                  <w:r>
                    <w:rPr>
                      <w:sz w:val="21"/>
                    </w:rPr>
                    <w:t>SS304</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szCs w:val="21"/>
                      <w:u w:val="none"/>
                      <w:lang w:val="en-US" w:eastAsia="zh-CN"/>
                    </w:rPr>
                  </w:pPr>
                  <w:r>
                    <w:rPr>
                      <w:rFonts w:hint="eastAsia"/>
                      <w:color w:val="auto"/>
                      <w:szCs w:val="21"/>
                      <w:u w:val="none"/>
                      <w:lang w:val="en-US" w:eastAsia="zh-CN"/>
                    </w:rPr>
                    <w:t>1</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kern w:val="0"/>
                      <w:szCs w:val="21"/>
                      <w:u w:val="none"/>
                      <w:lang w:eastAsia="zh-CN"/>
                    </w:rPr>
                  </w:pPr>
                  <w:r>
                    <w:rPr>
                      <w:rFonts w:hint="eastAsia" w:ascii="宋体" w:eastAsia="宋体"/>
                      <w:sz w:val="21"/>
                    </w:rPr>
                    <w:t>台</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rFonts w:hint="eastAsia"/>
                      <w:color w:val="auto"/>
                      <w:kern w:val="0"/>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闸门</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szCs w:val="21"/>
                      <w:u w:val="none"/>
                      <w:lang w:eastAsia="zh-CN"/>
                    </w:rPr>
                  </w:pPr>
                  <w:r>
                    <w:rPr>
                      <w:rFonts w:hint="eastAsia"/>
                      <w:color w:val="auto"/>
                      <w:szCs w:val="21"/>
                      <w:u w:val="none"/>
                      <w:lang w:val="en-US" w:eastAsia="zh-CN"/>
                    </w:rPr>
                    <w:t>B</w:t>
                  </w:r>
                  <w:r>
                    <w:rPr>
                      <w:color w:val="auto"/>
                      <w:szCs w:val="21"/>
                      <w:u w:val="none"/>
                    </w:rPr>
                    <w:t>×H=0.</w:t>
                  </w:r>
                  <w:r>
                    <w:rPr>
                      <w:rFonts w:hint="eastAsia"/>
                      <w:color w:val="auto"/>
                      <w:szCs w:val="21"/>
                      <w:u w:val="none"/>
                      <w:lang w:val="en-US" w:eastAsia="zh-CN"/>
                    </w:rPr>
                    <w:t>4</w:t>
                  </w:r>
                  <w:r>
                    <w:rPr>
                      <w:color w:val="auto"/>
                      <w:szCs w:val="21"/>
                      <w:u w:val="none"/>
                    </w:rPr>
                    <w:t>×0.</w:t>
                  </w:r>
                  <w:r>
                    <w:rPr>
                      <w:rFonts w:hint="eastAsia"/>
                      <w:color w:val="auto"/>
                      <w:szCs w:val="21"/>
                      <w:u w:val="none"/>
                      <w:lang w:val="en-US" w:eastAsia="zh-CN"/>
                    </w:rPr>
                    <w:t>4</w:t>
                  </w:r>
                  <w:r>
                    <w:rPr>
                      <w:color w:val="auto"/>
                      <w:szCs w:val="21"/>
                      <w:u w:val="none"/>
                    </w:rPr>
                    <w:t>m</w:t>
                  </w:r>
                  <w:r>
                    <w:rPr>
                      <w:rFonts w:hint="eastAsia" w:ascii="宋体" w:eastAsia="宋体"/>
                      <w:sz w:val="21"/>
                    </w:rPr>
                    <w:t>，配套手动启闭机</w:t>
                  </w:r>
                  <w:r>
                    <w:rPr>
                      <w:rFonts w:hint="eastAsia" w:ascii="宋体" w:eastAsia="宋体"/>
                      <w:sz w:val="21"/>
                      <w:lang w:eastAsia="zh-CN"/>
                    </w:rPr>
                    <w:t>，</w:t>
                  </w:r>
                  <w:r>
                    <w:rPr>
                      <w:rFonts w:hint="eastAsia" w:ascii="宋体" w:eastAsia="宋体"/>
                      <w:sz w:val="21"/>
                    </w:rPr>
                    <w:t>上开式</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1</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rFonts w:hint="eastAsia" w:ascii="宋体" w:eastAsia="宋体"/>
                      <w:sz w:val="21"/>
                    </w:rPr>
                    <w:t>座</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rFonts w:hint="eastAsia"/>
                      <w:color w:val="auto"/>
                      <w:kern w:val="0"/>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超声波液位差计</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0-</w:t>
                  </w:r>
                  <w:r>
                    <w:rPr>
                      <w:rFonts w:hint="eastAsia"/>
                      <w:color w:val="auto"/>
                      <w:szCs w:val="21"/>
                      <w:u w:val="none"/>
                      <w:lang w:val="en-US" w:eastAsia="zh-CN"/>
                    </w:rPr>
                    <w:t>5</w:t>
                  </w:r>
                  <w:r>
                    <w:rPr>
                      <w:color w:val="auto"/>
                      <w:szCs w:val="21"/>
                      <w:u w:val="none"/>
                    </w:rPr>
                    <w:t>m</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szCs w:val="21"/>
                      <w:u w:val="none"/>
                      <w:lang w:eastAsia="zh-CN"/>
                    </w:rPr>
                  </w:pPr>
                  <w:r>
                    <w:rPr>
                      <w:rFonts w:hint="eastAsia"/>
                      <w:color w:val="auto"/>
                      <w:szCs w:val="21"/>
                      <w:u w:val="none"/>
                      <w:lang w:val="en-US" w:eastAsia="zh-CN"/>
                    </w:rPr>
                    <w:t>1</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kern w:val="0"/>
                      <w:szCs w:val="21"/>
                      <w:u w:val="none"/>
                      <w:lang w:eastAsia="zh-CN"/>
                    </w:rPr>
                  </w:pPr>
                  <w:r>
                    <w:rPr>
                      <w:rFonts w:hint="eastAsia" w:ascii="宋体" w:eastAsia="宋体"/>
                      <w:sz w:val="21"/>
                    </w:rPr>
                    <w:t>台</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rFonts w:hint="eastAsia"/>
                      <w:color w:val="auto"/>
                      <w:kern w:val="0"/>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5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调节池</w:t>
                  </w: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rFonts w:hint="eastAsia"/>
                      <w:color w:val="auto"/>
                      <w:kern w:val="0"/>
                      <w:szCs w:val="21"/>
                      <w:u w:val="none"/>
                      <w:lang w:eastAsia="zh-CN"/>
                    </w:rPr>
                    <w:t>提升</w:t>
                  </w:r>
                  <w:r>
                    <w:rPr>
                      <w:color w:val="auto"/>
                      <w:kern w:val="0"/>
                      <w:szCs w:val="21"/>
                      <w:u w:val="none"/>
                    </w:rPr>
                    <w:t>泵</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szCs w:val="21"/>
                      <w:u w:val="none"/>
                      <w:lang w:eastAsia="zh-CN"/>
                    </w:rPr>
                  </w:pPr>
                  <w:r>
                    <w:rPr>
                      <w:color w:val="auto"/>
                      <w:szCs w:val="21"/>
                      <w:u w:val="none"/>
                    </w:rPr>
                    <w:t>流量：Q=50m</w:t>
                  </w:r>
                  <w:r>
                    <w:rPr>
                      <w:color w:val="auto"/>
                      <w:szCs w:val="21"/>
                      <w:u w:val="none"/>
                      <w:vertAlign w:val="superscript"/>
                    </w:rPr>
                    <w:t>3</w:t>
                  </w:r>
                  <w:r>
                    <w:rPr>
                      <w:color w:val="auto"/>
                      <w:szCs w:val="21"/>
                      <w:u w:val="none"/>
                    </w:rPr>
                    <w:t>/h</w:t>
                  </w:r>
                  <w:r>
                    <w:rPr>
                      <w:rFonts w:hint="eastAsia"/>
                      <w:color w:val="auto"/>
                      <w:szCs w:val="21"/>
                      <w:u w:val="none"/>
                      <w:lang w:eastAsia="zh-CN"/>
                    </w:rPr>
                    <w:t>，</w:t>
                  </w:r>
                  <w:r>
                    <w:rPr>
                      <w:color w:val="auto"/>
                      <w:szCs w:val="21"/>
                      <w:u w:val="none"/>
                    </w:rPr>
                    <w:t>扬程：15m</w:t>
                  </w:r>
                  <w:r>
                    <w:rPr>
                      <w:rFonts w:hint="eastAsia"/>
                      <w:color w:val="auto"/>
                      <w:szCs w:val="21"/>
                      <w:u w:val="none"/>
                      <w:lang w:eastAsia="zh-CN"/>
                    </w:rPr>
                    <w:t>，</w:t>
                  </w:r>
                  <w:r>
                    <w:rPr>
                      <w:color w:val="auto"/>
                      <w:szCs w:val="21"/>
                      <w:u w:val="none"/>
                    </w:rPr>
                    <w:t>功率：4.0kw</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2</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rFonts w:hint="eastAsia" w:ascii="宋体" w:eastAsia="宋体"/>
                      <w:sz w:val="21"/>
                    </w:rPr>
                    <w:t>台</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kern w:val="0"/>
                      <w:szCs w:val="21"/>
                      <w:u w:val="none"/>
                      <w:lang w:eastAsia="zh-CN"/>
                    </w:rPr>
                  </w:pPr>
                  <w:r>
                    <w:rPr>
                      <w:color w:val="auto"/>
                      <w:kern w:val="0"/>
                      <w:szCs w:val="21"/>
                      <w:u w:val="none"/>
                    </w:rPr>
                    <w:t>一用一备</w:t>
                  </w:r>
                  <w:r>
                    <w:rPr>
                      <w:rFonts w:hint="eastAsia"/>
                      <w:color w:val="auto"/>
                      <w:kern w:val="0"/>
                      <w:szCs w:val="21"/>
                      <w:u w:val="none"/>
                      <w:lang w:eastAsia="zh-CN"/>
                    </w:rPr>
                    <w:t>，</w:t>
                  </w:r>
                  <w:r>
                    <w:rPr>
                      <w:rFonts w:hint="eastAsia"/>
                      <w:color w:val="auto"/>
                      <w:szCs w:val="21"/>
                      <w:u w:val="none"/>
                      <w:lang w:eastAsia="zh-CN"/>
                    </w:rPr>
                    <w:t>配套导杆、吊链、耦合器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液位开关</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超声波液位计</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1</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rFonts w:hint="eastAsia" w:ascii="宋体" w:eastAsia="宋体"/>
                      <w:sz w:val="21"/>
                    </w:rPr>
                    <w:t>台</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rFonts w:hint="eastAsia"/>
                      <w:color w:val="auto"/>
                      <w:kern w:val="0"/>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潜水搅拌机（调节）</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rFonts w:hint="eastAsia"/>
                      <w:color w:val="auto"/>
                      <w:szCs w:val="21"/>
                      <w:u w:val="none"/>
                      <w:lang w:val="en-US" w:eastAsia="zh-CN"/>
                    </w:rPr>
                    <w:t>叶片</w:t>
                  </w:r>
                  <w:r>
                    <w:rPr>
                      <w:rFonts w:hint="default"/>
                      <w:color w:val="auto"/>
                      <w:szCs w:val="21"/>
                      <w:u w:val="none"/>
                      <w:lang w:val="en-US" w:eastAsia="zh-CN"/>
                    </w:rPr>
                    <w:t>φ400mm</w:t>
                  </w:r>
                  <w:r>
                    <w:rPr>
                      <w:rFonts w:hint="eastAsia"/>
                      <w:color w:val="auto"/>
                      <w:szCs w:val="21"/>
                      <w:u w:val="none"/>
                      <w:lang w:val="en-US" w:eastAsia="zh-CN"/>
                    </w:rPr>
                    <w:t>，</w:t>
                  </w:r>
                  <w:r>
                    <w:rPr>
                      <w:rFonts w:hint="default"/>
                      <w:color w:val="auto"/>
                      <w:szCs w:val="21"/>
                      <w:u w:val="none"/>
                      <w:lang w:val="en-US" w:eastAsia="zh-CN"/>
                    </w:rPr>
                    <w:t>N=3kW</w:t>
                  </w:r>
                  <w:r>
                    <w:rPr>
                      <w:rFonts w:hint="eastAsia"/>
                      <w:color w:val="auto"/>
                      <w:szCs w:val="21"/>
                      <w:u w:val="none"/>
                      <w:lang w:val="en-US" w:eastAsia="zh-CN"/>
                    </w:rPr>
                    <w:t>，</w:t>
                  </w:r>
                  <w:r>
                    <w:rPr>
                      <w:rFonts w:hint="default"/>
                      <w:color w:val="auto"/>
                      <w:szCs w:val="21"/>
                      <w:u w:val="none"/>
                      <w:lang w:val="en-US" w:eastAsia="zh-CN"/>
                    </w:rPr>
                    <w:t>304</w:t>
                  </w:r>
                  <w:r>
                    <w:rPr>
                      <w:rFonts w:hint="eastAsia"/>
                      <w:color w:val="auto"/>
                      <w:szCs w:val="21"/>
                      <w:u w:val="none"/>
                      <w:lang w:val="en-US" w:eastAsia="zh-CN"/>
                    </w:rPr>
                    <w:t>，配套导杆、手动起吊装置，</w:t>
                  </w:r>
                  <w:r>
                    <w:rPr>
                      <w:rFonts w:hint="default"/>
                      <w:color w:val="auto"/>
                      <w:szCs w:val="21"/>
                      <w:u w:val="none"/>
                      <w:lang w:val="en-US" w:eastAsia="zh-CN"/>
                    </w:rPr>
                    <w:t>SS304</w:t>
                  </w:r>
                  <w:r>
                    <w:rPr>
                      <w:rFonts w:hint="eastAsia"/>
                      <w:color w:val="auto"/>
                      <w:szCs w:val="21"/>
                      <w:u w:val="none"/>
                      <w:lang w:val="en-US" w:eastAsia="zh-CN"/>
                    </w:rPr>
                    <w:t>材质；</w:t>
                  </w:r>
                  <w:r>
                    <w:t>功率：</w:t>
                  </w:r>
                  <w:r>
                    <w:rPr>
                      <w:rFonts w:ascii="Times New Roman" w:eastAsia="Times New Roman"/>
                    </w:rPr>
                    <w:t xml:space="preserve">N=3KW </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szCs w:val="21"/>
                      <w:u w:val="none"/>
                      <w:lang w:eastAsia="zh-CN"/>
                    </w:rPr>
                  </w:pPr>
                  <w:r>
                    <w:rPr>
                      <w:rFonts w:hint="eastAsia"/>
                      <w:color w:val="auto"/>
                      <w:szCs w:val="21"/>
                      <w:u w:val="none"/>
                      <w:lang w:val="en-US" w:eastAsia="zh-CN"/>
                    </w:rPr>
                    <w:t>1</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kern w:val="0"/>
                      <w:szCs w:val="21"/>
                      <w:u w:val="none"/>
                      <w:lang w:eastAsia="zh-CN"/>
                    </w:rPr>
                  </w:pPr>
                  <w:r>
                    <w:rPr>
                      <w:rFonts w:hint="eastAsia" w:ascii="宋体" w:eastAsia="宋体"/>
                      <w:sz w:val="21"/>
                    </w:rPr>
                    <w:t>台</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rFonts w:hint="eastAsia"/>
                      <w:color w:val="auto"/>
                      <w:kern w:val="0"/>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5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kern w:val="0"/>
                      <w:szCs w:val="21"/>
                      <w:u w:val="none"/>
                      <w:lang w:eastAsia="zh-CN"/>
                    </w:rPr>
                  </w:pPr>
                  <w:r>
                    <w:rPr>
                      <w:rFonts w:hint="eastAsia"/>
                      <w:color w:val="auto"/>
                      <w:kern w:val="0"/>
                      <w:szCs w:val="21"/>
                      <w:u w:val="none"/>
                      <w:lang w:eastAsia="zh-CN"/>
                    </w:rPr>
                    <w:t>储泥池</w:t>
                  </w: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t>排泥泵</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szCs w:val="21"/>
                      <w:u w:val="none"/>
                      <w:lang w:val="en-US" w:eastAsia="zh-CN"/>
                    </w:rPr>
                  </w:pPr>
                  <w:r>
                    <w:rPr>
                      <w:rFonts w:hint="eastAsia"/>
                      <w:color w:val="auto"/>
                      <w:szCs w:val="21"/>
                      <w:u w:val="none"/>
                      <w:lang w:val="en-US" w:eastAsia="zh-CN"/>
                    </w:rPr>
                    <w:t>流量：20m</w:t>
                  </w:r>
                  <w:r>
                    <w:rPr>
                      <w:rFonts w:hint="eastAsia"/>
                      <w:color w:val="auto"/>
                      <w:szCs w:val="21"/>
                      <w:u w:val="none"/>
                      <w:vertAlign w:val="superscript"/>
                      <w:lang w:val="en-US" w:eastAsia="zh-CN"/>
                    </w:rPr>
                    <w:t>3</w:t>
                  </w:r>
                  <w:r>
                    <w:rPr>
                      <w:rFonts w:hint="eastAsia"/>
                      <w:color w:val="auto"/>
                      <w:szCs w:val="21"/>
                      <w:u w:val="none"/>
                      <w:lang w:val="en-US" w:eastAsia="zh-CN"/>
                    </w:rPr>
                    <w:t>/h，扬程：12m，功率：N=1.5KW</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szCs w:val="21"/>
                      <w:u w:val="none"/>
                      <w:lang w:val="en-US" w:eastAsia="zh-CN"/>
                    </w:rPr>
                  </w:pPr>
                  <w:r>
                    <w:rPr>
                      <w:rFonts w:hint="eastAsia"/>
                      <w:color w:val="auto"/>
                      <w:szCs w:val="21"/>
                      <w:u w:val="none"/>
                      <w:lang w:val="en-US" w:eastAsia="zh-CN"/>
                    </w:rPr>
                    <w:t>1</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r>
                    <w:rPr>
                      <w:rFonts w:hint="eastAsia"/>
                      <w:color w:val="auto"/>
                      <w:kern w:val="0"/>
                      <w:szCs w:val="21"/>
                      <w:u w:val="none"/>
                      <w:lang w:eastAsia="zh-CN"/>
                    </w:rPr>
                    <w:t>台</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kern w:val="0"/>
                      <w:szCs w:val="21"/>
                      <w:u w:val="none"/>
                      <w:lang w:eastAsia="zh-CN"/>
                    </w:rPr>
                  </w:pPr>
                  <w:r>
                    <w:rPr>
                      <w:color w:val="auto"/>
                      <w:kern w:val="0"/>
                      <w:szCs w:val="21"/>
                      <w:u w:val="none"/>
                    </w:rPr>
                    <w:t>一用一备</w:t>
                  </w:r>
                  <w:r>
                    <w:rPr>
                      <w:rFonts w:hint="eastAsia"/>
                      <w:color w:val="auto"/>
                      <w:kern w:val="0"/>
                      <w:szCs w:val="21"/>
                      <w:u w:val="none"/>
                      <w:lang w:eastAsia="zh-CN"/>
                    </w:rPr>
                    <w:t>，</w:t>
                  </w:r>
                  <w:r>
                    <w:rPr>
                      <w:rFonts w:hint="eastAsia" w:ascii="宋体" w:eastAsia="宋体"/>
                      <w:sz w:val="21"/>
                    </w:rPr>
                    <w:t>配套导杆、吊链、耦合器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ascii="宋体" w:eastAsia="宋体"/>
                      <w:sz w:val="21"/>
                    </w:rPr>
                    <w:t>便携式离心风机</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szCs w:val="21"/>
                      <w:u w:val="none"/>
                      <w:lang w:val="en-US" w:eastAsia="zh-CN"/>
                    </w:rPr>
                  </w:pPr>
                  <w:r>
                    <w:rPr>
                      <w:rFonts w:hint="eastAsia" w:ascii="宋体" w:eastAsia="宋体"/>
                      <w:spacing w:val="-8"/>
                      <w:sz w:val="21"/>
                    </w:rPr>
                    <w:t xml:space="preserve">动式，风量 </w:t>
                  </w:r>
                  <w:r>
                    <w:rPr>
                      <w:sz w:val="21"/>
                    </w:rPr>
                    <w:t>1500m</w:t>
                  </w:r>
                  <w:r>
                    <w:rPr>
                      <w:position w:val="7"/>
                      <w:sz w:val="13"/>
                    </w:rPr>
                    <w:t>3</w:t>
                  </w:r>
                  <w:r>
                    <w:rPr>
                      <w:sz w:val="21"/>
                    </w:rPr>
                    <w:t>/h</w:t>
                  </w:r>
                  <w:r>
                    <w:rPr>
                      <w:rFonts w:hint="eastAsia" w:ascii="宋体" w:eastAsia="宋体"/>
                      <w:spacing w:val="-14"/>
                      <w:sz w:val="21"/>
                    </w:rPr>
                    <w:t xml:space="preserve">，风压 </w:t>
                  </w:r>
                  <w:r>
                    <w:rPr>
                      <w:sz w:val="21"/>
                    </w:rPr>
                    <w:t>450kPa</w:t>
                  </w:r>
                  <w:r>
                    <w:rPr>
                      <w:rFonts w:hint="eastAsia" w:ascii="宋体" w:eastAsia="宋体"/>
                      <w:sz w:val="21"/>
                    </w:rPr>
                    <w:t xml:space="preserve">， </w:t>
                  </w:r>
                  <w:r>
                    <w:rPr>
                      <w:sz w:val="21"/>
                    </w:rPr>
                    <w:t>N=0.2kW</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21"/>
                      <w:szCs w:val="21"/>
                      <w:u w:val="none"/>
                      <w:lang w:val="en-US" w:eastAsia="zh-CN" w:bidi="ar-SA"/>
                    </w:rPr>
                  </w:pPr>
                  <w:r>
                    <w:rPr>
                      <w:rFonts w:hint="eastAsia"/>
                      <w:color w:val="auto"/>
                      <w:szCs w:val="21"/>
                      <w:u w:val="none"/>
                      <w:lang w:val="en-US" w:eastAsia="zh-CN"/>
                    </w:rPr>
                    <w:t>1</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u w:val="none"/>
                      <w:lang w:val="en-US" w:eastAsia="zh-CN" w:bidi="ar-SA"/>
                    </w:rPr>
                  </w:pPr>
                  <w:r>
                    <w:rPr>
                      <w:rFonts w:hint="eastAsia"/>
                      <w:color w:val="auto"/>
                      <w:kern w:val="0"/>
                      <w:szCs w:val="21"/>
                      <w:u w:val="none"/>
                      <w:lang w:eastAsia="zh-CN"/>
                    </w:rPr>
                    <w:t>台</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0"/>
                      <w:sz w:val="21"/>
                      <w:szCs w:val="21"/>
                      <w:u w:val="none"/>
                      <w:lang w:val="en-US" w:eastAsia="zh-CN" w:bidi="ar-SA"/>
                    </w:rPr>
                  </w:pPr>
                  <w:r>
                    <w:rPr>
                      <w:color w:val="auto"/>
                      <w:kern w:val="0"/>
                      <w:szCs w:val="21"/>
                      <w:u w:val="none"/>
                    </w:rPr>
                    <w:t>液位开关</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21"/>
                      <w:szCs w:val="21"/>
                      <w:u w:val="none"/>
                      <w:lang w:val="en-US" w:eastAsia="zh-CN" w:bidi="ar-SA"/>
                    </w:rPr>
                  </w:pPr>
                  <w:r>
                    <w:rPr>
                      <w:color w:val="auto"/>
                      <w:szCs w:val="21"/>
                      <w:u w:val="none"/>
                    </w:rPr>
                    <w:t>超声波液位计</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21"/>
                      <w:szCs w:val="21"/>
                      <w:u w:val="none"/>
                      <w:lang w:val="en-US" w:eastAsia="zh-CN" w:bidi="ar-SA"/>
                    </w:rPr>
                  </w:pPr>
                  <w:r>
                    <w:rPr>
                      <w:color w:val="auto"/>
                      <w:szCs w:val="21"/>
                      <w:u w:val="none"/>
                    </w:rPr>
                    <w:t>1</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u w:val="none"/>
                      <w:lang w:val="en-US" w:eastAsia="zh-CN" w:bidi="ar-SA"/>
                    </w:rPr>
                  </w:pPr>
                  <w:r>
                    <w:rPr>
                      <w:rFonts w:hint="eastAsia" w:ascii="宋体" w:eastAsia="宋体"/>
                      <w:sz w:val="21"/>
                    </w:rPr>
                    <w:t>台</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5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kern w:val="0"/>
                      <w:szCs w:val="21"/>
                      <w:u w:val="none"/>
                      <w:lang w:eastAsia="zh-CN"/>
                    </w:rPr>
                  </w:pPr>
                  <w:r>
                    <w:rPr>
                      <w:rFonts w:hint="eastAsia" w:eastAsia="宋体"/>
                      <w:color w:val="auto"/>
                      <w:kern w:val="0"/>
                      <w:szCs w:val="21"/>
                      <w:u w:val="none"/>
                      <w:lang w:eastAsia="zh-CN"/>
                    </w:rPr>
                    <w:t>一体化生化</w:t>
                  </w:r>
                  <w:r>
                    <w:rPr>
                      <w:rFonts w:hint="eastAsia"/>
                      <w:color w:val="auto"/>
                      <w:kern w:val="0"/>
                      <w:szCs w:val="21"/>
                      <w:u w:val="none"/>
                      <w:lang w:eastAsia="zh-CN"/>
                    </w:rPr>
                    <w:t>系统</w:t>
                  </w: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kern w:val="0"/>
                      <w:szCs w:val="21"/>
                      <w:u w:val="none"/>
                      <w:lang w:eastAsia="zh-CN"/>
                    </w:rPr>
                  </w:pPr>
                  <w:r>
                    <w:rPr>
                      <w:rFonts w:hint="eastAsia"/>
                      <w:color w:val="auto"/>
                      <w:kern w:val="0"/>
                      <w:szCs w:val="21"/>
                      <w:u w:val="none"/>
                      <w:lang w:eastAsia="zh-CN"/>
                    </w:rPr>
                    <w:t>设备主体</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rFonts w:hint="eastAsia"/>
                      <w:color w:val="auto"/>
                      <w:szCs w:val="21"/>
                      <w:u w:val="none"/>
                    </w:rPr>
                    <w:t>处理量：1000m</w:t>
                  </w:r>
                  <w:r>
                    <w:rPr>
                      <w:rFonts w:hint="eastAsia"/>
                      <w:color w:val="auto"/>
                      <w:szCs w:val="21"/>
                      <w:u w:val="none"/>
                      <w:vertAlign w:val="superscript"/>
                    </w:rPr>
                    <w:t>3</w:t>
                  </w:r>
                  <w:r>
                    <w:rPr>
                      <w:rFonts w:hint="eastAsia"/>
                      <w:color w:val="auto"/>
                      <w:szCs w:val="21"/>
                      <w:u w:val="none"/>
                    </w:rPr>
                    <w:t>/d</w:t>
                  </w:r>
                  <w:r>
                    <w:rPr>
                      <w:rFonts w:hint="eastAsia"/>
                      <w:color w:val="auto"/>
                      <w:szCs w:val="21"/>
                      <w:u w:val="none"/>
                      <w:lang w:eastAsia="zh-CN"/>
                    </w:rPr>
                    <w:t>，</w:t>
                  </w:r>
                  <w:r>
                    <w:rPr>
                      <w:rFonts w:hint="eastAsia"/>
                      <w:color w:val="auto"/>
                      <w:szCs w:val="21"/>
                      <w:u w:val="none"/>
                    </w:rPr>
                    <w:t>外形尺寸：</w:t>
                  </w:r>
                  <w:r>
                    <w:rPr>
                      <w:color w:val="auto"/>
                      <w:szCs w:val="21"/>
                      <w:u w:val="none"/>
                    </w:rPr>
                    <w:t>D=14.75m</w:t>
                  </w:r>
                  <w:r>
                    <w:rPr>
                      <w:rFonts w:hint="eastAsia"/>
                      <w:color w:val="auto"/>
                      <w:szCs w:val="21"/>
                      <w:u w:val="none"/>
                    </w:rPr>
                    <w:t>，</w:t>
                  </w:r>
                  <w:r>
                    <w:rPr>
                      <w:color w:val="auto"/>
                      <w:szCs w:val="21"/>
                      <w:u w:val="none"/>
                    </w:rPr>
                    <w:t>H=4.8m</w:t>
                  </w:r>
                  <w:r>
                    <w:rPr>
                      <w:rFonts w:hint="eastAsia"/>
                      <w:color w:val="auto"/>
                      <w:szCs w:val="21"/>
                      <w:u w:val="none"/>
                      <w:lang w:eastAsia="zh-CN"/>
                    </w:rPr>
                    <w:t>，</w:t>
                  </w:r>
                  <w:r>
                    <w:rPr>
                      <w:rFonts w:hint="eastAsia"/>
                      <w:color w:val="auto"/>
                      <w:szCs w:val="21"/>
                      <w:u w:val="none"/>
                    </w:rPr>
                    <w:t>主体材质：以高强度特种专用刚为基材</w:t>
                  </w:r>
                  <w:r>
                    <w:rPr>
                      <w:rFonts w:hint="eastAsia"/>
                      <w:color w:val="auto"/>
                      <w:szCs w:val="21"/>
                      <w:u w:val="none"/>
                      <w:lang w:eastAsia="zh-CN"/>
                    </w:rPr>
                    <w:t>，</w:t>
                  </w:r>
                  <w:r>
                    <w:rPr>
                      <w:rFonts w:hint="eastAsia"/>
                      <w:color w:val="auto"/>
                      <w:szCs w:val="21"/>
                      <w:u w:val="none"/>
                    </w:rPr>
                    <w:t>功能分区：含缺氧区、好氧区、加药混合区、二沉区</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szCs w:val="21"/>
                      <w:u w:val="none"/>
                      <w:lang w:eastAsia="zh-CN"/>
                    </w:rPr>
                  </w:pPr>
                  <w:r>
                    <w:rPr>
                      <w:rFonts w:hint="eastAsia"/>
                      <w:color w:val="auto"/>
                      <w:szCs w:val="21"/>
                      <w:u w:val="none"/>
                      <w:lang w:val="en-US" w:eastAsia="zh-CN"/>
                    </w:rPr>
                    <w:t>1</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套</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搪瓷钢板拼装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kern w:val="0"/>
                      <w:szCs w:val="21"/>
                      <w:u w:val="none"/>
                      <w:lang w:eastAsia="zh-CN"/>
                    </w:rPr>
                  </w:pP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r>
                    <w:t>底部曝气系统</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szCs w:val="21"/>
                      <w:u w:val="none"/>
                    </w:rPr>
                  </w:pPr>
                  <w:r>
                    <w:t>配套微孔防堵曝气盘，</w:t>
                  </w:r>
                  <w:r>
                    <w:rPr>
                      <w:rFonts w:ascii="Times New Roman" w:eastAsia="Times New Roman"/>
                    </w:rPr>
                    <w:t>ABS</w:t>
                  </w:r>
                  <w:r>
                    <w:t>曝气支管及立管、</w:t>
                  </w:r>
                  <w:r>
                    <w:rPr>
                      <w:rFonts w:ascii="Times New Roman" w:eastAsia="Times New Roman"/>
                    </w:rPr>
                    <w:t>ABS</w:t>
                  </w:r>
                  <w:r>
                    <w:t>固定支架等</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szCs w:val="21"/>
                      <w:u w:val="none"/>
                      <w:lang w:val="en-US" w:eastAsia="zh-CN"/>
                    </w:rPr>
                  </w:pPr>
                  <w:r>
                    <w:rPr>
                      <w:rFonts w:hint="eastAsia"/>
                      <w:color w:val="auto"/>
                      <w:szCs w:val="21"/>
                      <w:u w:val="none"/>
                      <w:lang w:val="en-US" w:eastAsia="zh-CN"/>
                    </w:rPr>
                    <w:t>1</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套</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t>污泥回流、排放系统</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GMP-37-100-5.5</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rFonts w:hint="eastAsia"/>
                      <w:color w:val="auto"/>
                      <w:szCs w:val="21"/>
                      <w:u w:val="none"/>
                      <w:lang w:val="en-US" w:eastAsia="zh-CN"/>
                    </w:rPr>
                    <w:t>1</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套</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szCs w:val="21"/>
                      <w:u w:val="none"/>
                    </w:rPr>
                    <w:t>含干式污泥泵、相关管路、阀门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t>自曝气生物转轮</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4.5×3.0，N=7.5KW，变频控制，外形尺寸：ф=4.5m，L=3.0m</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rFonts w:hint="eastAsia"/>
                      <w:color w:val="auto"/>
                      <w:szCs w:val="21"/>
                      <w:u w:val="none"/>
                      <w:lang w:val="en-US" w:eastAsia="zh-CN"/>
                    </w:rPr>
                    <w:t>1</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套</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szCs w:val="21"/>
                      <w:u w:val="none"/>
                    </w:rPr>
                    <w:t>兼具曝气及搅拌充氧等功能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t>硝化液回流系统</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QJB-W-1.5</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rFonts w:hint="eastAsia"/>
                      <w:color w:val="auto"/>
                      <w:szCs w:val="21"/>
                      <w:u w:val="none"/>
                      <w:lang w:val="en-US" w:eastAsia="zh-CN"/>
                    </w:rPr>
                    <w:t>1</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套</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szCs w:val="21"/>
                      <w:u w:val="none"/>
                    </w:rPr>
                    <w:t>变频控制，含穿墙泵及导杆、手动起吊装置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t>搅拌系统</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rFonts w:ascii="Times New Roman" w:eastAsia="Times New Roman"/>
                    </w:rPr>
                    <w:t>QJB260/740-0.85</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rFonts w:hint="eastAsia"/>
                      <w:color w:val="auto"/>
                      <w:szCs w:val="21"/>
                      <w:u w:val="none"/>
                      <w:lang w:val="en-US" w:eastAsia="zh-CN"/>
                    </w:rPr>
                    <w:t>1</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套</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t>含潜水搅拌机、导杆、手动起吊装置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t>罗茨鼓风机</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Q=4.39m</w:t>
                  </w:r>
                  <w:r>
                    <w:rPr>
                      <w:color w:val="auto"/>
                      <w:szCs w:val="21"/>
                      <w:u w:val="none"/>
                      <w:vertAlign w:val="superscript"/>
                    </w:rPr>
                    <w:t>3</w:t>
                  </w:r>
                  <w:r>
                    <w:rPr>
                      <w:color w:val="auto"/>
                      <w:szCs w:val="21"/>
                      <w:u w:val="none"/>
                    </w:rPr>
                    <w:t>/min，P=50kPa，N=7.5kw</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2</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台</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szCs w:val="21"/>
                      <w:u w:val="none"/>
                    </w:rPr>
                    <w:t>变频调节，厂家配套提供止回阀、安全阀、压力表等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5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rFonts w:hint="eastAsia"/>
                      <w:color w:val="auto"/>
                      <w:kern w:val="0"/>
                      <w:szCs w:val="21"/>
                      <w:u w:val="none"/>
                    </w:rPr>
                    <w:t>综合设备间</w:t>
                  </w: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sz w:val="21"/>
                    </w:rPr>
                    <w:t>PAC</w:t>
                  </w:r>
                  <w:r>
                    <w:rPr>
                      <w:rFonts w:hint="eastAsia" w:ascii="宋体" w:eastAsia="宋体"/>
                      <w:sz w:val="21"/>
                    </w:rPr>
                    <w:t>加药系统</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rFonts w:hint="eastAsia"/>
                      <w:color w:val="auto"/>
                      <w:szCs w:val="21"/>
                      <w:u w:val="none"/>
                    </w:rPr>
                    <w:t>成套加药装置：配套成套设备钢支架；加药罐容积</w:t>
                  </w:r>
                  <w:r>
                    <w:rPr>
                      <w:color w:val="auto"/>
                      <w:szCs w:val="21"/>
                      <w:u w:val="none"/>
                    </w:rPr>
                    <w:t>2000L</w:t>
                  </w:r>
                  <w:r>
                    <w:rPr>
                      <w:rFonts w:hint="eastAsia"/>
                      <w:color w:val="auto"/>
                      <w:szCs w:val="21"/>
                      <w:u w:val="none"/>
                    </w:rPr>
                    <w:t>，搅拌器</w:t>
                  </w:r>
                  <w:r>
                    <w:rPr>
                      <w:color w:val="auto"/>
                      <w:szCs w:val="21"/>
                      <w:u w:val="none"/>
                    </w:rPr>
                    <w:t>1</w:t>
                  </w:r>
                  <w:r>
                    <w:rPr>
                      <w:rFonts w:hint="eastAsia"/>
                      <w:color w:val="auto"/>
                      <w:szCs w:val="21"/>
                      <w:u w:val="none"/>
                    </w:rPr>
                    <w:t>台</w:t>
                  </w:r>
                  <w:r>
                    <w:rPr>
                      <w:color w:val="auto"/>
                      <w:szCs w:val="21"/>
                      <w:u w:val="none"/>
                    </w:rPr>
                    <w:t>N=1.1kW</w:t>
                  </w:r>
                  <w:r>
                    <w:rPr>
                      <w:rFonts w:hint="eastAsia"/>
                      <w:color w:val="auto"/>
                      <w:szCs w:val="21"/>
                      <w:u w:val="none"/>
                    </w:rPr>
                    <w:t>；隔膜计量泵</w:t>
                  </w:r>
                  <w:r>
                    <w:rPr>
                      <w:color w:val="auto"/>
                      <w:szCs w:val="21"/>
                      <w:u w:val="none"/>
                    </w:rPr>
                    <w:t>Q=20L/h</w:t>
                  </w:r>
                  <w:r>
                    <w:rPr>
                      <w:rFonts w:hint="eastAsia"/>
                      <w:color w:val="auto"/>
                      <w:szCs w:val="21"/>
                      <w:u w:val="none"/>
                    </w:rPr>
                    <w:t>，</w:t>
                  </w:r>
                  <w:r>
                    <w:rPr>
                      <w:color w:val="auto"/>
                      <w:szCs w:val="21"/>
                      <w:u w:val="none"/>
                    </w:rPr>
                    <w:t>P=7bar</w:t>
                  </w:r>
                  <w:r>
                    <w:rPr>
                      <w:rFonts w:hint="eastAsia"/>
                      <w:color w:val="auto"/>
                      <w:szCs w:val="21"/>
                      <w:u w:val="none"/>
                      <w:lang w:eastAsia="zh-CN"/>
                    </w:rPr>
                    <w:t>，</w:t>
                  </w:r>
                  <w:r>
                    <w:rPr>
                      <w:color w:val="auto"/>
                      <w:szCs w:val="21"/>
                      <w:u w:val="none"/>
                    </w:rPr>
                    <w:t>N=0.25kW</w:t>
                  </w:r>
                  <w:r>
                    <w:rPr>
                      <w:rFonts w:hint="eastAsia"/>
                      <w:color w:val="auto"/>
                      <w:szCs w:val="21"/>
                      <w:u w:val="none"/>
                    </w:rPr>
                    <w:t>，</w:t>
                  </w:r>
                  <w:r>
                    <w:rPr>
                      <w:color w:val="auto"/>
                      <w:szCs w:val="21"/>
                      <w:u w:val="none"/>
                    </w:rPr>
                    <w:t>2</w:t>
                  </w:r>
                  <w:r>
                    <w:rPr>
                      <w:rFonts w:hint="eastAsia"/>
                      <w:color w:val="auto"/>
                      <w:szCs w:val="21"/>
                      <w:u w:val="none"/>
                    </w:rPr>
                    <w:t>台（</w:t>
                  </w:r>
                  <w:r>
                    <w:rPr>
                      <w:color w:val="auto"/>
                      <w:szCs w:val="21"/>
                      <w:u w:val="none"/>
                    </w:rPr>
                    <w:t>1</w:t>
                  </w:r>
                  <w:r>
                    <w:rPr>
                      <w:rFonts w:hint="eastAsia"/>
                      <w:color w:val="auto"/>
                      <w:szCs w:val="21"/>
                      <w:u w:val="none"/>
                    </w:rPr>
                    <w:t>用</w:t>
                  </w:r>
                  <w:r>
                    <w:rPr>
                      <w:color w:val="auto"/>
                      <w:szCs w:val="21"/>
                      <w:u w:val="none"/>
                    </w:rPr>
                    <w:t>1</w:t>
                  </w:r>
                  <w:r>
                    <w:rPr>
                      <w:rFonts w:hint="eastAsia"/>
                      <w:color w:val="auto"/>
                      <w:szCs w:val="21"/>
                      <w:u w:val="none"/>
                    </w:rPr>
                    <w:t>备）</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1</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套</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rFonts w:hint="eastAsia"/>
                      <w:color w:val="auto"/>
                      <w:szCs w:val="21"/>
                      <w:u w:val="none"/>
                    </w:rPr>
                    <w:t>配套安全阀、背压阀、阻尼器、过滤器、液位开关等，具有低液位停泵、报警等功能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轴流风机</w:t>
                  </w:r>
                </w:p>
              </w:tc>
              <w:tc>
                <w:tcPr>
                  <w:tcW w:w="2719" w:type="dxa"/>
                  <w:tcBorders>
                    <w:tl2br w:val="nil"/>
                    <w:tr2bl w:val="nil"/>
                  </w:tcBorders>
                  <w:vAlign w:val="center"/>
                </w:tcPr>
                <w:p>
                  <w:pPr>
                    <w:pStyle w:val="47"/>
                    <w:spacing w:before="1" w:line="255" w:lineRule="exact"/>
                    <w:ind w:left="27" w:leftChars="0" w:right="16" w:rightChars="0"/>
                    <w:jc w:val="center"/>
                    <w:rPr>
                      <w:rFonts w:hint="default" w:ascii="Times New Roman" w:hAnsi="Times New Roman" w:eastAsia="宋体" w:cs="Times New Roman"/>
                      <w:kern w:val="2"/>
                      <w:sz w:val="21"/>
                      <w:szCs w:val="21"/>
                      <w:lang w:val="zh-CN" w:eastAsia="zh-CN" w:bidi="zh-CN"/>
                    </w:rPr>
                  </w:pPr>
                  <w:r>
                    <w:rPr>
                      <w:rFonts w:hint="default" w:ascii="Times New Roman" w:hAnsi="Times New Roman" w:eastAsia="宋体" w:cs="Times New Roman"/>
                      <w:sz w:val="21"/>
                      <w:szCs w:val="21"/>
                    </w:rPr>
                    <w:t>n=1450rpm，Q=1680m</w:t>
                  </w:r>
                  <w:r>
                    <w:rPr>
                      <w:rFonts w:hint="eastAsia"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rPr>
                    <w:t>/h，N=0.12kW</w:t>
                  </w:r>
                </w:p>
              </w:tc>
              <w:tc>
                <w:tcPr>
                  <w:tcW w:w="660" w:type="dxa"/>
                  <w:tcBorders>
                    <w:tl2br w:val="nil"/>
                    <w:tr2bl w:val="nil"/>
                  </w:tcBorders>
                  <w:vAlign w:val="center"/>
                </w:tcPr>
                <w:p>
                  <w:pPr>
                    <w:pStyle w:val="47"/>
                    <w:spacing w:before="1" w:line="255" w:lineRule="exact"/>
                    <w:ind w:left="9" w:leftChars="0"/>
                    <w:jc w:val="center"/>
                    <w:rPr>
                      <w:rFonts w:hint="default" w:ascii="Times New Roman" w:hAnsi="Times New Roman" w:eastAsia="宋体" w:cs="Times New Roman"/>
                      <w:kern w:val="2"/>
                      <w:sz w:val="21"/>
                      <w:szCs w:val="21"/>
                      <w:lang w:val="en-US" w:eastAsia="zh-CN" w:bidi="zh-CN"/>
                    </w:rPr>
                  </w:pPr>
                  <w:r>
                    <w:rPr>
                      <w:rFonts w:hint="default" w:ascii="Times New Roman" w:hAnsi="Times New Roman" w:eastAsia="宋体" w:cs="Times New Roman"/>
                      <w:kern w:val="2"/>
                      <w:sz w:val="21"/>
                      <w:szCs w:val="21"/>
                      <w:lang w:val="en-US" w:eastAsia="zh-CN" w:bidi="zh-CN"/>
                    </w:rPr>
                    <w:t>2</w:t>
                  </w:r>
                </w:p>
              </w:tc>
              <w:tc>
                <w:tcPr>
                  <w:tcW w:w="690" w:type="dxa"/>
                  <w:tcBorders>
                    <w:tl2br w:val="nil"/>
                    <w:tr2bl w:val="nil"/>
                  </w:tcBorders>
                  <w:vAlign w:val="center"/>
                </w:tcPr>
                <w:p>
                  <w:pPr>
                    <w:pStyle w:val="47"/>
                    <w:spacing w:before="15" w:line="241" w:lineRule="exact"/>
                    <w:ind w:left="8" w:leftChars="0"/>
                    <w:jc w:val="center"/>
                    <w:rPr>
                      <w:rFonts w:hint="default" w:ascii="Times New Roman" w:hAnsi="Times New Roman" w:eastAsia="宋体" w:cs="Times New Roman"/>
                      <w:kern w:val="2"/>
                      <w:sz w:val="21"/>
                      <w:szCs w:val="21"/>
                      <w:lang w:val="en-US" w:eastAsia="zh-CN" w:bidi="zh-CN"/>
                    </w:rPr>
                  </w:pPr>
                  <w:r>
                    <w:rPr>
                      <w:rFonts w:hint="default" w:ascii="Times New Roman" w:hAnsi="Times New Roman" w:eastAsia="宋体" w:cs="Times New Roman"/>
                      <w:kern w:val="2"/>
                      <w:sz w:val="21"/>
                      <w:szCs w:val="21"/>
                      <w:lang w:val="en-US" w:eastAsia="zh-CN" w:bidi="zh-CN"/>
                    </w:rPr>
                    <w:t>台</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管材管件（含支架）及线缆</w:t>
                  </w:r>
                </w:p>
              </w:tc>
              <w:tc>
                <w:tcPr>
                  <w:tcW w:w="2719" w:type="dxa"/>
                  <w:tcBorders>
                    <w:tl2br w:val="nil"/>
                    <w:tr2bl w:val="nil"/>
                  </w:tcBorders>
                  <w:vAlign w:val="center"/>
                </w:tcPr>
                <w:p>
                  <w:pPr>
                    <w:pStyle w:val="47"/>
                    <w:spacing w:before="1" w:line="255" w:lineRule="exact"/>
                    <w:ind w:left="27" w:leftChars="0" w:right="16" w:rightChars="0"/>
                    <w:jc w:val="center"/>
                    <w:rPr>
                      <w:rFonts w:hint="eastAsia" w:ascii="Times New Roman" w:hAnsi="Times New Roman" w:eastAsia="宋体" w:cs="Times New Roman"/>
                      <w:sz w:val="21"/>
                      <w:szCs w:val="21"/>
                      <w:lang w:val="en-US" w:eastAsia="zh-CN"/>
                    </w:rPr>
                  </w:pPr>
                  <w:r>
                    <w:rPr>
                      <w:rFonts w:hint="default" w:ascii="Times New Roman" w:hAnsi="Times New Roman" w:cs="Times New Roman"/>
                      <w:sz w:val="21"/>
                    </w:rPr>
                    <w:t>ABS/PE/PPR</w:t>
                  </w:r>
                </w:p>
              </w:tc>
              <w:tc>
                <w:tcPr>
                  <w:tcW w:w="660" w:type="dxa"/>
                  <w:tcBorders>
                    <w:tl2br w:val="nil"/>
                    <w:tr2bl w:val="nil"/>
                  </w:tcBorders>
                  <w:vAlign w:val="center"/>
                </w:tcPr>
                <w:p>
                  <w:pPr>
                    <w:pStyle w:val="47"/>
                    <w:spacing w:before="1" w:line="255" w:lineRule="exact"/>
                    <w:ind w:left="9" w:leftChars="0"/>
                    <w:jc w:val="center"/>
                    <w:rPr>
                      <w:rFonts w:hint="default" w:ascii="Times New Roman" w:hAnsi="Times New Roman" w:eastAsia="宋体" w:cs="Times New Roman"/>
                      <w:kern w:val="2"/>
                      <w:sz w:val="21"/>
                      <w:szCs w:val="21"/>
                      <w:lang w:val="en-US" w:eastAsia="zh-CN" w:bidi="zh-CN"/>
                    </w:rPr>
                  </w:pPr>
                  <w:r>
                    <w:rPr>
                      <w:rFonts w:hint="eastAsia" w:ascii="Times New Roman" w:hAnsi="Times New Roman" w:eastAsia="宋体" w:cs="Times New Roman"/>
                      <w:kern w:val="2"/>
                      <w:sz w:val="21"/>
                      <w:szCs w:val="21"/>
                      <w:lang w:val="en-US" w:eastAsia="zh-CN" w:bidi="zh-CN"/>
                    </w:rPr>
                    <w:t>1</w:t>
                  </w:r>
                </w:p>
              </w:tc>
              <w:tc>
                <w:tcPr>
                  <w:tcW w:w="690" w:type="dxa"/>
                  <w:tcBorders>
                    <w:tl2br w:val="nil"/>
                    <w:tr2bl w:val="nil"/>
                  </w:tcBorders>
                  <w:vAlign w:val="center"/>
                </w:tcPr>
                <w:p>
                  <w:pPr>
                    <w:pStyle w:val="47"/>
                    <w:spacing w:before="15" w:line="241" w:lineRule="exact"/>
                    <w:ind w:left="8" w:leftChars="0"/>
                    <w:jc w:val="center"/>
                    <w:rPr>
                      <w:rFonts w:hint="default" w:ascii="Times New Roman" w:hAnsi="Times New Roman" w:eastAsia="宋体" w:cs="Times New Roman"/>
                      <w:kern w:val="2"/>
                      <w:sz w:val="21"/>
                      <w:szCs w:val="21"/>
                      <w:lang w:val="en-US" w:eastAsia="zh-CN" w:bidi="zh-CN"/>
                    </w:rPr>
                  </w:pPr>
                  <w:r>
                    <w:rPr>
                      <w:rFonts w:hint="eastAsia" w:ascii="Times New Roman" w:hAnsi="Times New Roman" w:eastAsia="宋体" w:cs="Times New Roman"/>
                      <w:kern w:val="2"/>
                      <w:sz w:val="21"/>
                      <w:szCs w:val="21"/>
                      <w:lang w:val="en-US" w:eastAsia="zh-CN" w:bidi="zh-CN"/>
                    </w:rPr>
                    <w:t>批</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kern w:val="0"/>
                      <w:szCs w:val="21"/>
                      <w:u w:val="none"/>
                      <w:lang w:eastAsia="zh-CN"/>
                    </w:rPr>
                  </w:pPr>
                  <w:r>
                    <w:rPr>
                      <w:color w:val="auto"/>
                      <w:kern w:val="0"/>
                      <w:szCs w:val="21"/>
                      <w:u w:val="none"/>
                    </w:rPr>
                    <w:t>紫外消毒</w:t>
                  </w:r>
                  <w:r>
                    <w:rPr>
                      <w:rFonts w:hint="eastAsia"/>
                      <w:color w:val="auto"/>
                      <w:kern w:val="0"/>
                      <w:szCs w:val="21"/>
                      <w:u w:val="none"/>
                      <w:lang w:eastAsia="zh-CN"/>
                    </w:rPr>
                    <w:t>系统</w:t>
                  </w: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kern w:val="0"/>
                      <w:szCs w:val="21"/>
                      <w:u w:val="none"/>
                      <w:lang w:eastAsia="zh-CN"/>
                    </w:rPr>
                  </w:pPr>
                  <w:r>
                    <w:rPr>
                      <w:color w:val="auto"/>
                      <w:kern w:val="0"/>
                      <w:szCs w:val="21"/>
                      <w:u w:val="none"/>
                    </w:rPr>
                    <w:t>管道式紫外消毒</w:t>
                  </w:r>
                  <w:r>
                    <w:rPr>
                      <w:rFonts w:hint="eastAsia"/>
                      <w:color w:val="auto"/>
                      <w:kern w:val="0"/>
                      <w:szCs w:val="21"/>
                      <w:u w:val="none"/>
                      <w:lang w:eastAsia="zh-CN"/>
                    </w:rPr>
                    <w:t>器</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处理量：1000m</w:t>
                  </w:r>
                  <w:r>
                    <w:rPr>
                      <w:color w:val="auto"/>
                      <w:szCs w:val="21"/>
                      <w:u w:val="none"/>
                      <w:vertAlign w:val="superscript"/>
                    </w:rPr>
                    <w:t>3</w:t>
                  </w:r>
                  <w:r>
                    <w:rPr>
                      <w:color w:val="auto"/>
                      <w:szCs w:val="21"/>
                      <w:u w:val="none"/>
                    </w:rPr>
                    <w:t>/d</w:t>
                  </w:r>
                  <w:r>
                    <w:rPr>
                      <w:rFonts w:hint="eastAsia"/>
                      <w:color w:val="auto"/>
                      <w:szCs w:val="21"/>
                      <w:u w:val="none"/>
                      <w:lang w:eastAsia="zh-CN"/>
                    </w:rPr>
                    <w:t>，</w:t>
                  </w:r>
                  <w:r>
                    <w:rPr>
                      <w:sz w:val="21"/>
                    </w:rPr>
                    <w:t>ZL-300</w:t>
                  </w:r>
                  <w:r>
                    <w:rPr>
                      <w:rFonts w:hint="eastAsia" w:ascii="宋体" w:eastAsia="宋体"/>
                      <w:sz w:val="21"/>
                    </w:rPr>
                    <w:t>，</w:t>
                  </w:r>
                  <w:r>
                    <w:rPr>
                      <w:sz w:val="21"/>
                    </w:rPr>
                    <w:t>3.5kW</w:t>
                  </w:r>
                  <w:r>
                    <w:rPr>
                      <w:rFonts w:hint="eastAsia" w:ascii="宋体" w:eastAsia="宋体"/>
                      <w:sz w:val="21"/>
                    </w:rPr>
                    <w:t>，灯管功率</w:t>
                  </w:r>
                  <w:r>
                    <w:rPr>
                      <w:sz w:val="21"/>
                    </w:rPr>
                    <w:t>0.765kW</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1</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套</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rFonts w:hint="eastAsia"/>
                      <w:color w:val="auto"/>
                      <w:kern w:val="0"/>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超声波液位计</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量程：Q=0~100m</w:t>
                  </w:r>
                  <w:r>
                    <w:rPr>
                      <w:color w:val="auto"/>
                      <w:szCs w:val="21"/>
                      <w:u w:val="none"/>
                      <w:vertAlign w:val="superscript"/>
                    </w:rPr>
                    <w:t>3</w:t>
                  </w:r>
                  <w:r>
                    <w:rPr>
                      <w:color w:val="auto"/>
                      <w:szCs w:val="21"/>
                      <w:u w:val="none"/>
                    </w:rPr>
                    <w:t>/h</w:t>
                  </w:r>
                  <w:r>
                    <w:rPr>
                      <w:rFonts w:hint="eastAsia"/>
                      <w:color w:val="auto"/>
                      <w:szCs w:val="21"/>
                      <w:u w:val="none"/>
                      <w:lang w:eastAsia="zh-CN"/>
                    </w:rPr>
                    <w:t>，</w:t>
                  </w:r>
                  <w:r>
                    <w:rPr>
                      <w:color w:val="auto"/>
                      <w:szCs w:val="21"/>
                      <w:u w:val="none"/>
                    </w:rPr>
                    <w:t>喉宽：b=152mm</w:t>
                  </w:r>
                  <w:r>
                    <w:rPr>
                      <w:rFonts w:hint="eastAsia"/>
                      <w:color w:val="auto"/>
                      <w:szCs w:val="21"/>
                      <w:u w:val="none"/>
                      <w:lang w:eastAsia="zh-CN"/>
                    </w:rPr>
                    <w:t>，</w:t>
                  </w:r>
                  <w:r>
                    <w:rPr>
                      <w:color w:val="auto"/>
                      <w:szCs w:val="21"/>
                      <w:u w:val="none"/>
                    </w:rPr>
                    <w:t>水头</w:t>
                  </w:r>
                  <w:r>
                    <w:rPr>
                      <w:rFonts w:hint="eastAsia"/>
                      <w:color w:val="auto"/>
                      <w:szCs w:val="21"/>
                      <w:u w:val="none"/>
                      <w:lang w:eastAsia="zh-CN"/>
                    </w:rPr>
                    <w:t>：</w:t>
                  </w:r>
                  <w:r>
                    <w:rPr>
                      <w:color w:val="auto"/>
                      <w:szCs w:val="21"/>
                      <w:u w:val="none"/>
                    </w:rPr>
                    <w:t>h=0.15m</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szCs w:val="21"/>
                      <w:u w:val="none"/>
                      <w:lang w:val="en-US" w:eastAsia="zh-CN"/>
                    </w:rPr>
                  </w:pPr>
                  <w:r>
                    <w:rPr>
                      <w:rFonts w:hint="eastAsia"/>
                      <w:color w:val="auto"/>
                      <w:szCs w:val="21"/>
                      <w:u w:val="none"/>
                      <w:lang w:val="en-US" w:eastAsia="zh-CN"/>
                    </w:rPr>
                    <w:t>1</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kern w:val="0"/>
                      <w:szCs w:val="21"/>
                      <w:u w:val="none"/>
                      <w:lang w:eastAsia="zh-CN"/>
                    </w:rPr>
                  </w:pPr>
                  <w:r>
                    <w:rPr>
                      <w:rFonts w:hint="eastAsia"/>
                      <w:color w:val="auto"/>
                      <w:kern w:val="0"/>
                      <w:szCs w:val="21"/>
                      <w:u w:val="none"/>
                      <w:lang w:eastAsia="zh-CN"/>
                    </w:rPr>
                    <w:t>台</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color w:val="auto"/>
                      <w:kern w:val="0"/>
                      <w:szCs w:val="21"/>
                      <w:u w:val="none"/>
                    </w:rPr>
                    <w:t>巴氏计量槽</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b=76mm</w:t>
                  </w:r>
                  <w:r>
                    <w:rPr>
                      <w:rFonts w:hint="eastAsia"/>
                      <w:color w:val="auto"/>
                      <w:szCs w:val="21"/>
                      <w:u w:val="none"/>
                    </w:rPr>
                    <w:t>，测量范围（</w:t>
                  </w:r>
                  <w:r>
                    <w:rPr>
                      <w:color w:val="auto"/>
                      <w:szCs w:val="21"/>
                      <w:u w:val="none"/>
                    </w:rPr>
                    <w:t>0m</w:t>
                  </w:r>
                  <w:r>
                    <w:rPr>
                      <w:color w:val="auto"/>
                      <w:szCs w:val="21"/>
                      <w:u w:val="none"/>
                      <w:vertAlign w:val="superscript"/>
                    </w:rPr>
                    <w:t>3</w:t>
                  </w:r>
                  <w:r>
                    <w:rPr>
                      <w:color w:val="auto"/>
                      <w:szCs w:val="21"/>
                      <w:u w:val="none"/>
                    </w:rPr>
                    <w:t>/h~115.6m</w:t>
                  </w:r>
                  <w:r>
                    <w:rPr>
                      <w:color w:val="auto"/>
                      <w:szCs w:val="21"/>
                      <w:u w:val="none"/>
                      <w:vertAlign w:val="superscript"/>
                    </w:rPr>
                    <w:t>3</w:t>
                  </w:r>
                  <w:r>
                    <w:rPr>
                      <w:color w:val="auto"/>
                      <w:szCs w:val="21"/>
                      <w:u w:val="none"/>
                    </w:rPr>
                    <w:t>/h</w:t>
                  </w:r>
                  <w:r>
                    <w:rPr>
                      <w:rFonts w:hint="eastAsia"/>
                      <w:color w:val="auto"/>
                      <w:szCs w:val="21"/>
                      <w:u w:val="none"/>
                    </w:rPr>
                    <w:t>），</w:t>
                  </w:r>
                  <w:r>
                    <w:rPr>
                      <w:color w:val="auto"/>
                      <w:szCs w:val="21"/>
                      <w:u w:val="none"/>
                    </w:rPr>
                    <w:t>304</w:t>
                  </w:r>
                  <w:r>
                    <w:rPr>
                      <w:rFonts w:hint="eastAsia"/>
                      <w:color w:val="auto"/>
                      <w:szCs w:val="21"/>
                      <w:u w:val="none"/>
                    </w:rPr>
                    <w:t>材质</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szCs w:val="21"/>
                      <w:u w:val="none"/>
                      <w:lang w:val="en-US" w:eastAsia="zh-CN"/>
                    </w:rPr>
                  </w:pPr>
                  <w:r>
                    <w:rPr>
                      <w:rFonts w:hint="eastAsia"/>
                      <w:color w:val="auto"/>
                      <w:szCs w:val="21"/>
                      <w:u w:val="none"/>
                      <w:lang w:val="en-US" w:eastAsia="zh-CN"/>
                    </w:rPr>
                    <w:t>1</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r>
                    <w:rPr>
                      <w:rFonts w:hint="eastAsia"/>
                      <w:color w:val="auto"/>
                      <w:kern w:val="0"/>
                      <w:szCs w:val="21"/>
                      <w:u w:val="none"/>
                      <w:lang w:eastAsia="zh-CN"/>
                    </w:rPr>
                    <w:t>个</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r>
                    <w:rPr>
                      <w:rFonts w:hint="eastAsia"/>
                      <w:color w:val="auto"/>
                      <w:szCs w:val="21"/>
                      <w:u w:val="none"/>
                    </w:rPr>
                    <w:t>需配套提供超声波明渠流量计测定范围</w:t>
                  </w:r>
                  <w:r>
                    <w:rPr>
                      <w:color w:val="auto"/>
                      <w:szCs w:val="21"/>
                      <w:u w:val="none"/>
                    </w:rPr>
                    <w:t>0.4m~2m</w:t>
                  </w:r>
                  <w:r>
                    <w:rPr>
                      <w:rFonts w:hint="eastAsia"/>
                      <w:color w:val="auto"/>
                      <w:szCs w:val="21"/>
                      <w:u w:val="none"/>
                    </w:rPr>
                    <w:t>，液位分辨</w:t>
                  </w:r>
                  <w:r>
                    <w:rPr>
                      <w:color w:val="auto"/>
                      <w:szCs w:val="21"/>
                      <w:u w:val="none"/>
                    </w:rPr>
                    <w:t>1mm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rFonts w:hint="eastAsia" w:ascii="宋体" w:eastAsia="宋体"/>
                      <w:sz w:val="21"/>
                    </w:rPr>
                    <w:t>在线机械清洗系统</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szCs w:val="21"/>
                      <w:u w:val="none"/>
                      <w:lang w:val="en-US" w:eastAsia="zh-CN"/>
                    </w:rPr>
                  </w:pPr>
                  <w:r>
                    <w:rPr>
                      <w:rFonts w:hint="eastAsia"/>
                      <w:color w:val="auto"/>
                      <w:szCs w:val="21"/>
                      <w:u w:val="none"/>
                      <w:lang w:val="en-US" w:eastAsia="zh-CN"/>
                    </w:rPr>
                    <w:t>/</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szCs w:val="21"/>
                      <w:u w:val="none"/>
                      <w:lang w:val="en-US" w:eastAsia="zh-CN"/>
                    </w:rPr>
                  </w:pPr>
                  <w:r>
                    <w:rPr>
                      <w:rFonts w:hint="eastAsia"/>
                      <w:color w:val="auto"/>
                      <w:szCs w:val="21"/>
                      <w:u w:val="none"/>
                      <w:lang w:val="en-US" w:eastAsia="zh-CN"/>
                    </w:rPr>
                    <w:t>1</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kern w:val="0"/>
                      <w:szCs w:val="21"/>
                      <w:u w:val="none"/>
                      <w:lang w:eastAsia="zh-CN"/>
                    </w:rPr>
                  </w:pPr>
                  <w:r>
                    <w:rPr>
                      <w:rFonts w:hint="eastAsia"/>
                      <w:color w:val="auto"/>
                      <w:kern w:val="0"/>
                      <w:szCs w:val="21"/>
                      <w:u w:val="none"/>
                      <w:lang w:eastAsia="zh-CN"/>
                    </w:rPr>
                    <w:t>套</w:t>
                  </w:r>
                </w:p>
              </w:tc>
              <w:tc>
                <w:tcPr>
                  <w:tcW w:w="1818" w:type="dxa"/>
                  <w:tcBorders>
                    <w:tl2br w:val="nil"/>
                    <w:tr2bl w:val="nil"/>
                  </w:tcBorders>
                  <w:vAlign w:val="center"/>
                </w:tcPr>
                <w:p>
                  <w:pPr>
                    <w:keepNext w:val="0"/>
                    <w:keepLines w:val="0"/>
                    <w:pageBreakBefore w:val="0"/>
                    <w:widowControl w:val="0"/>
                    <w:tabs>
                      <w:tab w:val="left" w:pos="342"/>
                    </w:tabs>
                    <w:kinsoku/>
                    <w:wordWrap/>
                    <w:overflowPunct/>
                    <w:topLinePunct w:val="0"/>
                    <w:autoSpaceDE/>
                    <w:autoSpaceDN/>
                    <w:bidi w:val="0"/>
                    <w:adjustRightInd w:val="0"/>
                    <w:snapToGrid w:val="0"/>
                    <w:jc w:val="center"/>
                    <w:textAlignment w:val="auto"/>
                    <w:rPr>
                      <w:rFonts w:hint="eastAsia" w:eastAsia="宋体"/>
                      <w:color w:val="auto"/>
                      <w:kern w:val="0"/>
                      <w:szCs w:val="21"/>
                      <w:u w:val="none"/>
                      <w:lang w:eastAsia="zh-CN"/>
                    </w:rPr>
                  </w:pPr>
                  <w:r>
                    <w:rPr>
                      <w:rFonts w:hint="eastAsia" w:ascii="宋体" w:eastAsia="宋体"/>
                      <w:sz w:val="21"/>
                    </w:rPr>
                    <w:t>含空压机、气动管路等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rFonts w:hint="eastAsia"/>
                      <w:color w:val="auto"/>
                      <w:kern w:val="0"/>
                      <w:szCs w:val="21"/>
                      <w:u w:val="none"/>
                    </w:rPr>
                    <w:t>脱水机房</w:t>
                  </w: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rFonts w:hint="eastAsia"/>
                      <w:color w:val="auto"/>
                      <w:kern w:val="0"/>
                      <w:szCs w:val="21"/>
                      <w:u w:val="none"/>
                    </w:rPr>
                    <w:t>压滤机</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rFonts w:hint="eastAsia"/>
                      <w:color w:val="auto"/>
                      <w:szCs w:val="21"/>
                      <w:u w:val="none"/>
                    </w:rPr>
                    <w:t>/</w:t>
                  </w:r>
                </w:p>
              </w:tc>
              <w:tc>
                <w:tcPr>
                  <w:tcW w:w="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szCs w:val="21"/>
                      <w:u w:val="none"/>
                      <w:lang w:eastAsia="zh-CN"/>
                    </w:rPr>
                  </w:pPr>
                  <w:r>
                    <w:rPr>
                      <w:rFonts w:hint="eastAsia"/>
                      <w:color w:val="auto"/>
                      <w:szCs w:val="21"/>
                      <w:u w:val="none"/>
                      <w:lang w:val="en-US" w:eastAsia="zh-CN"/>
                    </w:rPr>
                    <w:t>1</w:t>
                  </w:r>
                </w:p>
              </w:tc>
              <w:tc>
                <w:tcPr>
                  <w:tcW w:w="6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rFonts w:hint="eastAsia"/>
                      <w:color w:val="auto"/>
                      <w:kern w:val="0"/>
                      <w:szCs w:val="21"/>
                      <w:u w:val="none"/>
                    </w:rPr>
                    <w:t>台</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kern w:val="0"/>
                      <w:szCs w:val="21"/>
                      <w:u w:val="none"/>
                    </w:rPr>
                  </w:pPr>
                  <w:r>
                    <w:rPr>
                      <w:rFonts w:hint="eastAsia"/>
                      <w:color w:val="auto"/>
                      <w:kern w:val="0"/>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r>
                    <w:rPr>
                      <w:rFonts w:hint="eastAsia"/>
                      <w:color w:val="auto"/>
                      <w:kern w:val="0"/>
                      <w:szCs w:val="21"/>
                      <w:u w:val="none"/>
                      <w:lang w:eastAsia="zh-CN"/>
                    </w:rPr>
                    <w:t>在线监控室</w:t>
                  </w: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NH3-N 在线监测仪</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量程 0-200mg/L，精度 0.01mg/L，输出4~20mA</w:t>
                  </w:r>
                </w:p>
              </w:tc>
              <w:tc>
                <w:tcPr>
                  <w:tcW w:w="660" w:type="dxa"/>
                  <w:tcBorders>
                    <w:tl2br w:val="nil"/>
                    <w:tr2bl w:val="nil"/>
                  </w:tcBorders>
                  <w:vAlign w:val="center"/>
                </w:tcPr>
                <w:p>
                  <w:pPr>
                    <w:pStyle w:val="47"/>
                    <w:spacing w:before="133"/>
                    <w:ind w:left="8"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2</w:t>
                  </w:r>
                </w:p>
              </w:tc>
              <w:tc>
                <w:tcPr>
                  <w:tcW w:w="690" w:type="dxa"/>
                  <w:tcBorders>
                    <w:tl2br w:val="nil"/>
                    <w:tr2bl w:val="nil"/>
                  </w:tcBorders>
                  <w:vAlign w:val="center"/>
                </w:tcPr>
                <w:p>
                  <w:pPr>
                    <w:pStyle w:val="47"/>
                    <w:spacing w:before="120"/>
                    <w:ind w:left="9"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套</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TN 在线监测仪</w:t>
                  </w:r>
                </w:p>
              </w:tc>
              <w:tc>
                <w:tcPr>
                  <w:tcW w:w="27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量程 0-200mg/L，精度 0.01mg/L，输出4~20mA</w:t>
                  </w:r>
                </w:p>
              </w:tc>
              <w:tc>
                <w:tcPr>
                  <w:tcW w:w="660" w:type="dxa"/>
                  <w:tcBorders>
                    <w:tl2br w:val="nil"/>
                    <w:tr2bl w:val="nil"/>
                  </w:tcBorders>
                  <w:vAlign w:val="center"/>
                </w:tcPr>
                <w:p>
                  <w:pPr>
                    <w:pStyle w:val="47"/>
                    <w:spacing w:before="132"/>
                    <w:ind w:left="8"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2</w:t>
                  </w:r>
                </w:p>
              </w:tc>
              <w:tc>
                <w:tcPr>
                  <w:tcW w:w="690" w:type="dxa"/>
                  <w:tcBorders>
                    <w:tl2br w:val="nil"/>
                    <w:tr2bl w:val="nil"/>
                  </w:tcBorders>
                  <w:vAlign w:val="center"/>
                </w:tcPr>
                <w:p>
                  <w:pPr>
                    <w:pStyle w:val="47"/>
                    <w:spacing w:before="118"/>
                    <w:ind w:left="9"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套</w:t>
                  </w:r>
                </w:p>
              </w:tc>
              <w:tc>
                <w:tcPr>
                  <w:tcW w:w="1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TP 在线监测仪</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量程 0-20mg/L，精度 0.01mg/L，输出4~20mA</w:t>
                  </w:r>
                </w:p>
              </w:tc>
              <w:tc>
                <w:tcPr>
                  <w:tcW w:w="0" w:type="auto"/>
                  <w:vAlign w:val="center"/>
                </w:tcPr>
                <w:p>
                  <w:pPr>
                    <w:pStyle w:val="47"/>
                    <w:spacing w:before="132"/>
                    <w:ind w:left="8"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2</w:t>
                  </w:r>
                </w:p>
              </w:tc>
              <w:tc>
                <w:tcPr>
                  <w:tcW w:w="0" w:type="auto"/>
                  <w:vAlign w:val="center"/>
                </w:tcPr>
                <w:p>
                  <w:pPr>
                    <w:pStyle w:val="47"/>
                    <w:spacing w:before="118"/>
                    <w:ind w:left="9"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套</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CODcr 在线监测仪</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量程 0-800mg/L，精度 0.01mg/L，输出4~20mA</w:t>
                  </w:r>
                </w:p>
              </w:tc>
              <w:tc>
                <w:tcPr>
                  <w:tcW w:w="0" w:type="auto"/>
                  <w:vAlign w:val="center"/>
                </w:tcPr>
                <w:p>
                  <w:pPr>
                    <w:pStyle w:val="47"/>
                    <w:spacing w:before="132"/>
                    <w:ind w:left="8"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2</w:t>
                  </w:r>
                </w:p>
              </w:tc>
              <w:tc>
                <w:tcPr>
                  <w:tcW w:w="0" w:type="auto"/>
                  <w:vAlign w:val="center"/>
                </w:tcPr>
                <w:p>
                  <w:pPr>
                    <w:pStyle w:val="47"/>
                    <w:spacing w:before="118"/>
                    <w:ind w:left="9"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套</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在线监测仪配套设备</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信采仪、取样泵等</w:t>
                  </w:r>
                </w:p>
              </w:tc>
              <w:tc>
                <w:tcPr>
                  <w:tcW w:w="0" w:type="auto"/>
                  <w:vAlign w:val="center"/>
                </w:tcPr>
                <w:p>
                  <w:pPr>
                    <w:pStyle w:val="47"/>
                    <w:spacing w:before="15" w:line="241" w:lineRule="exact"/>
                    <w:ind w:left="8"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2</w:t>
                  </w:r>
                </w:p>
              </w:tc>
              <w:tc>
                <w:tcPr>
                  <w:tcW w:w="0" w:type="auto"/>
                  <w:vAlign w:val="center"/>
                </w:tcPr>
                <w:p>
                  <w:pPr>
                    <w:pStyle w:val="47"/>
                    <w:spacing w:before="1" w:line="255" w:lineRule="exact"/>
                    <w:ind w:left="9"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套</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废液罐</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V=0.5m3，PE</w:t>
                  </w:r>
                </w:p>
              </w:tc>
              <w:tc>
                <w:tcPr>
                  <w:tcW w:w="0" w:type="auto"/>
                  <w:vAlign w:val="center"/>
                </w:tcPr>
                <w:p>
                  <w:pPr>
                    <w:pStyle w:val="47"/>
                    <w:spacing w:before="16" w:line="241" w:lineRule="exact"/>
                    <w:ind w:left="9"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1</w:t>
                  </w:r>
                </w:p>
              </w:tc>
              <w:tc>
                <w:tcPr>
                  <w:tcW w:w="0" w:type="auto"/>
                  <w:vAlign w:val="center"/>
                </w:tcPr>
                <w:p>
                  <w:pPr>
                    <w:pStyle w:val="47"/>
                    <w:spacing w:before="1" w:line="256" w:lineRule="exact"/>
                    <w:ind w:left="10"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个</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空调</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1.5p</w:t>
                  </w:r>
                </w:p>
              </w:tc>
              <w:tc>
                <w:tcPr>
                  <w:tcW w:w="0" w:type="auto"/>
                  <w:vAlign w:val="center"/>
                </w:tcPr>
                <w:p>
                  <w:pPr>
                    <w:pStyle w:val="47"/>
                    <w:spacing w:before="15" w:line="241" w:lineRule="exact"/>
                    <w:ind w:left="9"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1</w:t>
                  </w:r>
                </w:p>
              </w:tc>
              <w:tc>
                <w:tcPr>
                  <w:tcW w:w="0" w:type="auto"/>
                  <w:vAlign w:val="center"/>
                </w:tcPr>
                <w:p>
                  <w:pPr>
                    <w:pStyle w:val="47"/>
                    <w:spacing w:line="256" w:lineRule="exact"/>
                    <w:ind w:left="10"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个</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管材管件及线缆</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p>
              </w:tc>
              <w:tc>
                <w:tcPr>
                  <w:tcW w:w="0" w:type="auto"/>
                  <w:vAlign w:val="center"/>
                </w:tcPr>
                <w:p>
                  <w:pPr>
                    <w:pStyle w:val="47"/>
                    <w:spacing w:before="15" w:line="241" w:lineRule="exact"/>
                    <w:ind w:left="8"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1</w:t>
                  </w:r>
                </w:p>
              </w:tc>
              <w:tc>
                <w:tcPr>
                  <w:tcW w:w="0" w:type="auto"/>
                  <w:vAlign w:val="center"/>
                </w:tcPr>
                <w:p>
                  <w:pPr>
                    <w:pStyle w:val="47"/>
                    <w:spacing w:before="1" w:line="255" w:lineRule="exact"/>
                    <w:ind w:left="9"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批</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r>
                    <w:rPr>
                      <w:rFonts w:hint="eastAsia"/>
                      <w:color w:val="auto"/>
                      <w:kern w:val="0"/>
                      <w:szCs w:val="21"/>
                      <w:u w:val="none"/>
                      <w:lang w:eastAsia="zh-CN"/>
                    </w:rPr>
                    <w:t>仪表阀门系统</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液位差计</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量程：</w:t>
                  </w:r>
                  <w:r>
                    <w:rPr>
                      <w:color w:val="auto"/>
                      <w:kern w:val="0"/>
                      <w:szCs w:val="21"/>
                      <w:u w:val="none"/>
                    </w:rPr>
                    <w:t>0-10m</w:t>
                  </w:r>
                  <w:r>
                    <w:rPr>
                      <w:rFonts w:hint="eastAsia"/>
                      <w:color w:val="auto"/>
                      <w:kern w:val="0"/>
                      <w:szCs w:val="21"/>
                      <w:u w:val="none"/>
                    </w:rPr>
                    <w:t>，液位差：</w:t>
                  </w:r>
                  <w:r>
                    <w:rPr>
                      <w:color w:val="auto"/>
                      <w:kern w:val="0"/>
                      <w:szCs w:val="21"/>
                      <w:u w:val="none"/>
                    </w:rPr>
                    <w:t>0-1m</w:t>
                  </w:r>
                  <w:r>
                    <w:rPr>
                      <w:rFonts w:hint="eastAsia"/>
                      <w:color w:val="auto"/>
                      <w:kern w:val="0"/>
                      <w:szCs w:val="21"/>
                      <w:u w:val="none"/>
                    </w:rPr>
                    <w:t>，</w:t>
                  </w:r>
                  <w:r>
                    <w:rPr>
                      <w:color w:val="auto"/>
                      <w:kern w:val="0"/>
                      <w:szCs w:val="21"/>
                      <w:u w:val="none"/>
                    </w:rPr>
                    <w:t>4-20ma</w:t>
                  </w:r>
                </w:p>
              </w:tc>
              <w:tc>
                <w:tcPr>
                  <w:tcW w:w="0" w:type="auto"/>
                  <w:vAlign w:val="center"/>
                </w:tcPr>
                <w:p>
                  <w:pPr>
                    <w:pStyle w:val="47"/>
                    <w:spacing w:before="16" w:line="241" w:lineRule="exact"/>
                    <w:ind w:left="9"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1</w:t>
                  </w:r>
                </w:p>
              </w:tc>
              <w:tc>
                <w:tcPr>
                  <w:tcW w:w="0" w:type="auto"/>
                  <w:vAlign w:val="center"/>
                </w:tcPr>
                <w:p>
                  <w:pPr>
                    <w:pStyle w:val="47"/>
                    <w:spacing w:before="1" w:line="256" w:lineRule="exact"/>
                    <w:ind w:left="10"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套</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液位差计仪表箱</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p>
              </w:tc>
              <w:tc>
                <w:tcPr>
                  <w:tcW w:w="0" w:type="auto"/>
                  <w:vAlign w:val="center"/>
                </w:tcPr>
                <w:p>
                  <w:pPr>
                    <w:pStyle w:val="47"/>
                    <w:spacing w:before="15" w:line="241" w:lineRule="exact"/>
                    <w:ind w:left="8"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1</w:t>
                  </w:r>
                </w:p>
              </w:tc>
              <w:tc>
                <w:tcPr>
                  <w:tcW w:w="0" w:type="auto"/>
                  <w:vAlign w:val="center"/>
                </w:tcPr>
                <w:p>
                  <w:pPr>
                    <w:pStyle w:val="47"/>
                    <w:spacing w:line="256" w:lineRule="exact"/>
                    <w:ind w:left="9"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套</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电缆浮球液位开关</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color w:val="auto"/>
                      <w:kern w:val="0"/>
                      <w:szCs w:val="21"/>
                      <w:u w:val="none"/>
                    </w:rPr>
                    <w:t>0-10m</w:t>
                  </w:r>
                </w:p>
              </w:tc>
              <w:tc>
                <w:tcPr>
                  <w:tcW w:w="0" w:type="auto"/>
                  <w:vAlign w:val="center"/>
                </w:tcPr>
                <w:p>
                  <w:pPr>
                    <w:pStyle w:val="47"/>
                    <w:spacing w:before="15" w:line="241" w:lineRule="exact"/>
                    <w:ind w:left="8"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2</w:t>
                  </w:r>
                </w:p>
              </w:tc>
              <w:tc>
                <w:tcPr>
                  <w:tcW w:w="0" w:type="auto"/>
                  <w:vAlign w:val="center"/>
                </w:tcPr>
                <w:p>
                  <w:pPr>
                    <w:pStyle w:val="47"/>
                    <w:spacing w:before="1" w:line="255" w:lineRule="exact"/>
                    <w:ind w:left="9"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台</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气体检测报警仪</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移动式</w:t>
                  </w:r>
                </w:p>
              </w:tc>
              <w:tc>
                <w:tcPr>
                  <w:tcW w:w="0" w:type="auto"/>
                  <w:vAlign w:val="center"/>
                </w:tcPr>
                <w:p>
                  <w:pPr>
                    <w:pStyle w:val="47"/>
                    <w:spacing w:before="16" w:line="241" w:lineRule="exact"/>
                    <w:ind w:left="8"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1</w:t>
                  </w:r>
                </w:p>
              </w:tc>
              <w:tc>
                <w:tcPr>
                  <w:tcW w:w="0" w:type="auto"/>
                  <w:vAlign w:val="center"/>
                </w:tcPr>
                <w:p>
                  <w:pPr>
                    <w:pStyle w:val="47"/>
                    <w:spacing w:before="1" w:line="256" w:lineRule="exact"/>
                    <w:ind w:left="9"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台</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超声波液位计（一体式）</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color w:val="auto"/>
                      <w:kern w:val="0"/>
                      <w:szCs w:val="21"/>
                      <w:u w:val="none"/>
                    </w:rPr>
                    <w:t>0-10m</w:t>
                  </w:r>
                  <w:r>
                    <w:rPr>
                      <w:rFonts w:hint="eastAsia"/>
                      <w:color w:val="auto"/>
                      <w:kern w:val="0"/>
                      <w:szCs w:val="21"/>
                      <w:u w:val="none"/>
                    </w:rPr>
                    <w:t>，</w:t>
                  </w:r>
                  <w:r>
                    <w:rPr>
                      <w:color w:val="auto"/>
                      <w:kern w:val="0"/>
                      <w:szCs w:val="21"/>
                      <w:u w:val="none"/>
                    </w:rPr>
                    <w:t>4-20ma</w:t>
                  </w:r>
                  <w:r>
                    <w:rPr>
                      <w:rFonts w:hint="eastAsia"/>
                      <w:color w:val="auto"/>
                      <w:kern w:val="0"/>
                      <w:szCs w:val="21"/>
                      <w:u w:val="none"/>
                    </w:rPr>
                    <w:t>，配套防雨罩</w:t>
                  </w:r>
                </w:p>
              </w:tc>
              <w:tc>
                <w:tcPr>
                  <w:tcW w:w="0" w:type="auto"/>
                  <w:vAlign w:val="center"/>
                </w:tcPr>
                <w:p>
                  <w:pPr>
                    <w:pStyle w:val="47"/>
                    <w:spacing w:before="15" w:line="241" w:lineRule="exact"/>
                    <w:ind w:left="8"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2</w:t>
                  </w:r>
                </w:p>
              </w:tc>
              <w:tc>
                <w:tcPr>
                  <w:tcW w:w="0" w:type="auto"/>
                  <w:vAlign w:val="center"/>
                </w:tcPr>
                <w:p>
                  <w:pPr>
                    <w:pStyle w:val="47"/>
                    <w:spacing w:line="256" w:lineRule="exact"/>
                    <w:ind w:left="9"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台</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超声波液位计（一体式）</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color w:val="auto"/>
                      <w:kern w:val="0"/>
                      <w:szCs w:val="21"/>
                      <w:u w:val="none"/>
                    </w:rPr>
                    <w:t>0-5m</w:t>
                  </w:r>
                  <w:r>
                    <w:rPr>
                      <w:rFonts w:hint="eastAsia"/>
                      <w:color w:val="auto"/>
                      <w:kern w:val="0"/>
                      <w:szCs w:val="21"/>
                      <w:u w:val="none"/>
                    </w:rPr>
                    <w:t>，</w:t>
                  </w:r>
                  <w:r>
                    <w:rPr>
                      <w:color w:val="auto"/>
                      <w:kern w:val="0"/>
                      <w:szCs w:val="21"/>
                      <w:u w:val="none"/>
                    </w:rPr>
                    <w:t>4-20ma</w:t>
                  </w:r>
                  <w:r>
                    <w:rPr>
                      <w:rFonts w:hint="eastAsia"/>
                      <w:color w:val="auto"/>
                      <w:kern w:val="0"/>
                      <w:szCs w:val="21"/>
                      <w:u w:val="none"/>
                    </w:rPr>
                    <w:t>，配套防雨罩</w:t>
                  </w:r>
                </w:p>
              </w:tc>
              <w:tc>
                <w:tcPr>
                  <w:tcW w:w="0" w:type="auto"/>
                  <w:vAlign w:val="center"/>
                </w:tcPr>
                <w:p>
                  <w:pPr>
                    <w:pStyle w:val="47"/>
                    <w:spacing w:before="15" w:line="241" w:lineRule="exact"/>
                    <w:ind w:left="8"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2</w:t>
                  </w:r>
                </w:p>
              </w:tc>
              <w:tc>
                <w:tcPr>
                  <w:tcW w:w="0" w:type="auto"/>
                  <w:vAlign w:val="center"/>
                </w:tcPr>
                <w:p>
                  <w:pPr>
                    <w:pStyle w:val="47"/>
                    <w:spacing w:before="1" w:line="255" w:lineRule="exact"/>
                    <w:ind w:left="9"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台</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电磁流量计</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r>
                    <w:rPr>
                      <w:color w:val="auto"/>
                      <w:kern w:val="0"/>
                      <w:szCs w:val="21"/>
                      <w:u w:val="none"/>
                    </w:rPr>
                    <w:t>DN150</w:t>
                  </w:r>
                  <w:r>
                    <w:rPr>
                      <w:rFonts w:hint="eastAsia"/>
                      <w:color w:val="auto"/>
                      <w:kern w:val="0"/>
                      <w:szCs w:val="21"/>
                      <w:u w:val="none"/>
                    </w:rPr>
                    <w:t xml:space="preserve">，计量范围 </w:t>
                  </w:r>
                  <w:r>
                    <w:rPr>
                      <w:color w:val="auto"/>
                      <w:kern w:val="0"/>
                      <w:szCs w:val="21"/>
                      <w:u w:val="none"/>
                    </w:rPr>
                    <w:t>0-100 m3/h</w:t>
                  </w:r>
                  <w:r>
                    <w:rPr>
                      <w:rFonts w:hint="eastAsia"/>
                      <w:color w:val="auto"/>
                      <w:kern w:val="0"/>
                      <w:szCs w:val="21"/>
                      <w:u w:val="none"/>
                    </w:rPr>
                    <w:t>，进水水量</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测定</w:t>
                  </w:r>
                </w:p>
              </w:tc>
              <w:tc>
                <w:tcPr>
                  <w:tcW w:w="0" w:type="auto"/>
                  <w:vAlign w:val="center"/>
                </w:tcPr>
                <w:p>
                  <w:pPr>
                    <w:pStyle w:val="47"/>
                    <w:spacing w:before="149"/>
                    <w:ind w:left="8"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1</w:t>
                  </w:r>
                </w:p>
              </w:tc>
              <w:tc>
                <w:tcPr>
                  <w:tcW w:w="0" w:type="auto"/>
                  <w:vAlign w:val="center"/>
                </w:tcPr>
                <w:p>
                  <w:pPr>
                    <w:pStyle w:val="47"/>
                    <w:spacing w:before="135"/>
                    <w:ind w:left="10"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套</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电磁流量计</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r>
                    <w:rPr>
                      <w:color w:val="auto"/>
                      <w:kern w:val="0"/>
                      <w:szCs w:val="21"/>
                      <w:u w:val="none"/>
                    </w:rPr>
                    <w:t>DN80</w:t>
                  </w:r>
                  <w:r>
                    <w:rPr>
                      <w:rFonts w:hint="eastAsia"/>
                      <w:color w:val="auto"/>
                      <w:kern w:val="0"/>
                      <w:szCs w:val="21"/>
                      <w:u w:val="none"/>
                    </w:rPr>
                    <w:t xml:space="preserve">，计量范围 </w:t>
                  </w:r>
                  <w:r>
                    <w:rPr>
                      <w:color w:val="auto"/>
                      <w:kern w:val="0"/>
                      <w:szCs w:val="21"/>
                      <w:u w:val="none"/>
                    </w:rPr>
                    <w:t>0-50m3/h</w:t>
                  </w:r>
                  <w:r>
                    <w:rPr>
                      <w:rFonts w:hint="eastAsia"/>
                      <w:color w:val="auto"/>
                      <w:kern w:val="0"/>
                      <w:szCs w:val="21"/>
                      <w:u w:val="none"/>
                    </w:rPr>
                    <w:t>，一体罐进水水</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量测定</w:t>
                  </w:r>
                </w:p>
              </w:tc>
              <w:tc>
                <w:tcPr>
                  <w:tcW w:w="0" w:type="auto"/>
                  <w:vAlign w:val="center"/>
                </w:tcPr>
                <w:p>
                  <w:pPr>
                    <w:pStyle w:val="47"/>
                    <w:spacing w:before="149"/>
                    <w:ind w:left="8"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2</w:t>
                  </w:r>
                </w:p>
              </w:tc>
              <w:tc>
                <w:tcPr>
                  <w:tcW w:w="0" w:type="auto"/>
                  <w:vAlign w:val="center"/>
                </w:tcPr>
                <w:p>
                  <w:pPr>
                    <w:pStyle w:val="47"/>
                    <w:spacing w:before="134"/>
                    <w:ind w:left="10"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套</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电磁流量计</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r>
                    <w:rPr>
                      <w:color w:val="auto"/>
                      <w:kern w:val="0"/>
                      <w:szCs w:val="21"/>
                      <w:u w:val="none"/>
                    </w:rPr>
                    <w:t>DN100</w:t>
                  </w:r>
                  <w:r>
                    <w:rPr>
                      <w:rFonts w:hint="eastAsia"/>
                      <w:color w:val="auto"/>
                      <w:kern w:val="0"/>
                      <w:szCs w:val="21"/>
                      <w:u w:val="none"/>
                    </w:rPr>
                    <w:t xml:space="preserve">，计量范围 </w:t>
                  </w:r>
                  <w:r>
                    <w:rPr>
                      <w:color w:val="auto"/>
                      <w:kern w:val="0"/>
                      <w:szCs w:val="21"/>
                      <w:u w:val="none"/>
                    </w:rPr>
                    <w:t>0-80 m3/h</w:t>
                  </w:r>
                  <w:r>
                    <w:rPr>
                      <w:rFonts w:hint="eastAsia"/>
                      <w:color w:val="auto"/>
                      <w:kern w:val="0"/>
                      <w:szCs w:val="21"/>
                      <w:u w:val="none"/>
                    </w:rPr>
                    <w:t>，污泥回流量</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测定</w:t>
                  </w:r>
                </w:p>
              </w:tc>
              <w:tc>
                <w:tcPr>
                  <w:tcW w:w="0" w:type="auto"/>
                  <w:vAlign w:val="center"/>
                </w:tcPr>
                <w:p>
                  <w:pPr>
                    <w:pStyle w:val="47"/>
                    <w:spacing w:before="149"/>
                    <w:ind w:left="8"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2</w:t>
                  </w:r>
                </w:p>
              </w:tc>
              <w:tc>
                <w:tcPr>
                  <w:tcW w:w="0" w:type="auto"/>
                  <w:vAlign w:val="center"/>
                </w:tcPr>
                <w:p>
                  <w:pPr>
                    <w:pStyle w:val="47"/>
                    <w:spacing w:before="134"/>
                    <w:ind w:left="10"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套</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电动蝶阀</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color w:val="auto"/>
                      <w:kern w:val="0"/>
                      <w:szCs w:val="21"/>
                      <w:u w:val="none"/>
                    </w:rPr>
                    <w:t>DN150</w:t>
                  </w:r>
                </w:p>
              </w:tc>
              <w:tc>
                <w:tcPr>
                  <w:tcW w:w="0" w:type="auto"/>
                  <w:vAlign w:val="center"/>
                </w:tcPr>
                <w:p>
                  <w:pPr>
                    <w:pStyle w:val="47"/>
                    <w:spacing w:before="15" w:line="241" w:lineRule="exact"/>
                    <w:ind w:left="8"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6</w:t>
                  </w:r>
                </w:p>
              </w:tc>
              <w:tc>
                <w:tcPr>
                  <w:tcW w:w="0" w:type="auto"/>
                  <w:vAlign w:val="center"/>
                </w:tcPr>
                <w:p>
                  <w:pPr>
                    <w:pStyle w:val="47"/>
                    <w:spacing w:before="1" w:line="255" w:lineRule="exact"/>
                    <w:ind w:left="10"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个</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溶氧仪</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color w:val="auto"/>
                      <w:kern w:val="0"/>
                      <w:szCs w:val="21"/>
                      <w:u w:val="none"/>
                    </w:rPr>
                    <w:t>0-20mg/l</w:t>
                  </w:r>
                  <w:r>
                    <w:rPr>
                      <w:rFonts w:hint="eastAsia"/>
                      <w:color w:val="auto"/>
                      <w:kern w:val="0"/>
                      <w:szCs w:val="21"/>
                      <w:u w:val="none"/>
                    </w:rPr>
                    <w:t>，</w:t>
                  </w:r>
                  <w:r>
                    <w:rPr>
                      <w:color w:val="auto"/>
                      <w:kern w:val="0"/>
                      <w:szCs w:val="21"/>
                      <w:u w:val="none"/>
                    </w:rPr>
                    <w:t>4-20ma</w:t>
                  </w:r>
                  <w:r>
                    <w:rPr>
                      <w:rFonts w:hint="eastAsia"/>
                      <w:color w:val="auto"/>
                      <w:kern w:val="0"/>
                      <w:szCs w:val="21"/>
                      <w:u w:val="none"/>
                    </w:rPr>
                    <w:t>，荧光法，配套安装支架等附件</w:t>
                  </w:r>
                </w:p>
              </w:tc>
              <w:tc>
                <w:tcPr>
                  <w:tcW w:w="0" w:type="auto"/>
                  <w:vAlign w:val="center"/>
                </w:tcPr>
                <w:p>
                  <w:pPr>
                    <w:pStyle w:val="47"/>
                    <w:spacing w:before="154"/>
                    <w:ind w:left="8"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2</w:t>
                  </w:r>
                </w:p>
              </w:tc>
              <w:tc>
                <w:tcPr>
                  <w:tcW w:w="0" w:type="auto"/>
                  <w:vAlign w:val="center"/>
                </w:tcPr>
                <w:p>
                  <w:pPr>
                    <w:pStyle w:val="47"/>
                    <w:spacing w:before="139"/>
                    <w:ind w:left="10"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套</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溶氧仪仪表箱</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p>
              </w:tc>
              <w:tc>
                <w:tcPr>
                  <w:tcW w:w="0" w:type="auto"/>
                  <w:vAlign w:val="center"/>
                </w:tcPr>
                <w:p>
                  <w:pPr>
                    <w:pStyle w:val="47"/>
                    <w:spacing w:before="15" w:line="241" w:lineRule="exact"/>
                    <w:ind w:left="8"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2</w:t>
                  </w:r>
                </w:p>
              </w:tc>
              <w:tc>
                <w:tcPr>
                  <w:tcW w:w="0" w:type="auto"/>
                  <w:vAlign w:val="center"/>
                </w:tcPr>
                <w:p>
                  <w:pPr>
                    <w:pStyle w:val="47"/>
                    <w:spacing w:line="256" w:lineRule="exact"/>
                    <w:ind w:left="9"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套</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压力表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color w:val="auto"/>
                      <w:kern w:val="0"/>
                      <w:szCs w:val="21"/>
                      <w:u w:val="none"/>
                    </w:rPr>
                    <w:t>0~0.6MPa</w:t>
                  </w:r>
                </w:p>
              </w:tc>
              <w:tc>
                <w:tcPr>
                  <w:tcW w:w="0" w:type="auto"/>
                  <w:vAlign w:val="center"/>
                </w:tcPr>
                <w:p>
                  <w:pPr>
                    <w:pStyle w:val="47"/>
                    <w:spacing w:before="15" w:line="241" w:lineRule="exact"/>
                    <w:ind w:left="8"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2</w:t>
                  </w:r>
                </w:p>
              </w:tc>
              <w:tc>
                <w:tcPr>
                  <w:tcW w:w="0" w:type="auto"/>
                  <w:vAlign w:val="center"/>
                </w:tcPr>
                <w:p>
                  <w:pPr>
                    <w:pStyle w:val="47"/>
                    <w:spacing w:before="1" w:line="255" w:lineRule="exact"/>
                    <w:ind w:left="9"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批</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真空表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color w:val="auto"/>
                      <w:kern w:val="0"/>
                      <w:szCs w:val="21"/>
                      <w:u w:val="none"/>
                    </w:rPr>
                    <w:t>-0.1~0MPa</w:t>
                  </w:r>
                </w:p>
              </w:tc>
              <w:tc>
                <w:tcPr>
                  <w:tcW w:w="0" w:type="auto"/>
                  <w:vAlign w:val="center"/>
                </w:tcPr>
                <w:p>
                  <w:pPr>
                    <w:pStyle w:val="47"/>
                    <w:spacing w:before="16" w:line="241" w:lineRule="exact"/>
                    <w:ind w:left="8"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2</w:t>
                  </w:r>
                </w:p>
              </w:tc>
              <w:tc>
                <w:tcPr>
                  <w:tcW w:w="0" w:type="auto"/>
                  <w:vAlign w:val="center"/>
                </w:tcPr>
                <w:p>
                  <w:pPr>
                    <w:pStyle w:val="47"/>
                    <w:spacing w:before="1" w:line="256" w:lineRule="exact"/>
                    <w:ind w:left="9"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批</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5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阀门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lang w:val="zh-CN" w:eastAsia="zh-CN"/>
                    </w:rPr>
                  </w:pPr>
                  <w:r>
                    <w:rPr>
                      <w:rFonts w:hint="eastAsia"/>
                      <w:color w:val="auto"/>
                      <w:kern w:val="0"/>
                      <w:szCs w:val="21"/>
                      <w:u w:val="none"/>
                    </w:rPr>
                    <w:t>开关阀、止回阀、软接头等</w:t>
                  </w:r>
                </w:p>
              </w:tc>
              <w:tc>
                <w:tcPr>
                  <w:tcW w:w="0" w:type="auto"/>
                  <w:vAlign w:val="center"/>
                </w:tcPr>
                <w:p>
                  <w:pPr>
                    <w:pStyle w:val="47"/>
                    <w:spacing w:before="15" w:line="241" w:lineRule="exact"/>
                    <w:ind w:left="8" w:leftChars="0"/>
                    <w:jc w:val="center"/>
                    <w:rPr>
                      <w:rFonts w:hint="eastAsia" w:ascii="Times New Roman" w:hAnsi="Times New Roman" w:eastAsia="宋体" w:cs="Times New Roman"/>
                      <w:color w:val="auto"/>
                      <w:kern w:val="0"/>
                      <w:sz w:val="21"/>
                      <w:szCs w:val="21"/>
                      <w:u w:val="none"/>
                      <w:lang w:val="zh-CN" w:eastAsia="zh-CN" w:bidi="ar-SA"/>
                    </w:rPr>
                  </w:pPr>
                  <w:r>
                    <w:rPr>
                      <w:rFonts w:ascii="Times New Roman" w:hAnsi="Times New Roman" w:eastAsia="宋体" w:cs="Times New Roman"/>
                      <w:color w:val="auto"/>
                      <w:kern w:val="0"/>
                      <w:sz w:val="21"/>
                      <w:szCs w:val="21"/>
                      <w:u w:val="none"/>
                      <w:lang w:val="en-US" w:eastAsia="zh-CN" w:bidi="ar-SA"/>
                    </w:rPr>
                    <w:t>1</w:t>
                  </w:r>
                </w:p>
              </w:tc>
              <w:tc>
                <w:tcPr>
                  <w:tcW w:w="0" w:type="auto"/>
                  <w:vAlign w:val="center"/>
                </w:tcPr>
                <w:p>
                  <w:pPr>
                    <w:pStyle w:val="47"/>
                    <w:spacing w:line="256" w:lineRule="exact"/>
                    <w:ind w:left="9" w:leftChars="0"/>
                    <w:jc w:val="center"/>
                    <w:rPr>
                      <w:rFonts w:hint="eastAsia" w:ascii="Times New Roman" w:hAnsi="Times New Roman" w:eastAsia="宋体" w:cs="Times New Roman"/>
                      <w:color w:val="auto"/>
                      <w:kern w:val="0"/>
                      <w:sz w:val="21"/>
                      <w:szCs w:val="21"/>
                      <w:u w:val="none"/>
                      <w:lang w:val="zh-CN" w:eastAsia="zh-CN" w:bidi="ar-SA"/>
                    </w:rPr>
                  </w:pPr>
                  <w:r>
                    <w:rPr>
                      <w:rFonts w:hint="eastAsia" w:ascii="Times New Roman" w:hAnsi="Times New Roman" w:eastAsia="宋体" w:cs="Times New Roman"/>
                      <w:color w:val="auto"/>
                      <w:kern w:val="0"/>
                      <w:sz w:val="21"/>
                      <w:szCs w:val="21"/>
                      <w:u w:val="none"/>
                      <w:lang w:val="en-US" w:eastAsia="zh-CN" w:bidi="ar-SA"/>
                    </w:rPr>
                    <w:t>批</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kern w:val="0"/>
                      <w:szCs w:val="21"/>
                      <w:u w:val="none"/>
                    </w:rPr>
                  </w:pP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right="0" w:rightChars="0" w:firstLine="482" w:firstLineChars="200"/>
              <w:rPr>
                <w:b/>
                <w:bCs/>
                <w:color w:val="auto"/>
                <w:sz w:val="24"/>
                <w:szCs w:val="24"/>
                <w:u w:val="none"/>
              </w:rPr>
            </w:pPr>
            <w:r>
              <w:rPr>
                <w:b/>
                <w:bCs/>
                <w:color w:val="auto"/>
                <w:sz w:val="24"/>
                <w:szCs w:val="24"/>
                <w:u w:val="none"/>
              </w:rPr>
              <w:t>主要原辅材及能源消耗</w:t>
            </w:r>
          </w:p>
          <w:p>
            <w:pPr>
              <w:pStyle w:val="65"/>
              <w:keepNext w:val="0"/>
              <w:keepLines w:val="0"/>
              <w:pageBreakBefore w:val="0"/>
              <w:widowControl w:val="0"/>
              <w:tabs>
                <w:tab w:val="clear" w:pos="1021"/>
              </w:tabs>
              <w:kinsoku/>
              <w:wordWrap/>
              <w:overflowPunct/>
              <w:topLinePunct w:val="0"/>
              <w:autoSpaceDE/>
              <w:autoSpaceDN/>
              <w:bidi w:val="0"/>
              <w:adjustRightInd w:val="0"/>
              <w:snapToGrid w:val="0"/>
              <w:spacing w:line="360" w:lineRule="auto"/>
              <w:ind w:right="0" w:rightChars="0" w:firstLine="480"/>
              <w:rPr>
                <w:rFonts w:cs="Times New Roman"/>
                <w:color w:val="auto"/>
                <w:sz w:val="24"/>
                <w:szCs w:val="24"/>
                <w:u w:val="none"/>
              </w:rPr>
            </w:pPr>
            <w:r>
              <w:rPr>
                <w:rFonts w:hint="eastAsia" w:cs="Times New Roman"/>
                <w:color w:val="auto"/>
                <w:sz w:val="24"/>
                <w:szCs w:val="24"/>
                <w:u w:val="none"/>
              </w:rPr>
              <w:t>本项目主要原辅材料消耗见下表：</w:t>
            </w:r>
          </w:p>
          <w:p>
            <w:pPr>
              <w:keepNext w:val="0"/>
              <w:keepLines w:val="0"/>
              <w:pageBreakBefore w:val="0"/>
              <w:widowControl w:val="0"/>
              <w:kinsoku/>
              <w:wordWrap/>
              <w:overflowPunct/>
              <w:topLinePunct w:val="0"/>
              <w:autoSpaceDE/>
              <w:autoSpaceDN/>
              <w:bidi w:val="0"/>
              <w:adjustRightInd w:val="0"/>
              <w:snapToGrid w:val="0"/>
              <w:spacing w:line="240" w:lineRule="auto"/>
              <w:jc w:val="center"/>
              <w:rPr>
                <w:b/>
                <w:bCs/>
                <w:color w:val="auto"/>
                <w:szCs w:val="21"/>
                <w:u w:val="none"/>
              </w:rPr>
            </w:pPr>
            <w:r>
              <w:rPr>
                <w:rFonts w:hint="eastAsia"/>
                <w:b/>
                <w:bCs/>
                <w:color w:val="auto"/>
                <w:szCs w:val="21"/>
                <w:u w:val="none"/>
              </w:rPr>
              <w:t>表1-5  项目主要原辅材料消耗</w:t>
            </w:r>
          </w:p>
          <w:tbl>
            <w:tblPr>
              <w:tblStyle w:val="27"/>
              <w:tblW w:w="84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339"/>
              <w:gridCol w:w="1676"/>
              <w:gridCol w:w="1707"/>
              <w:gridCol w:w="1581"/>
              <w:gridCol w:w="14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序号</w:t>
                  </w:r>
                </w:p>
              </w:tc>
              <w:tc>
                <w:tcPr>
                  <w:tcW w:w="1339"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名称</w:t>
                  </w:r>
                </w:p>
              </w:tc>
              <w:tc>
                <w:tcPr>
                  <w:tcW w:w="1676"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消耗量（</w:t>
                  </w:r>
                  <w:r>
                    <w:rPr>
                      <w:color w:val="auto"/>
                      <w:kern w:val="0"/>
                      <w:szCs w:val="21"/>
                      <w:u w:val="none"/>
                    </w:rPr>
                    <w:t>t/a</w:t>
                  </w:r>
                  <w:r>
                    <w:rPr>
                      <w:rFonts w:hint="eastAsia"/>
                      <w:color w:val="auto"/>
                      <w:kern w:val="0"/>
                      <w:szCs w:val="21"/>
                      <w:u w:val="none"/>
                    </w:rPr>
                    <w:t>）</w:t>
                  </w:r>
                </w:p>
              </w:tc>
              <w:tc>
                <w:tcPr>
                  <w:tcW w:w="1707"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最大贮存量（</w:t>
                  </w:r>
                  <w:r>
                    <w:rPr>
                      <w:color w:val="auto"/>
                      <w:kern w:val="0"/>
                      <w:szCs w:val="21"/>
                      <w:u w:val="none"/>
                    </w:rPr>
                    <w:t>t</w:t>
                  </w:r>
                  <w:r>
                    <w:rPr>
                      <w:rFonts w:hint="eastAsia"/>
                      <w:color w:val="auto"/>
                      <w:kern w:val="0"/>
                      <w:szCs w:val="21"/>
                      <w:u w:val="none"/>
                    </w:rPr>
                    <w:t>）</w:t>
                  </w:r>
                </w:p>
              </w:tc>
              <w:tc>
                <w:tcPr>
                  <w:tcW w:w="1581"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贮存方式</w:t>
                  </w:r>
                </w:p>
              </w:tc>
              <w:tc>
                <w:tcPr>
                  <w:tcW w:w="1454"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贮存地点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692" w:type="dxa"/>
                  <w:tcBorders>
                    <w:tl2br w:val="nil"/>
                    <w:tr2bl w:val="nil"/>
                  </w:tcBorders>
                  <w:vAlign w:val="center"/>
                </w:tcPr>
                <w:p>
                  <w:pPr>
                    <w:widowControl/>
                    <w:jc w:val="center"/>
                    <w:rPr>
                      <w:color w:val="auto"/>
                      <w:kern w:val="0"/>
                      <w:szCs w:val="21"/>
                      <w:u w:val="none"/>
                    </w:rPr>
                  </w:pPr>
                  <w:r>
                    <w:rPr>
                      <w:color w:val="auto"/>
                      <w:kern w:val="0"/>
                      <w:szCs w:val="21"/>
                      <w:u w:val="none"/>
                    </w:rPr>
                    <w:t>1</w:t>
                  </w:r>
                </w:p>
              </w:tc>
              <w:tc>
                <w:tcPr>
                  <w:tcW w:w="1339" w:type="dxa"/>
                  <w:tcBorders>
                    <w:tl2br w:val="nil"/>
                    <w:tr2bl w:val="nil"/>
                  </w:tcBorders>
                  <w:vAlign w:val="center"/>
                </w:tcPr>
                <w:p>
                  <w:pPr>
                    <w:widowControl/>
                    <w:jc w:val="center"/>
                    <w:rPr>
                      <w:color w:val="auto"/>
                      <w:kern w:val="0"/>
                      <w:szCs w:val="21"/>
                      <w:u w:val="none"/>
                    </w:rPr>
                  </w:pPr>
                  <w:r>
                    <w:rPr>
                      <w:color w:val="auto"/>
                      <w:szCs w:val="21"/>
                      <w:u w:val="none"/>
                    </w:rPr>
                    <w:t>污泥调理剂</w:t>
                  </w:r>
                </w:p>
              </w:tc>
              <w:tc>
                <w:tcPr>
                  <w:tcW w:w="1676" w:type="dxa"/>
                  <w:tcBorders>
                    <w:tl2br w:val="nil"/>
                    <w:tr2bl w:val="nil"/>
                  </w:tcBorders>
                  <w:vAlign w:val="center"/>
                </w:tcPr>
                <w:p>
                  <w:pPr>
                    <w:widowControl/>
                    <w:jc w:val="center"/>
                    <w:rPr>
                      <w:rFonts w:hint="default" w:eastAsia="宋体"/>
                      <w:color w:val="auto"/>
                      <w:kern w:val="0"/>
                      <w:szCs w:val="21"/>
                      <w:u w:val="none"/>
                      <w:lang w:val="en-US" w:eastAsia="zh-CN"/>
                    </w:rPr>
                  </w:pPr>
                  <w:r>
                    <w:rPr>
                      <w:rFonts w:hint="eastAsia"/>
                      <w:color w:val="auto"/>
                      <w:kern w:val="0"/>
                      <w:szCs w:val="21"/>
                      <w:u w:val="none"/>
                      <w:lang w:val="en-US" w:eastAsia="zh-CN"/>
                    </w:rPr>
                    <w:t>1.0</w:t>
                  </w:r>
                </w:p>
              </w:tc>
              <w:tc>
                <w:tcPr>
                  <w:tcW w:w="1707" w:type="dxa"/>
                  <w:tcBorders>
                    <w:tl2br w:val="nil"/>
                    <w:tr2bl w:val="nil"/>
                  </w:tcBorders>
                  <w:vAlign w:val="center"/>
                </w:tcPr>
                <w:p>
                  <w:pPr>
                    <w:widowControl/>
                    <w:jc w:val="center"/>
                    <w:rPr>
                      <w:rFonts w:hint="default" w:eastAsia="宋体"/>
                      <w:color w:val="auto"/>
                      <w:kern w:val="0"/>
                      <w:szCs w:val="21"/>
                      <w:u w:val="none"/>
                      <w:lang w:val="en-US" w:eastAsia="zh-CN"/>
                    </w:rPr>
                  </w:pPr>
                  <w:r>
                    <w:rPr>
                      <w:rFonts w:hint="eastAsia"/>
                      <w:color w:val="auto"/>
                      <w:kern w:val="0"/>
                      <w:szCs w:val="21"/>
                      <w:u w:val="none"/>
                      <w:lang w:val="en-US" w:eastAsia="zh-CN"/>
                    </w:rPr>
                    <w:t>0.1</w:t>
                  </w:r>
                </w:p>
              </w:tc>
              <w:tc>
                <w:tcPr>
                  <w:tcW w:w="1581"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袋装</w:t>
                  </w:r>
                </w:p>
              </w:tc>
              <w:tc>
                <w:tcPr>
                  <w:tcW w:w="1454"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加药间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92"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2</w:t>
                  </w:r>
                </w:p>
              </w:tc>
              <w:tc>
                <w:tcPr>
                  <w:tcW w:w="1339" w:type="dxa"/>
                  <w:tcBorders>
                    <w:tl2br w:val="nil"/>
                    <w:tr2bl w:val="nil"/>
                  </w:tcBorders>
                  <w:vAlign w:val="center"/>
                </w:tcPr>
                <w:p>
                  <w:pPr>
                    <w:widowControl/>
                    <w:jc w:val="center"/>
                    <w:rPr>
                      <w:color w:val="auto"/>
                      <w:szCs w:val="21"/>
                      <w:u w:val="none"/>
                    </w:rPr>
                  </w:pPr>
                  <w:r>
                    <w:rPr>
                      <w:rFonts w:hint="eastAsia" w:ascii="宋体" w:hAnsi="宋体" w:cs="宋体"/>
                      <w:color w:val="auto"/>
                      <w:szCs w:val="21"/>
                      <w:u w:val="none"/>
                      <w:shd w:val="clear" w:color="auto" w:fill="FFFFFF"/>
                    </w:rPr>
                    <w:t>除臭剂</w:t>
                  </w:r>
                </w:p>
              </w:tc>
              <w:tc>
                <w:tcPr>
                  <w:tcW w:w="1676"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0.2</w:t>
                  </w:r>
                </w:p>
              </w:tc>
              <w:tc>
                <w:tcPr>
                  <w:tcW w:w="1707"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0.01</w:t>
                  </w:r>
                </w:p>
              </w:tc>
              <w:tc>
                <w:tcPr>
                  <w:tcW w:w="1581"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罐装</w:t>
                  </w:r>
                </w:p>
              </w:tc>
              <w:tc>
                <w:tcPr>
                  <w:tcW w:w="1454"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加药间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92"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3</w:t>
                  </w:r>
                </w:p>
              </w:tc>
              <w:tc>
                <w:tcPr>
                  <w:tcW w:w="1339" w:type="dxa"/>
                  <w:tcBorders>
                    <w:tl2br w:val="nil"/>
                    <w:tr2bl w:val="nil"/>
                  </w:tcBorders>
                  <w:vAlign w:val="center"/>
                </w:tcPr>
                <w:p>
                  <w:pPr>
                    <w:widowControl/>
                    <w:jc w:val="center"/>
                    <w:rPr>
                      <w:rFonts w:ascii="宋体" w:hAnsi="宋体" w:cs="宋体"/>
                      <w:color w:val="auto"/>
                      <w:szCs w:val="21"/>
                      <w:u w:val="none"/>
                      <w:shd w:val="clear" w:color="auto" w:fill="FFFFFF"/>
                    </w:rPr>
                  </w:pPr>
                  <w:r>
                    <w:rPr>
                      <w:rFonts w:hint="eastAsia" w:ascii="宋体" w:hAnsi="宋体" w:cs="宋体"/>
                      <w:color w:val="auto"/>
                      <w:szCs w:val="21"/>
                      <w:u w:val="none"/>
                      <w:shd w:val="clear" w:color="auto" w:fill="FFFFFF"/>
                      <w:lang w:eastAsia="zh-CN"/>
                    </w:rPr>
                    <w:t>紫外</w:t>
                  </w:r>
                  <w:r>
                    <w:rPr>
                      <w:rFonts w:hint="eastAsia" w:ascii="宋体" w:hAnsi="宋体" w:cs="宋体"/>
                      <w:color w:val="auto"/>
                      <w:szCs w:val="21"/>
                      <w:u w:val="none"/>
                      <w:shd w:val="clear" w:color="auto" w:fill="FFFFFF"/>
                    </w:rPr>
                    <w:t>灯管</w:t>
                  </w:r>
                </w:p>
              </w:tc>
              <w:tc>
                <w:tcPr>
                  <w:tcW w:w="1676"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6支</w:t>
                  </w:r>
                </w:p>
              </w:tc>
              <w:tc>
                <w:tcPr>
                  <w:tcW w:w="1707" w:type="dxa"/>
                  <w:tcBorders>
                    <w:tl2br w:val="nil"/>
                    <w:tr2bl w:val="nil"/>
                  </w:tcBorders>
                  <w:vAlign w:val="center"/>
                </w:tcPr>
                <w:p>
                  <w:pPr>
                    <w:widowControl/>
                    <w:jc w:val="center"/>
                    <w:rPr>
                      <w:color w:val="auto"/>
                      <w:kern w:val="0"/>
                      <w:szCs w:val="21"/>
                      <w:u w:val="none"/>
                    </w:rPr>
                  </w:pPr>
                  <w:r>
                    <w:rPr>
                      <w:rFonts w:hint="eastAsia"/>
                      <w:color w:val="auto"/>
                      <w:kern w:val="0"/>
                      <w:szCs w:val="21"/>
                      <w:u w:val="none"/>
                      <w:lang w:val="en-US" w:eastAsia="zh-CN"/>
                    </w:rPr>
                    <w:t>6</w:t>
                  </w:r>
                  <w:r>
                    <w:rPr>
                      <w:rFonts w:hint="eastAsia"/>
                      <w:color w:val="auto"/>
                      <w:kern w:val="0"/>
                      <w:szCs w:val="21"/>
                      <w:u w:val="none"/>
                    </w:rPr>
                    <w:t>支</w:t>
                  </w:r>
                </w:p>
              </w:tc>
              <w:tc>
                <w:tcPr>
                  <w:tcW w:w="1581"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自带包装</w:t>
                  </w:r>
                </w:p>
              </w:tc>
              <w:tc>
                <w:tcPr>
                  <w:tcW w:w="1454"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办公楼仓库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4</w:t>
                  </w:r>
                </w:p>
              </w:tc>
              <w:tc>
                <w:tcPr>
                  <w:tcW w:w="1339"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水</w:t>
                  </w:r>
                </w:p>
              </w:tc>
              <w:tc>
                <w:tcPr>
                  <w:tcW w:w="1676" w:type="dxa"/>
                  <w:tcBorders>
                    <w:tl2br w:val="nil"/>
                    <w:tr2bl w:val="nil"/>
                  </w:tcBorders>
                  <w:vAlign w:val="center"/>
                </w:tcPr>
                <w:p>
                  <w:pPr>
                    <w:widowControl/>
                    <w:jc w:val="center"/>
                    <w:rPr>
                      <w:color w:val="auto"/>
                      <w:kern w:val="0"/>
                      <w:szCs w:val="21"/>
                      <w:u w:val="none"/>
                    </w:rPr>
                  </w:pPr>
                  <w:r>
                    <w:rPr>
                      <w:rFonts w:hint="eastAsia"/>
                      <w:color w:val="auto"/>
                      <w:kern w:val="0"/>
                      <w:szCs w:val="21"/>
                      <w:u w:val="none"/>
                      <w:lang w:val="en-US" w:eastAsia="zh-CN"/>
                    </w:rPr>
                    <w:t>264.63</w:t>
                  </w:r>
                  <w:r>
                    <w:rPr>
                      <w:color w:val="auto"/>
                      <w:kern w:val="0"/>
                      <w:szCs w:val="21"/>
                      <w:u w:val="none"/>
                    </w:rPr>
                    <w:t>m</w:t>
                  </w:r>
                  <w:r>
                    <w:rPr>
                      <w:color w:val="auto"/>
                      <w:kern w:val="0"/>
                      <w:szCs w:val="21"/>
                      <w:u w:val="none"/>
                      <w:vertAlign w:val="superscript"/>
                    </w:rPr>
                    <w:t>3</w:t>
                  </w:r>
                  <w:r>
                    <w:rPr>
                      <w:color w:val="auto"/>
                      <w:kern w:val="0"/>
                      <w:szCs w:val="21"/>
                      <w:u w:val="none"/>
                    </w:rPr>
                    <w:t>/a</w:t>
                  </w:r>
                </w:p>
              </w:tc>
              <w:tc>
                <w:tcPr>
                  <w:tcW w:w="1707" w:type="dxa"/>
                  <w:tcBorders>
                    <w:tl2br w:val="nil"/>
                    <w:tr2bl w:val="nil"/>
                  </w:tcBorders>
                  <w:vAlign w:val="center"/>
                </w:tcPr>
                <w:p>
                  <w:pPr>
                    <w:widowControl/>
                    <w:jc w:val="center"/>
                    <w:rPr>
                      <w:color w:val="auto"/>
                      <w:kern w:val="0"/>
                      <w:szCs w:val="21"/>
                      <w:u w:val="none"/>
                    </w:rPr>
                  </w:pPr>
                  <w:r>
                    <w:rPr>
                      <w:color w:val="auto"/>
                      <w:kern w:val="0"/>
                      <w:szCs w:val="21"/>
                      <w:u w:val="none"/>
                    </w:rPr>
                    <w:t>/</w:t>
                  </w:r>
                </w:p>
              </w:tc>
              <w:tc>
                <w:tcPr>
                  <w:tcW w:w="1581" w:type="dxa"/>
                  <w:tcBorders>
                    <w:tl2br w:val="nil"/>
                    <w:tr2bl w:val="nil"/>
                  </w:tcBorders>
                  <w:vAlign w:val="center"/>
                </w:tcPr>
                <w:p>
                  <w:pPr>
                    <w:widowControl/>
                    <w:jc w:val="center"/>
                    <w:rPr>
                      <w:color w:val="auto"/>
                      <w:kern w:val="0"/>
                      <w:szCs w:val="21"/>
                      <w:u w:val="none"/>
                    </w:rPr>
                  </w:pPr>
                  <w:r>
                    <w:rPr>
                      <w:color w:val="auto"/>
                      <w:kern w:val="0"/>
                      <w:szCs w:val="21"/>
                      <w:u w:val="none"/>
                    </w:rPr>
                    <w:t>/</w:t>
                  </w:r>
                </w:p>
              </w:tc>
              <w:tc>
                <w:tcPr>
                  <w:tcW w:w="1454" w:type="dxa"/>
                  <w:tcBorders>
                    <w:tl2br w:val="nil"/>
                    <w:tr2bl w:val="nil"/>
                  </w:tcBorders>
                  <w:vAlign w:val="center"/>
                </w:tcPr>
                <w:p>
                  <w:pPr>
                    <w:widowControl/>
                    <w:jc w:val="center"/>
                    <w:rPr>
                      <w:color w:val="auto"/>
                      <w:kern w:val="0"/>
                      <w:szCs w:val="21"/>
                      <w:u w:val="none"/>
                    </w:rPr>
                  </w:pPr>
                  <w:r>
                    <w:rPr>
                      <w:color w:val="auto"/>
                      <w:kern w:val="0"/>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5</w:t>
                  </w:r>
                </w:p>
              </w:tc>
              <w:tc>
                <w:tcPr>
                  <w:tcW w:w="1339"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电</w:t>
                  </w:r>
                </w:p>
              </w:tc>
              <w:tc>
                <w:tcPr>
                  <w:tcW w:w="1676" w:type="dxa"/>
                  <w:tcBorders>
                    <w:tl2br w:val="nil"/>
                    <w:tr2bl w:val="nil"/>
                  </w:tcBorders>
                  <w:vAlign w:val="center"/>
                </w:tcPr>
                <w:p>
                  <w:pPr>
                    <w:widowControl/>
                    <w:jc w:val="center"/>
                    <w:rPr>
                      <w:color w:val="auto"/>
                      <w:kern w:val="0"/>
                      <w:szCs w:val="21"/>
                      <w:u w:val="none"/>
                    </w:rPr>
                  </w:pPr>
                  <w:r>
                    <w:rPr>
                      <w:color w:val="auto"/>
                      <w:kern w:val="0"/>
                      <w:szCs w:val="21"/>
                      <w:u w:val="none"/>
                    </w:rPr>
                    <w:t>15.72</w:t>
                  </w:r>
                  <w:r>
                    <w:rPr>
                      <w:rFonts w:hint="eastAsia"/>
                      <w:color w:val="auto"/>
                      <w:kern w:val="0"/>
                      <w:szCs w:val="21"/>
                      <w:u w:val="none"/>
                    </w:rPr>
                    <w:t>万</w:t>
                  </w:r>
                  <w:r>
                    <w:rPr>
                      <w:color w:val="auto"/>
                      <w:kern w:val="0"/>
                      <w:szCs w:val="21"/>
                      <w:u w:val="none"/>
                    </w:rPr>
                    <w:t>kw</w:t>
                  </w:r>
                  <w:r>
                    <w:rPr>
                      <w:rFonts w:hint="eastAsia"/>
                      <w:color w:val="auto"/>
                      <w:kern w:val="0"/>
                      <w:szCs w:val="21"/>
                      <w:u w:val="none"/>
                    </w:rPr>
                    <w:t>·</w:t>
                  </w:r>
                  <w:r>
                    <w:rPr>
                      <w:color w:val="auto"/>
                      <w:kern w:val="0"/>
                      <w:szCs w:val="21"/>
                      <w:u w:val="none"/>
                    </w:rPr>
                    <w:t>h/a</w:t>
                  </w:r>
                </w:p>
              </w:tc>
              <w:tc>
                <w:tcPr>
                  <w:tcW w:w="1707" w:type="dxa"/>
                  <w:tcBorders>
                    <w:tl2br w:val="nil"/>
                    <w:tr2bl w:val="nil"/>
                  </w:tcBorders>
                  <w:vAlign w:val="center"/>
                </w:tcPr>
                <w:p>
                  <w:pPr>
                    <w:widowControl/>
                    <w:jc w:val="center"/>
                    <w:rPr>
                      <w:color w:val="auto"/>
                      <w:kern w:val="0"/>
                      <w:szCs w:val="21"/>
                      <w:u w:val="none"/>
                    </w:rPr>
                  </w:pPr>
                  <w:r>
                    <w:rPr>
                      <w:color w:val="auto"/>
                      <w:kern w:val="0"/>
                      <w:szCs w:val="21"/>
                      <w:u w:val="none"/>
                    </w:rPr>
                    <w:t>/</w:t>
                  </w:r>
                </w:p>
              </w:tc>
              <w:tc>
                <w:tcPr>
                  <w:tcW w:w="1581" w:type="dxa"/>
                  <w:tcBorders>
                    <w:tl2br w:val="nil"/>
                    <w:tr2bl w:val="nil"/>
                  </w:tcBorders>
                  <w:vAlign w:val="center"/>
                </w:tcPr>
                <w:p>
                  <w:pPr>
                    <w:widowControl/>
                    <w:jc w:val="center"/>
                    <w:rPr>
                      <w:color w:val="auto"/>
                      <w:kern w:val="0"/>
                      <w:szCs w:val="21"/>
                      <w:u w:val="none"/>
                    </w:rPr>
                  </w:pPr>
                  <w:r>
                    <w:rPr>
                      <w:color w:val="auto"/>
                      <w:kern w:val="0"/>
                      <w:szCs w:val="21"/>
                      <w:u w:val="none"/>
                    </w:rPr>
                    <w:t>/</w:t>
                  </w:r>
                </w:p>
              </w:tc>
              <w:tc>
                <w:tcPr>
                  <w:tcW w:w="1454" w:type="dxa"/>
                  <w:tcBorders>
                    <w:tl2br w:val="nil"/>
                    <w:tr2bl w:val="nil"/>
                  </w:tcBorders>
                  <w:vAlign w:val="center"/>
                </w:tcPr>
                <w:p>
                  <w:pPr>
                    <w:widowControl/>
                    <w:jc w:val="center"/>
                    <w:rPr>
                      <w:color w:val="auto"/>
                      <w:kern w:val="0"/>
                      <w:szCs w:val="21"/>
                      <w:u w:val="none"/>
                    </w:rPr>
                  </w:pPr>
                  <w:r>
                    <w:rPr>
                      <w:color w:val="auto"/>
                      <w:kern w:val="0"/>
                      <w:szCs w:val="21"/>
                      <w:u w:val="none"/>
                    </w:rPr>
                    <w:t>/</w:t>
                  </w:r>
                </w:p>
              </w:tc>
            </w:tr>
          </w:tbl>
          <w:p>
            <w:pPr>
              <w:keepNext w:val="0"/>
              <w:keepLines w:val="0"/>
              <w:pageBreakBefore w:val="0"/>
              <w:widowControl w:val="0"/>
              <w:tabs>
                <w:tab w:val="left" w:pos="7920"/>
              </w:tabs>
              <w:kinsoku/>
              <w:wordWrap/>
              <w:overflowPunct/>
              <w:topLinePunct w:val="0"/>
              <w:autoSpaceDE/>
              <w:autoSpaceDN/>
              <w:bidi w:val="0"/>
              <w:adjustRightInd w:val="0"/>
              <w:snapToGrid w:val="0"/>
              <w:spacing w:line="360" w:lineRule="auto"/>
              <w:ind w:firstLine="480" w:firstLineChars="200"/>
              <w:textAlignment w:val="auto"/>
              <w:rPr>
                <w:bCs/>
                <w:color w:val="auto"/>
                <w:szCs w:val="24"/>
                <w:u w:val="none"/>
              </w:rPr>
            </w:pPr>
            <w:r>
              <w:rPr>
                <w:rFonts w:hint="eastAsia"/>
                <w:color w:val="auto"/>
                <w:sz w:val="24"/>
                <w:szCs w:val="24"/>
                <w:u w:val="none"/>
              </w:rPr>
              <w:t>污泥调理剂：原理就是在污泥内部构建骨架保持流体通道，减少固液之间的界面张力，使污泥絮体网格中所含的水分得以释放，从而有利于污泥中的水分深度脱出。同时由于界面张力的降低，减少了污泥絮体的抗剪切力和流变性，使搅拌、混合等操作过程的能耗降低，同时，通过在碱性环境中改变和破坏水中胶体颗粒表面的有机物结构，使絮凝剂或混凝剂更加直接的和胶体颗粒及结构改变的溶解性有机物作用，从而达到强化混凝、加快过滤的效果。其主要成分按质量百分比如下：MgO 5-40%、Ca(OH )</w:t>
            </w:r>
            <w:r>
              <w:rPr>
                <w:rFonts w:hint="eastAsia"/>
                <w:color w:val="auto"/>
                <w:sz w:val="24"/>
                <w:szCs w:val="24"/>
                <w:u w:val="none"/>
                <w:vertAlign w:val="subscript"/>
              </w:rPr>
              <w:t xml:space="preserve">2  </w:t>
            </w:r>
            <w:r>
              <w:rPr>
                <w:rFonts w:hint="eastAsia"/>
                <w:color w:val="auto"/>
                <w:sz w:val="24"/>
                <w:szCs w:val="24"/>
                <w:u w:val="none"/>
              </w:rPr>
              <w:t>35-65%、粉煤灰5-50%、磁铁矿尾矿粉1-10%、Al</w:t>
            </w:r>
            <w:r>
              <w:rPr>
                <w:rFonts w:hint="eastAsia"/>
                <w:color w:val="auto"/>
                <w:sz w:val="24"/>
                <w:szCs w:val="24"/>
                <w:u w:val="none"/>
                <w:vertAlign w:val="subscript"/>
              </w:rPr>
              <w:t>2</w:t>
            </w:r>
            <w:r>
              <w:rPr>
                <w:rFonts w:hint="eastAsia"/>
                <w:color w:val="auto"/>
                <w:sz w:val="24"/>
                <w:szCs w:val="24"/>
                <w:u w:val="none"/>
              </w:rPr>
              <w:t>O</w:t>
            </w:r>
            <w:r>
              <w:rPr>
                <w:rFonts w:hint="eastAsia"/>
                <w:color w:val="auto"/>
                <w:sz w:val="24"/>
                <w:szCs w:val="24"/>
                <w:u w:val="none"/>
                <w:vertAlign w:val="subscript"/>
              </w:rPr>
              <w:t>3</w:t>
            </w:r>
            <w:r>
              <w:rPr>
                <w:rFonts w:hint="eastAsia"/>
                <w:color w:val="auto"/>
                <w:sz w:val="24"/>
                <w:szCs w:val="24"/>
                <w:u w:val="none"/>
              </w:rPr>
              <w:t xml:space="preserve"> 1-10%、KH</w:t>
            </w:r>
            <w:r>
              <w:rPr>
                <w:rFonts w:hint="eastAsia"/>
                <w:color w:val="auto"/>
                <w:sz w:val="24"/>
                <w:szCs w:val="24"/>
                <w:u w:val="none"/>
                <w:vertAlign w:val="subscript"/>
              </w:rPr>
              <w:t>2</w:t>
            </w:r>
            <w:r>
              <w:rPr>
                <w:rFonts w:hint="eastAsia"/>
                <w:color w:val="auto"/>
                <w:sz w:val="24"/>
                <w:szCs w:val="24"/>
                <w:u w:val="none"/>
              </w:rPr>
              <w:t>PO</w:t>
            </w:r>
            <w:r>
              <w:rPr>
                <w:rFonts w:hint="eastAsia"/>
                <w:color w:val="auto"/>
                <w:sz w:val="24"/>
                <w:szCs w:val="24"/>
                <w:u w:val="none"/>
                <w:vertAlign w:val="subscript"/>
              </w:rPr>
              <w:t xml:space="preserve">4 </w:t>
            </w:r>
            <w:r>
              <w:rPr>
                <w:rFonts w:hint="eastAsia"/>
                <w:color w:val="auto"/>
                <w:sz w:val="24"/>
                <w:szCs w:val="24"/>
                <w:u w:val="none"/>
              </w:rPr>
              <w:t>1-10%。</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none"/>
              </w:rPr>
            </w:pPr>
            <w:r>
              <w:rPr>
                <w:b/>
                <w:bCs/>
                <w:color w:val="auto"/>
                <w:sz w:val="24"/>
                <w:szCs w:val="24"/>
                <w:u w:val="none"/>
              </w:rPr>
              <w:t>污水量预测</w:t>
            </w:r>
          </w:p>
          <w:p>
            <w:pPr>
              <w:keepNext w:val="0"/>
              <w:keepLines w:val="0"/>
              <w:pageBreakBefore w:val="0"/>
              <w:widowControl w:val="0"/>
              <w:tabs>
                <w:tab w:val="left" w:pos="851"/>
              </w:tabs>
              <w:kinsoku/>
              <w:wordWrap/>
              <w:overflowPunct/>
              <w:topLinePunct w:val="0"/>
              <w:autoSpaceDE/>
              <w:autoSpaceDN/>
              <w:bidi w:val="0"/>
              <w:adjustRightInd w:val="0"/>
              <w:snapToGrid w:val="0"/>
              <w:spacing w:after="0" w:line="360" w:lineRule="auto"/>
              <w:ind w:firstLine="480" w:firstLineChars="200"/>
              <w:textAlignment w:val="auto"/>
              <w:rPr>
                <w:rFonts w:hint="eastAsia"/>
                <w:color w:val="auto"/>
                <w:sz w:val="24"/>
                <w:szCs w:val="24"/>
                <w:u w:val="none"/>
                <w:lang w:eastAsia="zh-CN"/>
              </w:rPr>
            </w:pPr>
            <w:r>
              <w:rPr>
                <w:rFonts w:hint="eastAsia"/>
                <w:color w:val="auto"/>
                <w:sz w:val="24"/>
                <w:szCs w:val="24"/>
                <w:u w:val="none"/>
              </w:rPr>
              <w:t>根据现场调查可知，项目纳污范围内工业企业较少。根据实际调查以及规划，污水处理厂服务区内人口现状、近期及远期人口数量</w:t>
            </w:r>
            <w:r>
              <w:rPr>
                <w:rFonts w:hint="eastAsia"/>
                <w:color w:val="auto"/>
                <w:sz w:val="24"/>
                <w:szCs w:val="24"/>
                <w:u w:val="none"/>
                <w:lang w:eastAsia="zh-CN"/>
              </w:rPr>
              <w:t>为</w:t>
            </w:r>
            <w:r>
              <w:rPr>
                <w:rFonts w:hint="eastAsia"/>
                <w:color w:val="auto"/>
                <w:sz w:val="24"/>
                <w:szCs w:val="24"/>
                <w:u w:val="none"/>
                <w:lang w:val="en-US" w:eastAsia="zh-CN"/>
              </w:rPr>
              <w:t>0.45万人。</w:t>
            </w:r>
          </w:p>
          <w:p>
            <w:pPr>
              <w:keepNext w:val="0"/>
              <w:keepLines w:val="0"/>
              <w:pageBreakBefore w:val="0"/>
              <w:widowControl w:val="0"/>
              <w:tabs>
                <w:tab w:val="left" w:pos="851"/>
              </w:tabs>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cs="Times New Roman"/>
                <w:color w:val="auto"/>
                <w:sz w:val="24"/>
                <w:szCs w:val="24"/>
                <w:u w:val="none"/>
                <w:lang w:eastAsia="zh-CN"/>
              </w:rPr>
            </w:pPr>
            <w:r>
              <w:rPr>
                <w:rFonts w:hint="default" w:ascii="Times New Roman" w:hAnsi="Times New Roman" w:cs="Times New Roman"/>
                <w:color w:val="auto"/>
                <w:sz w:val="24"/>
                <w:szCs w:val="24"/>
                <w:u w:val="none"/>
                <w:lang w:eastAsia="zh-CN"/>
              </w:rPr>
              <w:t>根据《室外给水设计标准》（GB50013-2018），至2020年邵阳市属一区中等城市（指城区常住人口50万以上100万以下的城市），最高日综合生活用水定额为200~380L</w:t>
            </w:r>
            <w:r>
              <w:rPr>
                <w:rFonts w:hint="eastAsia" w:cs="Times New Roman"/>
                <w:color w:val="auto"/>
                <w:sz w:val="24"/>
                <w:szCs w:val="24"/>
                <w:u w:val="none"/>
                <w:lang w:val="en-US" w:eastAsia="zh-CN"/>
              </w:rPr>
              <w:t>/</w:t>
            </w:r>
            <w:r>
              <w:rPr>
                <w:rFonts w:hint="default" w:ascii="Times New Roman" w:hAnsi="Times New Roman" w:cs="Times New Roman"/>
                <w:color w:val="auto"/>
                <w:sz w:val="24"/>
                <w:szCs w:val="24"/>
                <w:u w:val="none"/>
                <w:lang w:eastAsia="zh-CN"/>
              </w:rPr>
              <w:t>人d，另参照《邵阳市总体规划》和《城市给水工程规划规范》，参考相近地区规划用水量指标，并考虑到邵阳市双清区的经济发展水平和居民生活的实际情况，2020年综合生活用水指标取为280L/人d。</w:t>
            </w:r>
          </w:p>
          <w:p>
            <w:pPr>
              <w:keepNext w:val="0"/>
              <w:keepLines w:val="0"/>
              <w:pageBreakBefore w:val="0"/>
              <w:widowControl w:val="0"/>
              <w:tabs>
                <w:tab w:val="left" w:pos="851"/>
              </w:tabs>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cs="Times New Roman"/>
                <w:color w:val="auto"/>
                <w:sz w:val="24"/>
                <w:szCs w:val="24"/>
                <w:u w:val="none"/>
                <w:lang w:eastAsia="zh-CN"/>
              </w:rPr>
            </w:pPr>
            <w:r>
              <w:rPr>
                <w:rFonts w:hint="eastAsia" w:cs="Times New Roman"/>
                <w:color w:val="auto"/>
                <w:sz w:val="24"/>
                <w:szCs w:val="24"/>
                <w:u w:val="none"/>
                <w:lang w:eastAsia="zh-CN"/>
              </w:rPr>
              <w:t>根据</w:t>
            </w:r>
            <w:r>
              <w:rPr>
                <w:rFonts w:hint="default" w:ascii="Times New Roman" w:hAnsi="Times New Roman" w:cs="Times New Roman"/>
                <w:color w:val="auto"/>
                <w:sz w:val="24"/>
                <w:szCs w:val="24"/>
                <w:u w:val="none"/>
                <w:lang w:eastAsia="zh-CN"/>
              </w:rPr>
              <w:t>《城市排水工程规划规范》（GB50318-2017）对城市综合生活污水排放系数提出0.80～0.90的范围。综合考虑城市规划的居住水平、给水排水设施完善程度与城市排水设施规划普及程度，结合第三产业产值在国内生产总值中的比重等各种因素，确定双清区该区域污水综合生活污水的污水排放系数取 90%。</w:t>
            </w:r>
          </w:p>
          <w:p>
            <w:pPr>
              <w:keepNext w:val="0"/>
              <w:keepLines w:val="0"/>
              <w:pageBreakBefore w:val="0"/>
              <w:widowControl w:val="0"/>
              <w:tabs>
                <w:tab w:val="left" w:pos="851"/>
              </w:tabs>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cs="Times New Roman"/>
                <w:color w:val="auto"/>
                <w:sz w:val="24"/>
                <w:szCs w:val="24"/>
                <w:u w:val="none"/>
                <w:lang w:eastAsia="zh-CN"/>
              </w:rPr>
            </w:pPr>
            <w:r>
              <w:rPr>
                <w:rFonts w:hint="default" w:ascii="Times New Roman" w:hAnsi="Times New Roman" w:cs="Times New Roman"/>
                <w:color w:val="auto"/>
                <w:sz w:val="24"/>
                <w:szCs w:val="24"/>
                <w:u w:val="none"/>
                <w:lang w:eastAsia="zh-CN"/>
              </w:rPr>
              <w:t>虑到管材的质量、管道接口的密实度、由于该地区地下水位较低等因素，本项目地下水的渗入量取污水量的10%。</w:t>
            </w:r>
          </w:p>
          <w:p>
            <w:pPr>
              <w:keepNext w:val="0"/>
              <w:keepLines w:val="0"/>
              <w:pageBreakBefore w:val="0"/>
              <w:widowControl w:val="0"/>
              <w:tabs>
                <w:tab w:val="left" w:pos="7920"/>
              </w:tabs>
              <w:kinsoku/>
              <w:wordWrap/>
              <w:overflowPunct/>
              <w:topLinePunct w:val="0"/>
              <w:autoSpaceDE/>
              <w:autoSpaceDN/>
              <w:bidi w:val="0"/>
              <w:adjustRightInd w:val="0"/>
              <w:snapToGrid w:val="0"/>
              <w:spacing w:line="360" w:lineRule="auto"/>
              <w:ind w:firstLine="480" w:firstLineChars="200"/>
              <w:textAlignment w:val="auto"/>
              <w:rPr>
                <w:b/>
                <w:bCs/>
                <w:color w:val="auto"/>
                <w:szCs w:val="21"/>
                <w:u w:val="none"/>
              </w:rPr>
            </w:pPr>
            <w:r>
              <w:rPr>
                <w:rFonts w:hint="eastAsia" w:cs="Times New Roman"/>
                <w:color w:val="auto"/>
                <w:sz w:val="24"/>
                <w:szCs w:val="24"/>
                <w:u w:val="none"/>
                <w:lang w:eastAsia="zh-CN"/>
              </w:rPr>
              <w:t>本项目</w:t>
            </w:r>
            <w:r>
              <w:rPr>
                <w:rFonts w:hint="eastAsia" w:ascii="Times New Roman" w:hAnsi="Times New Roman" w:cs="Times New Roman"/>
                <w:color w:val="auto"/>
                <w:sz w:val="24"/>
                <w:szCs w:val="24"/>
                <w:u w:val="none"/>
                <w:lang w:eastAsia="zh-CN"/>
              </w:rPr>
              <w:t>污</w:t>
            </w:r>
            <w:r>
              <w:rPr>
                <w:rFonts w:hint="default" w:ascii="Times New Roman" w:hAnsi="Times New Roman" w:cs="Times New Roman"/>
                <w:color w:val="auto"/>
                <w:sz w:val="24"/>
                <w:szCs w:val="24"/>
                <w:u w:val="none"/>
                <w:lang w:eastAsia="zh-CN"/>
              </w:rPr>
              <w:t>水量预测见表</w:t>
            </w:r>
            <w:r>
              <w:rPr>
                <w:rFonts w:hint="eastAsia" w:cs="Times New Roman"/>
                <w:color w:val="auto"/>
                <w:sz w:val="24"/>
                <w:szCs w:val="24"/>
                <w:u w:val="none"/>
                <w:lang w:val="en-US" w:eastAsia="zh-CN"/>
              </w:rPr>
              <w:t>1-6</w:t>
            </w:r>
            <w:r>
              <w:rPr>
                <w:rFonts w:hint="default" w:ascii="Times New Roman" w:hAnsi="Times New Roman" w:cs="Times New Roman"/>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Cs w:val="21"/>
                <w:u w:val="none"/>
              </w:rPr>
            </w:pPr>
            <w:r>
              <w:rPr>
                <w:rFonts w:hint="eastAsia"/>
                <w:b/>
                <w:bCs/>
                <w:color w:val="auto"/>
                <w:szCs w:val="21"/>
                <w:u w:val="none"/>
              </w:rPr>
              <w:t xml:space="preserve">表1-6  </w:t>
            </w:r>
            <w:r>
              <w:rPr>
                <w:rFonts w:hint="eastAsia"/>
                <w:b/>
                <w:bCs/>
                <w:color w:val="auto"/>
                <w:szCs w:val="21"/>
                <w:u w:val="none"/>
                <w:lang w:eastAsia="zh-CN"/>
              </w:rPr>
              <w:t>项目</w:t>
            </w:r>
            <w:r>
              <w:rPr>
                <w:rFonts w:hint="eastAsia"/>
                <w:b/>
                <w:bCs/>
                <w:color w:val="auto"/>
                <w:szCs w:val="21"/>
                <w:u w:val="none"/>
              </w:rPr>
              <w:t>污水量预测</w:t>
            </w:r>
          </w:p>
          <w:tbl>
            <w:tblPr>
              <w:tblStyle w:val="27"/>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411"/>
              <w:gridCol w:w="2085"/>
              <w:gridCol w:w="10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41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8"/>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类目</w:t>
                  </w:r>
                </w:p>
              </w:tc>
              <w:tc>
                <w:tcPr>
                  <w:tcW w:w="2085"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8"/>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2020年</w:t>
                  </w:r>
                </w:p>
              </w:tc>
              <w:tc>
                <w:tcPr>
                  <w:tcW w:w="1048"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8"/>
                    <w:ind w:left="0" w:right="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2022 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41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46"/>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服务人口（万人）</w:t>
                  </w:r>
                </w:p>
              </w:tc>
              <w:tc>
                <w:tcPr>
                  <w:tcW w:w="2085"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2"/>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0.45</w:t>
                  </w:r>
                </w:p>
              </w:tc>
              <w:tc>
                <w:tcPr>
                  <w:tcW w:w="1048"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2"/>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41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46"/>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综合生活用水量标准（L/人•d）</w:t>
                  </w:r>
                </w:p>
              </w:tc>
              <w:tc>
                <w:tcPr>
                  <w:tcW w:w="2085"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2"/>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280.0</w:t>
                  </w:r>
                </w:p>
              </w:tc>
              <w:tc>
                <w:tcPr>
                  <w:tcW w:w="1048"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2"/>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41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46"/>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日变化系数</w:t>
                  </w:r>
                </w:p>
              </w:tc>
              <w:tc>
                <w:tcPr>
                  <w:tcW w:w="2085"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2"/>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1.30</w:t>
                  </w:r>
                </w:p>
              </w:tc>
              <w:tc>
                <w:tcPr>
                  <w:tcW w:w="1048" w:type="dxa"/>
                  <w:tcBorders>
                    <w:tl2br w:val="nil"/>
                    <w:tr2bl w:val="nil"/>
                  </w:tcBorders>
                  <w:vAlign w:val="top"/>
                </w:tcPr>
                <w:p>
                  <w:pPr>
                    <w:pStyle w:val="47"/>
                    <w:keepNext w:val="0"/>
                    <w:keepLines w:val="0"/>
                    <w:pageBreakBefore w:val="0"/>
                    <w:widowControl w:val="0"/>
                    <w:kinsoku/>
                    <w:wordWrap/>
                    <w:overflowPunct/>
                    <w:topLinePunct w:val="0"/>
                    <w:autoSpaceDE/>
                    <w:autoSpaceDN/>
                    <w:bidi w:val="0"/>
                    <w:adjustRightInd w:val="0"/>
                    <w:snapToGrid w:val="0"/>
                    <w:spacing w:before="62"/>
                    <w:ind w:left="0" w:right="0"/>
                    <w:jc w:val="center"/>
                    <w:textAlignment w:val="auto"/>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1.30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41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46"/>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平均日综合生活用水量标准（L/人•d）</w:t>
                  </w:r>
                </w:p>
              </w:tc>
              <w:tc>
                <w:tcPr>
                  <w:tcW w:w="2085"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2"/>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215.38</w:t>
                  </w:r>
                </w:p>
              </w:tc>
              <w:tc>
                <w:tcPr>
                  <w:tcW w:w="1048" w:type="dxa"/>
                  <w:tcBorders>
                    <w:tl2br w:val="nil"/>
                    <w:tr2bl w:val="nil"/>
                  </w:tcBorders>
                  <w:vAlign w:val="top"/>
                </w:tcPr>
                <w:p>
                  <w:pPr>
                    <w:pStyle w:val="47"/>
                    <w:keepNext w:val="0"/>
                    <w:keepLines w:val="0"/>
                    <w:pageBreakBefore w:val="0"/>
                    <w:widowControl w:val="0"/>
                    <w:kinsoku/>
                    <w:wordWrap/>
                    <w:overflowPunct/>
                    <w:topLinePunct w:val="0"/>
                    <w:autoSpaceDE/>
                    <w:autoSpaceDN/>
                    <w:bidi w:val="0"/>
                    <w:adjustRightInd w:val="0"/>
                    <w:snapToGrid w:val="0"/>
                    <w:spacing w:before="62"/>
                    <w:ind w:left="0" w:right="0"/>
                    <w:jc w:val="center"/>
                    <w:textAlignment w:val="auto"/>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230.77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41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46"/>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综合生活用水量（万m</w:t>
                  </w:r>
                  <w:r>
                    <w:rPr>
                      <w:rFonts w:hint="eastAsia"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rPr>
                    <w:t>/d）</w:t>
                  </w:r>
                </w:p>
              </w:tc>
              <w:tc>
                <w:tcPr>
                  <w:tcW w:w="2085"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2"/>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0.10</w:t>
                  </w:r>
                </w:p>
              </w:tc>
              <w:tc>
                <w:tcPr>
                  <w:tcW w:w="1048" w:type="dxa"/>
                  <w:tcBorders>
                    <w:tl2br w:val="nil"/>
                    <w:tr2bl w:val="nil"/>
                  </w:tcBorders>
                  <w:vAlign w:val="top"/>
                </w:tcPr>
                <w:p>
                  <w:pPr>
                    <w:pStyle w:val="47"/>
                    <w:keepNext w:val="0"/>
                    <w:keepLines w:val="0"/>
                    <w:pageBreakBefore w:val="0"/>
                    <w:widowControl w:val="0"/>
                    <w:kinsoku/>
                    <w:wordWrap/>
                    <w:overflowPunct/>
                    <w:topLinePunct w:val="0"/>
                    <w:autoSpaceDE/>
                    <w:autoSpaceDN/>
                    <w:bidi w:val="0"/>
                    <w:adjustRightInd w:val="0"/>
                    <w:snapToGrid w:val="0"/>
                    <w:spacing w:before="62"/>
                    <w:ind w:left="0" w:right="0"/>
                    <w:jc w:val="center"/>
                    <w:textAlignment w:val="auto"/>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0.29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41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46"/>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城市综合生活污水排放系数</w:t>
                  </w:r>
                </w:p>
              </w:tc>
              <w:tc>
                <w:tcPr>
                  <w:tcW w:w="2085"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2"/>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0.90</w:t>
                  </w:r>
                </w:p>
              </w:tc>
              <w:tc>
                <w:tcPr>
                  <w:tcW w:w="1048" w:type="dxa"/>
                  <w:tcBorders>
                    <w:tl2br w:val="nil"/>
                    <w:tr2bl w:val="nil"/>
                  </w:tcBorders>
                  <w:vAlign w:val="top"/>
                </w:tcPr>
                <w:p>
                  <w:pPr>
                    <w:pStyle w:val="47"/>
                    <w:keepNext w:val="0"/>
                    <w:keepLines w:val="0"/>
                    <w:pageBreakBefore w:val="0"/>
                    <w:widowControl w:val="0"/>
                    <w:kinsoku/>
                    <w:wordWrap/>
                    <w:overflowPunct/>
                    <w:topLinePunct w:val="0"/>
                    <w:autoSpaceDE/>
                    <w:autoSpaceDN/>
                    <w:bidi w:val="0"/>
                    <w:adjustRightInd w:val="0"/>
                    <w:snapToGrid w:val="0"/>
                    <w:spacing w:before="62"/>
                    <w:ind w:left="0" w:right="0"/>
                    <w:jc w:val="center"/>
                    <w:textAlignment w:val="auto"/>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0.90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41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46"/>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综合生活污水量（万m</w:t>
                  </w:r>
                  <w:r>
                    <w:rPr>
                      <w:rFonts w:hint="eastAsia"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rPr>
                    <w:t>/d）</w:t>
                  </w:r>
                </w:p>
              </w:tc>
              <w:tc>
                <w:tcPr>
                  <w:tcW w:w="2085"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2"/>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0.09</w:t>
                  </w:r>
                </w:p>
              </w:tc>
              <w:tc>
                <w:tcPr>
                  <w:tcW w:w="1048" w:type="dxa"/>
                  <w:tcBorders>
                    <w:tl2br w:val="nil"/>
                    <w:tr2bl w:val="nil"/>
                  </w:tcBorders>
                  <w:vAlign w:val="top"/>
                </w:tcPr>
                <w:p>
                  <w:pPr>
                    <w:pStyle w:val="47"/>
                    <w:keepNext w:val="0"/>
                    <w:keepLines w:val="0"/>
                    <w:pageBreakBefore w:val="0"/>
                    <w:widowControl w:val="0"/>
                    <w:kinsoku/>
                    <w:wordWrap/>
                    <w:overflowPunct/>
                    <w:topLinePunct w:val="0"/>
                    <w:autoSpaceDE/>
                    <w:autoSpaceDN/>
                    <w:bidi w:val="0"/>
                    <w:adjustRightInd w:val="0"/>
                    <w:snapToGrid w:val="0"/>
                    <w:spacing w:before="62"/>
                    <w:ind w:left="0" w:right="0"/>
                    <w:jc w:val="center"/>
                    <w:textAlignment w:val="auto"/>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0.26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41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46"/>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工业用地面积（亩）</w:t>
                  </w:r>
                </w:p>
              </w:tc>
              <w:tc>
                <w:tcPr>
                  <w:tcW w:w="2085"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2"/>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15.00</w:t>
                  </w:r>
                </w:p>
              </w:tc>
              <w:tc>
                <w:tcPr>
                  <w:tcW w:w="1048" w:type="dxa"/>
                  <w:tcBorders>
                    <w:tl2br w:val="nil"/>
                    <w:tr2bl w:val="nil"/>
                  </w:tcBorders>
                  <w:vAlign w:val="top"/>
                </w:tcPr>
                <w:p>
                  <w:pPr>
                    <w:pStyle w:val="47"/>
                    <w:keepNext w:val="0"/>
                    <w:keepLines w:val="0"/>
                    <w:pageBreakBefore w:val="0"/>
                    <w:widowControl w:val="0"/>
                    <w:kinsoku/>
                    <w:wordWrap/>
                    <w:overflowPunct/>
                    <w:topLinePunct w:val="0"/>
                    <w:autoSpaceDE/>
                    <w:autoSpaceDN/>
                    <w:bidi w:val="0"/>
                    <w:adjustRightInd w:val="0"/>
                    <w:snapToGrid w:val="0"/>
                    <w:spacing w:before="62"/>
                    <w:ind w:left="0" w:right="0"/>
                    <w:jc w:val="center"/>
                    <w:textAlignment w:val="auto"/>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90.00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41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46"/>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工业用地用水量指标（万m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rPr>
                    <w:t>/d/km</w:t>
                  </w:r>
                  <w:r>
                    <w:rPr>
                      <w:rFonts w:hint="default"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rPr>
                    <w:t>•d）</w:t>
                  </w:r>
                </w:p>
              </w:tc>
              <w:tc>
                <w:tcPr>
                  <w:tcW w:w="2085"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2"/>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0.80</w:t>
                  </w:r>
                </w:p>
              </w:tc>
              <w:tc>
                <w:tcPr>
                  <w:tcW w:w="1048"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2"/>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41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47"/>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未预见及管网漏失率</w:t>
                  </w:r>
                </w:p>
              </w:tc>
              <w:tc>
                <w:tcPr>
                  <w:tcW w:w="2085"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3"/>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0.15</w:t>
                  </w:r>
                </w:p>
              </w:tc>
              <w:tc>
                <w:tcPr>
                  <w:tcW w:w="1048" w:type="dxa"/>
                  <w:tcBorders>
                    <w:tl2br w:val="nil"/>
                    <w:tr2bl w:val="nil"/>
                  </w:tcBorders>
                  <w:vAlign w:val="top"/>
                </w:tcPr>
                <w:p>
                  <w:pPr>
                    <w:pStyle w:val="47"/>
                    <w:keepNext w:val="0"/>
                    <w:keepLines w:val="0"/>
                    <w:pageBreakBefore w:val="0"/>
                    <w:widowControl w:val="0"/>
                    <w:kinsoku/>
                    <w:wordWrap/>
                    <w:overflowPunct/>
                    <w:topLinePunct w:val="0"/>
                    <w:autoSpaceDE/>
                    <w:autoSpaceDN/>
                    <w:bidi w:val="0"/>
                    <w:adjustRightInd w:val="0"/>
                    <w:snapToGrid w:val="0"/>
                    <w:spacing w:before="63"/>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0.15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41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47"/>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日变化系数</w:t>
                  </w:r>
                </w:p>
              </w:tc>
              <w:tc>
                <w:tcPr>
                  <w:tcW w:w="2085"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3"/>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1.30</w:t>
                  </w:r>
                </w:p>
              </w:tc>
              <w:tc>
                <w:tcPr>
                  <w:tcW w:w="1048" w:type="dxa"/>
                  <w:tcBorders>
                    <w:tl2br w:val="nil"/>
                    <w:tr2bl w:val="nil"/>
                  </w:tcBorders>
                  <w:vAlign w:val="top"/>
                </w:tcPr>
                <w:p>
                  <w:pPr>
                    <w:pStyle w:val="47"/>
                    <w:keepNext w:val="0"/>
                    <w:keepLines w:val="0"/>
                    <w:pageBreakBefore w:val="0"/>
                    <w:widowControl w:val="0"/>
                    <w:kinsoku/>
                    <w:wordWrap/>
                    <w:overflowPunct/>
                    <w:topLinePunct w:val="0"/>
                    <w:autoSpaceDE/>
                    <w:autoSpaceDN/>
                    <w:bidi w:val="0"/>
                    <w:adjustRightInd w:val="0"/>
                    <w:snapToGrid w:val="0"/>
                    <w:spacing w:before="63"/>
                    <w:ind w:left="0" w:right="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1.20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41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47"/>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工业用水量（万m</w:t>
                  </w:r>
                  <w:r>
                    <w:rPr>
                      <w:rFonts w:hint="eastAsia"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rPr>
                    <w:t>/d）</w:t>
                  </w:r>
                </w:p>
              </w:tc>
              <w:tc>
                <w:tcPr>
                  <w:tcW w:w="2085"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3"/>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0.01</w:t>
                  </w:r>
                </w:p>
              </w:tc>
              <w:tc>
                <w:tcPr>
                  <w:tcW w:w="1048" w:type="dxa"/>
                  <w:tcBorders>
                    <w:tl2br w:val="nil"/>
                    <w:tr2bl w:val="nil"/>
                  </w:tcBorders>
                  <w:vAlign w:val="top"/>
                </w:tcPr>
                <w:p>
                  <w:pPr>
                    <w:pStyle w:val="47"/>
                    <w:keepNext w:val="0"/>
                    <w:keepLines w:val="0"/>
                    <w:pageBreakBefore w:val="0"/>
                    <w:widowControl w:val="0"/>
                    <w:kinsoku/>
                    <w:wordWrap/>
                    <w:overflowPunct/>
                    <w:topLinePunct w:val="0"/>
                    <w:autoSpaceDE/>
                    <w:autoSpaceDN/>
                    <w:bidi w:val="0"/>
                    <w:adjustRightInd w:val="0"/>
                    <w:snapToGrid w:val="0"/>
                    <w:spacing w:before="63"/>
                    <w:ind w:left="0" w:right="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0.03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41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47"/>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工业废水排放系数</w:t>
                  </w:r>
                </w:p>
              </w:tc>
              <w:tc>
                <w:tcPr>
                  <w:tcW w:w="2085"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3"/>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0.85</w:t>
                  </w:r>
                </w:p>
              </w:tc>
              <w:tc>
                <w:tcPr>
                  <w:tcW w:w="1048" w:type="dxa"/>
                  <w:tcBorders>
                    <w:tl2br w:val="nil"/>
                    <w:tr2bl w:val="nil"/>
                  </w:tcBorders>
                  <w:vAlign w:val="top"/>
                </w:tcPr>
                <w:p>
                  <w:pPr>
                    <w:pStyle w:val="47"/>
                    <w:keepNext w:val="0"/>
                    <w:keepLines w:val="0"/>
                    <w:pageBreakBefore w:val="0"/>
                    <w:widowControl w:val="0"/>
                    <w:kinsoku/>
                    <w:wordWrap/>
                    <w:overflowPunct/>
                    <w:topLinePunct w:val="0"/>
                    <w:autoSpaceDE/>
                    <w:autoSpaceDN/>
                    <w:bidi w:val="0"/>
                    <w:adjustRightInd w:val="0"/>
                    <w:snapToGrid w:val="0"/>
                    <w:spacing w:before="63"/>
                    <w:ind w:left="0" w:right="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0.85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41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47"/>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工业废水量（万m</w:t>
                  </w:r>
                  <w:r>
                    <w:rPr>
                      <w:rFonts w:hint="eastAsia"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rPr>
                    <w:t>/d）</w:t>
                  </w:r>
                </w:p>
              </w:tc>
              <w:tc>
                <w:tcPr>
                  <w:tcW w:w="2085"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3"/>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0.004</w:t>
                  </w:r>
                </w:p>
              </w:tc>
              <w:tc>
                <w:tcPr>
                  <w:tcW w:w="1048" w:type="dxa"/>
                  <w:tcBorders>
                    <w:tl2br w:val="nil"/>
                    <w:tr2bl w:val="nil"/>
                  </w:tcBorders>
                  <w:vAlign w:val="top"/>
                </w:tcPr>
                <w:p>
                  <w:pPr>
                    <w:pStyle w:val="47"/>
                    <w:keepNext w:val="0"/>
                    <w:keepLines w:val="0"/>
                    <w:pageBreakBefore w:val="0"/>
                    <w:widowControl w:val="0"/>
                    <w:kinsoku/>
                    <w:wordWrap/>
                    <w:overflowPunct/>
                    <w:topLinePunct w:val="0"/>
                    <w:autoSpaceDE/>
                    <w:autoSpaceDN/>
                    <w:bidi w:val="0"/>
                    <w:adjustRightInd w:val="0"/>
                    <w:snapToGrid w:val="0"/>
                    <w:spacing w:before="63"/>
                    <w:ind w:left="0" w:right="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0.03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41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47"/>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总污水量（万m</w:t>
                  </w:r>
                  <w:r>
                    <w:rPr>
                      <w:rFonts w:hint="eastAsia"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rPr>
                    <w:t>/d）</w:t>
                  </w:r>
                </w:p>
              </w:tc>
              <w:tc>
                <w:tcPr>
                  <w:tcW w:w="2085"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3"/>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0.09</w:t>
                  </w:r>
                </w:p>
              </w:tc>
              <w:tc>
                <w:tcPr>
                  <w:tcW w:w="1048" w:type="dxa"/>
                  <w:tcBorders>
                    <w:tl2br w:val="nil"/>
                    <w:tr2bl w:val="nil"/>
                  </w:tcBorders>
                  <w:vAlign w:val="top"/>
                </w:tcPr>
                <w:p>
                  <w:pPr>
                    <w:pStyle w:val="47"/>
                    <w:keepNext w:val="0"/>
                    <w:keepLines w:val="0"/>
                    <w:pageBreakBefore w:val="0"/>
                    <w:widowControl w:val="0"/>
                    <w:kinsoku/>
                    <w:wordWrap/>
                    <w:overflowPunct/>
                    <w:topLinePunct w:val="0"/>
                    <w:autoSpaceDE/>
                    <w:autoSpaceDN/>
                    <w:bidi w:val="0"/>
                    <w:adjustRightInd w:val="0"/>
                    <w:snapToGrid w:val="0"/>
                    <w:spacing w:before="63"/>
                    <w:ind w:left="0" w:right="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0.29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41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47"/>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污水收集率</w:t>
                  </w:r>
                </w:p>
              </w:tc>
              <w:tc>
                <w:tcPr>
                  <w:tcW w:w="2085"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3"/>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0.95</w:t>
                  </w:r>
                </w:p>
              </w:tc>
              <w:tc>
                <w:tcPr>
                  <w:tcW w:w="1048" w:type="dxa"/>
                  <w:tcBorders>
                    <w:tl2br w:val="nil"/>
                    <w:tr2bl w:val="nil"/>
                  </w:tcBorders>
                  <w:vAlign w:val="top"/>
                </w:tcPr>
                <w:p>
                  <w:pPr>
                    <w:pStyle w:val="47"/>
                    <w:keepNext w:val="0"/>
                    <w:keepLines w:val="0"/>
                    <w:pageBreakBefore w:val="0"/>
                    <w:widowControl w:val="0"/>
                    <w:kinsoku/>
                    <w:wordWrap/>
                    <w:overflowPunct/>
                    <w:topLinePunct w:val="0"/>
                    <w:autoSpaceDE/>
                    <w:autoSpaceDN/>
                    <w:bidi w:val="0"/>
                    <w:adjustRightInd w:val="0"/>
                    <w:snapToGrid w:val="0"/>
                    <w:spacing w:before="63"/>
                    <w:ind w:left="0" w:right="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0.95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41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47"/>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地下水渗入量</w:t>
                  </w:r>
                </w:p>
              </w:tc>
              <w:tc>
                <w:tcPr>
                  <w:tcW w:w="2085"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3"/>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0.10</w:t>
                  </w:r>
                </w:p>
              </w:tc>
              <w:tc>
                <w:tcPr>
                  <w:tcW w:w="1048" w:type="dxa"/>
                  <w:tcBorders>
                    <w:tl2br w:val="nil"/>
                    <w:tr2bl w:val="nil"/>
                  </w:tcBorders>
                  <w:vAlign w:val="top"/>
                </w:tcPr>
                <w:p>
                  <w:pPr>
                    <w:pStyle w:val="47"/>
                    <w:keepNext w:val="0"/>
                    <w:keepLines w:val="0"/>
                    <w:pageBreakBefore w:val="0"/>
                    <w:widowControl w:val="0"/>
                    <w:kinsoku/>
                    <w:wordWrap/>
                    <w:overflowPunct/>
                    <w:topLinePunct w:val="0"/>
                    <w:autoSpaceDE/>
                    <w:autoSpaceDN/>
                    <w:bidi w:val="0"/>
                    <w:adjustRightInd w:val="0"/>
                    <w:snapToGrid w:val="0"/>
                    <w:spacing w:before="63"/>
                    <w:ind w:left="0" w:right="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0.10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4411"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47"/>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污水总量（万m</w:t>
                  </w:r>
                  <w:r>
                    <w:rPr>
                      <w:rFonts w:hint="eastAsia"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rPr>
                    <w:t>/d）</w:t>
                  </w:r>
                </w:p>
              </w:tc>
              <w:tc>
                <w:tcPr>
                  <w:tcW w:w="2085" w:type="dxa"/>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3"/>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0.10</w:t>
                  </w:r>
                </w:p>
              </w:tc>
              <w:tc>
                <w:tcPr>
                  <w:tcW w:w="1048" w:type="dxa"/>
                  <w:tcBorders>
                    <w:tl2br w:val="nil"/>
                    <w:tr2bl w:val="nil"/>
                  </w:tcBorders>
                  <w:vAlign w:val="top"/>
                </w:tcPr>
                <w:p>
                  <w:pPr>
                    <w:pStyle w:val="47"/>
                    <w:keepNext w:val="0"/>
                    <w:keepLines w:val="0"/>
                    <w:pageBreakBefore w:val="0"/>
                    <w:widowControl w:val="0"/>
                    <w:kinsoku/>
                    <w:wordWrap/>
                    <w:overflowPunct/>
                    <w:topLinePunct w:val="0"/>
                    <w:autoSpaceDE/>
                    <w:autoSpaceDN/>
                    <w:bidi w:val="0"/>
                    <w:adjustRightInd w:val="0"/>
                    <w:snapToGrid w:val="0"/>
                    <w:spacing w:before="63"/>
                    <w:ind w:left="0" w:right="0"/>
                    <w:jc w:val="center"/>
                    <w:textAlignment w:val="auto"/>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0.30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7544" w:type="dxa"/>
                  <w:gridSpan w:val="3"/>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before="63"/>
                    <w:ind w:left="0" w:right="0"/>
                    <w:jc w:val="both"/>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color w:val="FF0000"/>
                      <w:sz w:val="21"/>
                      <w:szCs w:val="21"/>
                      <w:u w:val="wave"/>
                      <w:lang w:eastAsia="zh-CN"/>
                    </w:rPr>
                    <w:t>备注：工业用地近期指“三所一中心”项目产生的生活污水。</w:t>
                  </w:r>
                </w:p>
              </w:tc>
            </w:tr>
          </w:tbl>
          <w:p>
            <w:pPr>
              <w:adjustRightInd w:val="0"/>
              <w:snapToGrid w:val="0"/>
              <w:spacing w:line="360" w:lineRule="auto"/>
              <w:ind w:firstLine="480" w:firstLineChars="200"/>
              <w:rPr>
                <w:b/>
                <w:color w:val="FF0000"/>
                <w:sz w:val="24"/>
                <w:u w:val="wave"/>
              </w:rPr>
            </w:pPr>
            <w:r>
              <w:rPr>
                <w:rFonts w:hint="eastAsia"/>
                <w:color w:val="FF0000"/>
                <w:sz w:val="24"/>
                <w:szCs w:val="24"/>
                <w:u w:val="wave"/>
                <w:lang w:eastAsia="zh-CN"/>
              </w:rPr>
              <w:t>综上，</w:t>
            </w:r>
            <w:r>
              <w:rPr>
                <w:rFonts w:hint="eastAsia" w:ascii="Times New Roman" w:hAnsi="Times New Roman"/>
                <w:color w:val="FF0000"/>
                <w:sz w:val="24"/>
                <w:szCs w:val="24"/>
                <w:u w:val="wave"/>
                <w:lang w:eastAsia="zh-CN"/>
              </w:rPr>
              <w:t>本项目</w:t>
            </w:r>
            <w:r>
              <w:rPr>
                <w:rFonts w:hint="eastAsia"/>
                <w:color w:val="FF0000"/>
                <w:sz w:val="24"/>
                <w:szCs w:val="24"/>
                <w:u w:val="wave"/>
                <w:lang w:eastAsia="zh-CN"/>
              </w:rPr>
              <w:t>近期</w:t>
            </w:r>
            <w:r>
              <w:rPr>
                <w:rFonts w:hint="eastAsia" w:ascii="Times New Roman" w:hAnsi="Times New Roman"/>
                <w:color w:val="FF0000"/>
                <w:sz w:val="24"/>
                <w:szCs w:val="24"/>
                <w:u w:val="wave"/>
                <w:lang w:eastAsia="zh-CN"/>
              </w:rPr>
              <w:t>污水规划</w:t>
            </w:r>
            <w:r>
              <w:rPr>
                <w:rFonts w:hint="eastAsia"/>
                <w:color w:val="FF0000"/>
                <w:sz w:val="24"/>
                <w:szCs w:val="24"/>
                <w:u w:val="wave"/>
                <w:lang w:eastAsia="zh-CN"/>
              </w:rPr>
              <w:t>处理</w:t>
            </w:r>
            <w:r>
              <w:rPr>
                <w:rFonts w:hint="eastAsia" w:ascii="Times New Roman" w:hAnsi="Times New Roman"/>
                <w:color w:val="FF0000"/>
                <w:sz w:val="24"/>
                <w:szCs w:val="24"/>
                <w:u w:val="wave"/>
                <w:lang w:eastAsia="zh-CN"/>
              </w:rPr>
              <w:t>规模</w:t>
            </w:r>
            <w:r>
              <w:rPr>
                <w:rFonts w:hint="eastAsia"/>
                <w:color w:val="FF0000"/>
                <w:sz w:val="24"/>
                <w:szCs w:val="24"/>
                <w:u w:val="wave"/>
                <w:lang w:eastAsia="zh-CN"/>
              </w:rPr>
              <w:t>为</w:t>
            </w:r>
            <w:r>
              <w:rPr>
                <w:rFonts w:hint="eastAsia" w:ascii="Times New Roman" w:hAnsi="Times New Roman"/>
                <w:color w:val="FF0000"/>
                <w:sz w:val="24"/>
                <w:szCs w:val="24"/>
                <w:u w:val="wave"/>
                <w:lang w:val="en-US" w:eastAsia="zh-CN"/>
              </w:rPr>
              <w:t>1</w:t>
            </w:r>
            <w:r>
              <w:rPr>
                <w:rFonts w:hint="eastAsia" w:ascii="Times New Roman" w:hAnsi="Times New Roman"/>
                <w:color w:val="FF0000"/>
                <w:sz w:val="24"/>
                <w:szCs w:val="24"/>
                <w:u w:val="wave"/>
                <w:lang w:eastAsia="zh-CN"/>
              </w:rPr>
              <w:t>000m</w:t>
            </w:r>
            <w:r>
              <w:rPr>
                <w:rFonts w:hint="eastAsia" w:ascii="Times New Roman" w:hAnsi="Times New Roman"/>
                <w:color w:val="FF0000"/>
                <w:sz w:val="24"/>
                <w:szCs w:val="24"/>
                <w:u w:val="wave"/>
                <w:vertAlign w:val="superscript"/>
                <w:lang w:eastAsia="zh-CN"/>
              </w:rPr>
              <w:t>3</w:t>
            </w:r>
            <w:r>
              <w:rPr>
                <w:rFonts w:hint="eastAsia" w:ascii="Times New Roman" w:hAnsi="Times New Roman"/>
                <w:color w:val="FF0000"/>
                <w:sz w:val="24"/>
                <w:szCs w:val="24"/>
                <w:u w:val="wave"/>
                <w:lang w:eastAsia="zh-CN"/>
              </w:rPr>
              <w:t>/d</w:t>
            </w:r>
            <w:r>
              <w:rPr>
                <w:rFonts w:hint="eastAsia"/>
                <w:color w:val="FF0000"/>
                <w:sz w:val="24"/>
                <w:szCs w:val="24"/>
                <w:u w:val="wave"/>
                <w:lang w:eastAsia="zh-CN"/>
              </w:rPr>
              <w:t>，远期</w:t>
            </w:r>
            <w:r>
              <w:rPr>
                <w:rFonts w:hint="eastAsia" w:ascii="Times New Roman" w:hAnsi="Times New Roman"/>
                <w:color w:val="FF0000"/>
                <w:sz w:val="24"/>
                <w:szCs w:val="24"/>
                <w:u w:val="wave"/>
                <w:lang w:eastAsia="zh-CN"/>
              </w:rPr>
              <w:t>规划</w:t>
            </w:r>
            <w:r>
              <w:rPr>
                <w:rFonts w:hint="eastAsia"/>
                <w:color w:val="FF0000"/>
                <w:sz w:val="24"/>
                <w:szCs w:val="24"/>
                <w:u w:val="wave"/>
                <w:lang w:eastAsia="zh-CN"/>
              </w:rPr>
              <w:t>处理</w:t>
            </w:r>
            <w:r>
              <w:rPr>
                <w:rFonts w:hint="eastAsia" w:ascii="Times New Roman" w:hAnsi="Times New Roman"/>
                <w:color w:val="FF0000"/>
                <w:sz w:val="24"/>
                <w:szCs w:val="24"/>
                <w:u w:val="wave"/>
                <w:lang w:eastAsia="zh-CN"/>
              </w:rPr>
              <w:t>规模</w:t>
            </w:r>
            <w:r>
              <w:rPr>
                <w:rFonts w:hint="eastAsia"/>
                <w:color w:val="FF0000"/>
                <w:sz w:val="24"/>
                <w:szCs w:val="24"/>
                <w:u w:val="wave"/>
                <w:lang w:eastAsia="zh-CN"/>
              </w:rPr>
              <w:t>为</w:t>
            </w:r>
            <w:r>
              <w:rPr>
                <w:rFonts w:hint="eastAsia"/>
                <w:color w:val="FF0000"/>
                <w:sz w:val="24"/>
                <w:szCs w:val="24"/>
                <w:u w:val="wave"/>
                <w:lang w:val="en-US" w:eastAsia="zh-CN"/>
              </w:rPr>
              <w:t>2</w:t>
            </w:r>
            <w:r>
              <w:rPr>
                <w:rFonts w:hint="eastAsia" w:ascii="Times New Roman" w:hAnsi="Times New Roman"/>
                <w:color w:val="FF0000"/>
                <w:sz w:val="24"/>
                <w:szCs w:val="24"/>
                <w:u w:val="wave"/>
                <w:lang w:val="en-US" w:eastAsia="zh-CN"/>
              </w:rPr>
              <w:t>000</w:t>
            </w:r>
            <w:r>
              <w:rPr>
                <w:rFonts w:hint="eastAsia" w:ascii="Times New Roman" w:hAnsi="Times New Roman"/>
                <w:color w:val="FF0000"/>
                <w:sz w:val="24"/>
                <w:szCs w:val="24"/>
                <w:u w:val="wave"/>
                <w:lang w:eastAsia="zh-CN"/>
              </w:rPr>
              <w:t>m</w:t>
            </w:r>
            <w:r>
              <w:rPr>
                <w:rFonts w:hint="eastAsia" w:ascii="Times New Roman" w:hAnsi="Times New Roman"/>
                <w:color w:val="FF0000"/>
                <w:sz w:val="24"/>
                <w:szCs w:val="24"/>
                <w:u w:val="wave"/>
                <w:vertAlign w:val="superscript"/>
                <w:lang w:eastAsia="zh-CN"/>
              </w:rPr>
              <w:t>3</w:t>
            </w:r>
            <w:r>
              <w:rPr>
                <w:rFonts w:hint="eastAsia" w:ascii="Times New Roman" w:hAnsi="Times New Roman"/>
                <w:color w:val="FF0000"/>
                <w:sz w:val="24"/>
                <w:szCs w:val="24"/>
                <w:u w:val="wave"/>
                <w:lang w:eastAsia="zh-CN"/>
              </w:rPr>
              <w:t>/d，两期合计3000m</w:t>
            </w:r>
            <w:r>
              <w:rPr>
                <w:rFonts w:hint="eastAsia" w:ascii="Times New Roman" w:hAnsi="Times New Roman"/>
                <w:color w:val="FF0000"/>
                <w:sz w:val="24"/>
                <w:szCs w:val="24"/>
                <w:u w:val="wave"/>
                <w:vertAlign w:val="superscript"/>
                <w:lang w:val="en-US" w:eastAsia="zh-CN"/>
              </w:rPr>
              <w:t>3</w:t>
            </w:r>
            <w:r>
              <w:rPr>
                <w:rFonts w:hint="eastAsia" w:ascii="Times New Roman" w:hAnsi="Times New Roman"/>
                <w:color w:val="FF0000"/>
                <w:sz w:val="24"/>
                <w:szCs w:val="24"/>
                <w:u w:val="wave"/>
                <w:lang w:eastAsia="zh-CN"/>
              </w:rPr>
              <w:t>/d，</w:t>
            </w:r>
            <w:r>
              <w:rPr>
                <w:rFonts w:hint="eastAsia"/>
                <w:color w:val="FF0000"/>
                <w:sz w:val="24"/>
                <w:szCs w:val="24"/>
                <w:u w:val="wave"/>
                <w:lang w:eastAsia="zh-CN"/>
              </w:rPr>
              <w:t>可满足相关要求</w:t>
            </w:r>
            <w:r>
              <w:rPr>
                <w:rFonts w:hint="eastAsia"/>
                <w:color w:val="FF0000"/>
                <w:sz w:val="24"/>
                <w:szCs w:val="24"/>
                <w:u w:val="wave"/>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none"/>
              </w:rPr>
            </w:pPr>
            <w:r>
              <w:rPr>
                <w:rFonts w:hint="eastAsia"/>
                <w:b/>
                <w:bCs/>
                <w:color w:val="auto"/>
                <w:sz w:val="24"/>
                <w:szCs w:val="24"/>
                <w:u w:val="none"/>
              </w:rPr>
              <w:t>进水水质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FF0000"/>
                <w:sz w:val="24"/>
                <w:szCs w:val="24"/>
                <w:u w:val="wave"/>
                <w:lang w:eastAsia="zh-CN"/>
              </w:rPr>
            </w:pPr>
            <w:r>
              <w:rPr>
                <w:rFonts w:hint="eastAsia"/>
                <w:color w:val="FF0000"/>
                <w:sz w:val="24"/>
                <w:szCs w:val="24"/>
                <w:u w:val="wave"/>
                <w:lang w:eastAsia="zh-CN"/>
              </w:rPr>
              <w:t>根据调查，邵阳市双清区渡头桥镇的污水基本没有工业污水，仅有生活污水，根据《湖南省乡镇排水与污水处理工程专项规划设计技术导引》</w:t>
            </w:r>
            <w:r>
              <w:rPr>
                <w:rFonts w:hint="eastAsia"/>
                <w:color w:val="FF0000"/>
                <w:sz w:val="24"/>
                <w:szCs w:val="24"/>
                <w:u w:val="wave"/>
                <w:lang w:val="zh-CN"/>
              </w:rPr>
              <w:t>（湖南省住房和城乡建设厅2016年12月修订）</w:t>
            </w:r>
            <w:r>
              <w:rPr>
                <w:rFonts w:hint="eastAsia"/>
                <w:color w:val="FF0000"/>
                <w:sz w:val="24"/>
                <w:szCs w:val="24"/>
                <w:u w:val="wave"/>
                <w:lang w:eastAsia="zh-CN"/>
              </w:rPr>
              <w:t>的生活污水水质范围参考表以及邵阳双清区城镇生活污水水质进行预测，并综合国内类似乡镇污水处理厂的实际进水水质及设计进水水质，本项目预测污水处理厂进水水质如表</w:t>
            </w:r>
            <w:r>
              <w:rPr>
                <w:rFonts w:hint="eastAsia"/>
                <w:color w:val="FF0000"/>
                <w:sz w:val="24"/>
                <w:szCs w:val="24"/>
                <w:u w:val="wave"/>
                <w:lang w:val="en-US" w:eastAsia="zh-CN"/>
              </w:rPr>
              <w:t>1-7所示</w:t>
            </w:r>
            <w:r>
              <w:rPr>
                <w:rFonts w:hint="eastAsia"/>
                <w:color w:val="FF0000"/>
                <w:sz w:val="24"/>
                <w:szCs w:val="24"/>
                <w:u w:val="wav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color w:val="auto"/>
                <w:szCs w:val="21"/>
                <w:u w:val="none"/>
                <w:lang w:val="en-US" w:eastAsia="zh-CN"/>
              </w:rPr>
            </w:pPr>
            <w:r>
              <w:rPr>
                <w:b/>
                <w:bCs/>
                <w:color w:val="auto"/>
                <w:szCs w:val="21"/>
                <w:u w:val="none"/>
              </w:rPr>
              <w:t>1-</w:t>
            </w:r>
            <w:r>
              <w:rPr>
                <w:rFonts w:hint="eastAsia"/>
                <w:b/>
                <w:bCs/>
                <w:color w:val="auto"/>
                <w:szCs w:val="21"/>
                <w:u w:val="none"/>
              </w:rPr>
              <w:t xml:space="preserve">7  </w:t>
            </w:r>
            <w:r>
              <w:rPr>
                <w:b/>
                <w:bCs/>
                <w:color w:val="auto"/>
                <w:szCs w:val="21"/>
                <w:u w:val="none"/>
              </w:rPr>
              <w:t xml:space="preserve"> </w:t>
            </w:r>
            <w:r>
              <w:rPr>
                <w:rFonts w:hint="eastAsia"/>
                <w:b/>
                <w:bCs/>
                <w:color w:val="auto"/>
                <w:szCs w:val="21"/>
                <w:u w:val="none"/>
              </w:rPr>
              <w:t>污水处理厂</w:t>
            </w:r>
            <w:r>
              <w:rPr>
                <w:b/>
                <w:bCs/>
                <w:color w:val="auto"/>
                <w:szCs w:val="21"/>
                <w:u w:val="none"/>
              </w:rPr>
              <w:t>设计进水水质</w:t>
            </w:r>
            <w:r>
              <w:rPr>
                <w:rFonts w:hint="eastAsia"/>
                <w:b/>
                <w:bCs/>
                <w:color w:val="auto"/>
                <w:szCs w:val="21"/>
                <w:u w:val="none"/>
                <w:lang w:val="en-US" w:eastAsia="zh-CN"/>
              </w:rPr>
              <w:t xml:space="preserve">  单位：mg/L，pH无量纲</w:t>
            </w:r>
          </w:p>
          <w:tbl>
            <w:tblPr>
              <w:tblStyle w:val="27"/>
              <w:tblW w:w="774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81"/>
              <w:gridCol w:w="906"/>
              <w:gridCol w:w="906"/>
              <w:gridCol w:w="894"/>
              <w:gridCol w:w="877"/>
              <w:gridCol w:w="958"/>
              <w:gridCol w:w="946"/>
              <w:gridCol w:w="98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none"/>
                    </w:rPr>
                  </w:pPr>
                  <w:r>
                    <w:rPr>
                      <w:color w:val="auto"/>
                      <w:szCs w:val="21"/>
                      <w:u w:val="none"/>
                    </w:rPr>
                    <w:t>项目</w:t>
                  </w:r>
                </w:p>
              </w:tc>
              <w:tc>
                <w:tcPr>
                  <w:tcW w:w="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Cs w:val="21"/>
                      <w:u w:val="none"/>
                      <w:lang w:val="en-US" w:eastAsia="zh-CN"/>
                    </w:rPr>
                  </w:pPr>
                  <w:r>
                    <w:rPr>
                      <w:rFonts w:hint="eastAsia"/>
                      <w:color w:val="auto"/>
                      <w:szCs w:val="21"/>
                      <w:u w:val="none"/>
                      <w:lang w:val="en-US" w:eastAsia="zh-CN"/>
                    </w:rPr>
                    <w:t>pH</w:t>
                  </w:r>
                </w:p>
              </w:tc>
              <w:tc>
                <w:tcPr>
                  <w:tcW w:w="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none"/>
                    </w:rPr>
                  </w:pPr>
                  <w:r>
                    <w:rPr>
                      <w:color w:val="auto"/>
                      <w:szCs w:val="21"/>
                      <w:u w:val="none"/>
                    </w:rPr>
                    <w:t>BOD</w:t>
                  </w:r>
                  <w:r>
                    <w:rPr>
                      <w:color w:val="auto"/>
                      <w:szCs w:val="21"/>
                      <w:u w:val="none"/>
                      <w:vertAlign w:val="subscript"/>
                    </w:rPr>
                    <w:t>5</w:t>
                  </w:r>
                </w:p>
              </w:tc>
              <w:tc>
                <w:tcPr>
                  <w:tcW w:w="8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none"/>
                    </w:rPr>
                  </w:pPr>
                  <w:r>
                    <w:rPr>
                      <w:color w:val="auto"/>
                      <w:szCs w:val="21"/>
                      <w:u w:val="none"/>
                    </w:rPr>
                    <w:t>COD</w:t>
                  </w:r>
                </w:p>
              </w:tc>
              <w:tc>
                <w:tcPr>
                  <w:tcW w:w="8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none"/>
                    </w:rPr>
                  </w:pPr>
                  <w:r>
                    <w:rPr>
                      <w:color w:val="auto"/>
                      <w:szCs w:val="21"/>
                      <w:u w:val="none"/>
                    </w:rPr>
                    <w:t>SS</w:t>
                  </w:r>
                </w:p>
              </w:tc>
              <w:tc>
                <w:tcPr>
                  <w:tcW w:w="9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none"/>
                    </w:rPr>
                  </w:pPr>
                  <w:r>
                    <w:rPr>
                      <w:color w:val="auto"/>
                      <w:szCs w:val="21"/>
                      <w:u w:val="none"/>
                    </w:rPr>
                    <w:t>NH</w:t>
                  </w:r>
                  <w:r>
                    <w:rPr>
                      <w:color w:val="auto"/>
                      <w:szCs w:val="21"/>
                      <w:u w:val="none"/>
                      <w:vertAlign w:val="subscript"/>
                    </w:rPr>
                    <w:t>3</w:t>
                  </w:r>
                  <w:r>
                    <w:rPr>
                      <w:color w:val="auto"/>
                      <w:szCs w:val="21"/>
                      <w:u w:val="none"/>
                    </w:rPr>
                    <w:t>-N</w:t>
                  </w:r>
                </w:p>
              </w:tc>
              <w:tc>
                <w:tcPr>
                  <w:tcW w:w="9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none"/>
                    </w:rPr>
                  </w:pPr>
                  <w:r>
                    <w:rPr>
                      <w:color w:val="auto"/>
                      <w:szCs w:val="21"/>
                      <w:u w:val="none"/>
                    </w:rPr>
                    <w:t>TN</w:t>
                  </w:r>
                </w:p>
              </w:tc>
              <w:tc>
                <w:tcPr>
                  <w:tcW w:w="9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none"/>
                    </w:rPr>
                  </w:pPr>
                  <w:r>
                    <w:rPr>
                      <w:color w:val="auto"/>
                      <w:szCs w:val="21"/>
                      <w:u w:val="none"/>
                    </w:rPr>
                    <w:t>TP</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7" w:hRule="atLeast"/>
                <w:jc w:val="center"/>
              </w:trPr>
              <w:tc>
                <w:tcPr>
                  <w:tcW w:w="12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none"/>
                    </w:rPr>
                  </w:pPr>
                  <w:r>
                    <w:rPr>
                      <w:color w:val="auto"/>
                      <w:szCs w:val="21"/>
                      <w:u w:val="none"/>
                    </w:rPr>
                    <w:t>进水水</w:t>
                  </w:r>
                  <w:r>
                    <w:rPr>
                      <w:rFonts w:hint="eastAsia"/>
                      <w:color w:val="auto"/>
                      <w:szCs w:val="21"/>
                      <w:u w:val="none"/>
                    </w:rPr>
                    <w:t>质</w:t>
                  </w:r>
                  <w:r>
                    <w:rPr>
                      <w:color w:val="auto"/>
                      <w:szCs w:val="21"/>
                      <w:u w:val="none"/>
                    </w:rPr>
                    <w:t>（mg/L）</w:t>
                  </w:r>
                </w:p>
              </w:tc>
              <w:tc>
                <w:tcPr>
                  <w:tcW w:w="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Cs w:val="21"/>
                      <w:u w:val="none"/>
                      <w:lang w:val="en-US" w:eastAsia="zh-CN"/>
                    </w:rPr>
                  </w:pPr>
                  <w:r>
                    <w:rPr>
                      <w:rFonts w:hint="eastAsia"/>
                      <w:color w:val="auto"/>
                      <w:szCs w:val="21"/>
                      <w:u w:val="none"/>
                      <w:lang w:val="en-US" w:eastAsia="zh-CN"/>
                    </w:rPr>
                    <w:t>7.4</w:t>
                  </w:r>
                </w:p>
              </w:tc>
              <w:tc>
                <w:tcPr>
                  <w:tcW w:w="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Cs w:val="21"/>
                      <w:u w:val="none"/>
                      <w:lang w:val="en-US" w:eastAsia="zh-CN"/>
                    </w:rPr>
                  </w:pPr>
                  <w:r>
                    <w:rPr>
                      <w:color w:val="auto"/>
                      <w:szCs w:val="21"/>
                      <w:u w:val="none"/>
                    </w:rPr>
                    <w:t>≤</w:t>
                  </w:r>
                  <w:r>
                    <w:rPr>
                      <w:rFonts w:hint="eastAsia"/>
                      <w:color w:val="auto"/>
                      <w:szCs w:val="21"/>
                      <w:u w:val="none"/>
                      <w:lang w:val="en-US" w:eastAsia="zh-CN"/>
                    </w:rPr>
                    <w:t>110</w:t>
                  </w:r>
                </w:p>
              </w:tc>
              <w:tc>
                <w:tcPr>
                  <w:tcW w:w="8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Cs w:val="21"/>
                      <w:u w:val="none"/>
                      <w:lang w:val="en-US" w:eastAsia="zh-CN"/>
                    </w:rPr>
                  </w:pPr>
                  <w:r>
                    <w:rPr>
                      <w:color w:val="auto"/>
                      <w:szCs w:val="21"/>
                      <w:u w:val="none"/>
                    </w:rPr>
                    <w:t>≤</w:t>
                  </w:r>
                  <w:r>
                    <w:rPr>
                      <w:rFonts w:hint="eastAsia"/>
                      <w:color w:val="auto"/>
                      <w:szCs w:val="21"/>
                      <w:u w:val="none"/>
                      <w:lang w:val="en-US" w:eastAsia="zh-CN"/>
                    </w:rPr>
                    <w:t>240</w:t>
                  </w:r>
                </w:p>
              </w:tc>
              <w:tc>
                <w:tcPr>
                  <w:tcW w:w="8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Cs w:val="21"/>
                      <w:u w:val="none"/>
                      <w:lang w:val="en-US" w:eastAsia="zh-CN"/>
                    </w:rPr>
                  </w:pPr>
                  <w:r>
                    <w:rPr>
                      <w:color w:val="auto"/>
                      <w:szCs w:val="21"/>
                      <w:u w:val="none"/>
                    </w:rPr>
                    <w:t>≤</w:t>
                  </w:r>
                  <w:r>
                    <w:rPr>
                      <w:rFonts w:hint="eastAsia"/>
                      <w:color w:val="auto"/>
                      <w:szCs w:val="21"/>
                      <w:u w:val="none"/>
                      <w:lang w:val="en-US" w:eastAsia="zh-CN"/>
                    </w:rPr>
                    <w:t>200</w:t>
                  </w:r>
                </w:p>
              </w:tc>
              <w:tc>
                <w:tcPr>
                  <w:tcW w:w="9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Cs w:val="21"/>
                      <w:u w:val="none"/>
                      <w:lang w:val="en-US" w:eastAsia="zh-CN"/>
                    </w:rPr>
                  </w:pPr>
                  <w:r>
                    <w:rPr>
                      <w:color w:val="auto"/>
                      <w:szCs w:val="21"/>
                      <w:u w:val="none"/>
                    </w:rPr>
                    <w:t>≤</w:t>
                  </w:r>
                  <w:r>
                    <w:rPr>
                      <w:rFonts w:hint="eastAsia"/>
                      <w:color w:val="auto"/>
                      <w:szCs w:val="21"/>
                      <w:u w:val="none"/>
                      <w:lang w:val="en-US" w:eastAsia="zh-CN"/>
                    </w:rPr>
                    <w:t>30</w:t>
                  </w:r>
                </w:p>
              </w:tc>
              <w:tc>
                <w:tcPr>
                  <w:tcW w:w="9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Cs w:val="21"/>
                      <w:u w:val="none"/>
                      <w:lang w:val="en-US" w:eastAsia="zh-CN"/>
                    </w:rPr>
                  </w:pPr>
                  <w:r>
                    <w:rPr>
                      <w:color w:val="auto"/>
                      <w:szCs w:val="21"/>
                      <w:u w:val="none"/>
                    </w:rPr>
                    <w:t>≤</w:t>
                  </w:r>
                  <w:r>
                    <w:rPr>
                      <w:rFonts w:hint="eastAsia"/>
                      <w:color w:val="auto"/>
                      <w:szCs w:val="21"/>
                      <w:u w:val="none"/>
                      <w:lang w:val="en-US" w:eastAsia="zh-CN"/>
                    </w:rPr>
                    <w:t>35</w:t>
                  </w:r>
                </w:p>
              </w:tc>
              <w:tc>
                <w:tcPr>
                  <w:tcW w:w="9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Cs w:val="21"/>
                      <w:u w:val="none"/>
                      <w:lang w:val="en-US" w:eastAsia="zh-CN"/>
                    </w:rPr>
                  </w:pPr>
                  <w:r>
                    <w:rPr>
                      <w:color w:val="auto"/>
                      <w:szCs w:val="21"/>
                      <w:u w:val="none"/>
                    </w:rPr>
                    <w:t>≤</w:t>
                  </w:r>
                  <w:r>
                    <w:rPr>
                      <w:rFonts w:hint="eastAsia"/>
                      <w:color w:val="auto"/>
                      <w:szCs w:val="21"/>
                      <w:u w:val="none"/>
                      <w:lang w:val="en-US" w:eastAsia="zh-CN"/>
                    </w:rPr>
                    <w:t>2.5</w:t>
                  </w:r>
                </w:p>
              </w:tc>
            </w:tr>
          </w:tbl>
          <w:p>
            <w:pPr>
              <w:pStyle w:val="3"/>
              <w:rPr>
                <w:color w:val="auto"/>
                <w:u w:val="none"/>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none"/>
              </w:rPr>
            </w:pPr>
            <w:r>
              <w:rPr>
                <w:rFonts w:hint="eastAsia"/>
                <w:b/>
                <w:bCs/>
                <w:color w:val="auto"/>
                <w:sz w:val="24"/>
                <w:szCs w:val="24"/>
                <w:u w:val="none"/>
                <w:lang w:eastAsia="zh-CN"/>
              </w:rPr>
              <w:t>出水水质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FF0000"/>
                <w:sz w:val="24"/>
                <w:szCs w:val="24"/>
                <w:u w:val="wave"/>
                <w:lang w:eastAsia="zh-CN"/>
              </w:rPr>
            </w:pPr>
            <w:r>
              <w:rPr>
                <w:rFonts w:hint="eastAsia" w:cs="Times New Roman"/>
                <w:color w:val="FF0000"/>
                <w:sz w:val="24"/>
                <w:szCs w:val="24"/>
                <w:u w:val="wave"/>
                <w:lang w:eastAsia="zh-CN"/>
              </w:rPr>
              <w:t>根据《湖南省住房和城乡建设厅等八部门关于建立绿色通道加快城乡污水处理设施建设前期工作的通知》湘建村</w:t>
            </w:r>
            <w:r>
              <w:rPr>
                <w:rFonts w:hint="eastAsia" w:cs="Times New Roman"/>
                <w:color w:val="FF0000"/>
                <w:sz w:val="24"/>
                <w:szCs w:val="24"/>
                <w:u w:val="wave"/>
                <w:lang w:val="en-US" w:eastAsia="zh-CN"/>
              </w:rPr>
              <w:t>[2019]230号：“建制镇生活污水处理设施执行</w:t>
            </w:r>
            <w:r>
              <w:rPr>
                <w:rFonts w:hint="eastAsia"/>
                <w:color w:val="FF0000"/>
                <w:sz w:val="24"/>
                <w:szCs w:val="24"/>
                <w:u w:val="wave"/>
                <w:lang w:eastAsia="zh-CN"/>
              </w:rPr>
              <w:t>《城镇污水处理厂污染物排放标准》(GB18918-2002)一级B标准</w:t>
            </w:r>
            <w:r>
              <w:rPr>
                <w:rFonts w:hint="eastAsia" w:cs="Times New Roman"/>
                <w:color w:val="FF0000"/>
                <w:sz w:val="24"/>
                <w:szCs w:val="24"/>
                <w:u w:val="wave"/>
                <w:lang w:val="en-US" w:eastAsia="zh-CN"/>
              </w:rPr>
              <w:t>，其中东江水库流域、洞庭湖流域、和湘江长沙航电枢纽库区汇水范围执行</w:t>
            </w:r>
            <w:r>
              <w:rPr>
                <w:rFonts w:hint="eastAsia"/>
                <w:color w:val="FF0000"/>
                <w:sz w:val="24"/>
                <w:szCs w:val="24"/>
                <w:u w:val="wave"/>
                <w:lang w:eastAsia="zh-CN"/>
              </w:rPr>
              <w:t>《城镇污水处理厂污染物排放标准》(GB18918-2002)</w:t>
            </w:r>
            <w:r>
              <w:rPr>
                <w:rFonts w:hint="eastAsia" w:cs="Times New Roman"/>
                <w:color w:val="FF0000"/>
                <w:sz w:val="24"/>
                <w:szCs w:val="24"/>
                <w:u w:val="wave"/>
                <w:lang w:val="en-US" w:eastAsia="zh-CN"/>
              </w:rPr>
              <w:t>一级A标准，其他乡镇日处理规模500立方米（含以上）的生活污水处理设施原则上执行</w:t>
            </w:r>
            <w:r>
              <w:rPr>
                <w:rFonts w:hint="eastAsia"/>
                <w:color w:val="FF0000"/>
                <w:sz w:val="24"/>
                <w:szCs w:val="24"/>
                <w:u w:val="wave"/>
                <w:lang w:eastAsia="zh-CN"/>
              </w:rPr>
              <w:t>《城镇污水处理厂污染物排放标准》(GB18918-2002)一级B标准</w:t>
            </w:r>
            <w:r>
              <w:rPr>
                <w:rFonts w:hint="eastAsia" w:cs="Times New Roman"/>
                <w:color w:val="FF0000"/>
                <w:sz w:val="24"/>
                <w:szCs w:val="24"/>
                <w:u w:val="wave"/>
                <w:lang w:val="en-US" w:eastAsia="zh-CN"/>
              </w:rPr>
              <w:t>》”（具体内容详见附件3）</w:t>
            </w:r>
            <w:r>
              <w:rPr>
                <w:rFonts w:hint="eastAsia"/>
                <w:color w:val="FF0000"/>
                <w:sz w:val="24"/>
                <w:szCs w:val="24"/>
                <w:u w:val="wave"/>
                <w:lang w:eastAsia="zh-CN"/>
              </w:rPr>
              <w:t>，本项目属于镇污水处理厂建设，日处理规模为</w:t>
            </w:r>
            <w:r>
              <w:rPr>
                <w:rFonts w:hint="eastAsia"/>
                <w:color w:val="FF0000"/>
                <w:sz w:val="24"/>
                <w:szCs w:val="24"/>
                <w:u w:val="wave"/>
                <w:lang w:val="en-US" w:eastAsia="zh-CN"/>
              </w:rPr>
              <w:t>1000立方米，</w:t>
            </w:r>
            <w:r>
              <w:rPr>
                <w:rFonts w:hint="eastAsia"/>
                <w:color w:val="FF0000"/>
                <w:sz w:val="24"/>
                <w:szCs w:val="24"/>
                <w:u w:val="wave"/>
                <w:lang w:eastAsia="zh-CN"/>
              </w:rPr>
              <w:t>且不属于上述流域。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FF0000"/>
                <w:sz w:val="24"/>
                <w:szCs w:val="24"/>
                <w:u w:val="wave"/>
                <w:lang w:eastAsia="zh-CN"/>
              </w:rPr>
            </w:pPr>
            <w:r>
              <w:rPr>
                <w:rFonts w:hint="eastAsia"/>
                <w:color w:val="FF0000"/>
                <w:sz w:val="24"/>
                <w:szCs w:val="24"/>
                <w:u w:val="wave"/>
                <w:lang w:eastAsia="zh-CN"/>
              </w:rPr>
              <w:t>综上，本项目出水水质执行《城镇污水处理厂污染物排放标准》(GB18918-2002)一级B标准。其主要污染物控制指标如表</w:t>
            </w:r>
            <w:r>
              <w:rPr>
                <w:rFonts w:hint="eastAsia"/>
                <w:color w:val="FF0000"/>
                <w:sz w:val="24"/>
                <w:szCs w:val="24"/>
                <w:u w:val="wave"/>
                <w:lang w:val="en-US" w:eastAsia="zh-CN"/>
              </w:rPr>
              <w:t>1-8所示</w:t>
            </w:r>
            <w:r>
              <w:rPr>
                <w:rFonts w:hint="eastAsia"/>
                <w:color w:val="FF0000"/>
                <w:sz w:val="24"/>
                <w:szCs w:val="24"/>
                <w:u w:val="wav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Cs w:val="21"/>
                <w:u w:val="none"/>
                <w:lang w:val="en-US" w:eastAsia="zh-CN"/>
              </w:rPr>
            </w:pPr>
            <w:r>
              <w:rPr>
                <w:b/>
                <w:bCs/>
                <w:color w:val="auto"/>
                <w:szCs w:val="21"/>
                <w:u w:val="none"/>
              </w:rPr>
              <w:t>1-</w:t>
            </w:r>
            <w:r>
              <w:rPr>
                <w:rFonts w:hint="eastAsia"/>
                <w:b/>
                <w:bCs/>
                <w:color w:val="auto"/>
                <w:szCs w:val="21"/>
                <w:u w:val="none"/>
                <w:lang w:val="en-US" w:eastAsia="zh-CN"/>
              </w:rPr>
              <w:t>8</w:t>
            </w:r>
            <w:r>
              <w:rPr>
                <w:rFonts w:hint="eastAsia"/>
                <w:b/>
                <w:bCs/>
                <w:color w:val="auto"/>
                <w:szCs w:val="21"/>
                <w:u w:val="none"/>
              </w:rPr>
              <w:t xml:space="preserve">  </w:t>
            </w:r>
            <w:r>
              <w:rPr>
                <w:b/>
                <w:bCs/>
                <w:color w:val="auto"/>
                <w:szCs w:val="21"/>
                <w:u w:val="none"/>
              </w:rPr>
              <w:t xml:space="preserve"> </w:t>
            </w:r>
            <w:r>
              <w:rPr>
                <w:rFonts w:hint="eastAsia"/>
                <w:b/>
                <w:bCs/>
                <w:color w:val="auto"/>
                <w:szCs w:val="21"/>
                <w:u w:val="none"/>
              </w:rPr>
              <w:t>污水处理厂</w:t>
            </w:r>
            <w:r>
              <w:rPr>
                <w:b/>
                <w:bCs/>
                <w:color w:val="auto"/>
                <w:szCs w:val="21"/>
                <w:u w:val="none"/>
              </w:rPr>
              <w:t>设计</w:t>
            </w:r>
            <w:r>
              <w:rPr>
                <w:rFonts w:hint="eastAsia"/>
                <w:b/>
                <w:bCs/>
                <w:color w:val="auto"/>
                <w:szCs w:val="21"/>
                <w:u w:val="none"/>
                <w:lang w:eastAsia="zh-CN"/>
              </w:rPr>
              <w:t>出水</w:t>
            </w:r>
            <w:r>
              <w:rPr>
                <w:b/>
                <w:bCs/>
                <w:color w:val="auto"/>
                <w:szCs w:val="21"/>
                <w:u w:val="none"/>
              </w:rPr>
              <w:t>水质</w:t>
            </w:r>
            <w:r>
              <w:rPr>
                <w:rFonts w:hint="eastAsia"/>
                <w:b/>
                <w:bCs/>
                <w:color w:val="auto"/>
                <w:szCs w:val="21"/>
                <w:u w:val="none"/>
                <w:lang w:val="en-US" w:eastAsia="zh-CN"/>
              </w:rPr>
              <w:t xml:space="preserve">  单位：mg/L，pH无量纲</w:t>
            </w:r>
          </w:p>
          <w:tbl>
            <w:tblPr>
              <w:tblStyle w:val="27"/>
              <w:tblW w:w="774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81"/>
              <w:gridCol w:w="906"/>
              <w:gridCol w:w="906"/>
              <w:gridCol w:w="894"/>
              <w:gridCol w:w="877"/>
              <w:gridCol w:w="958"/>
              <w:gridCol w:w="946"/>
              <w:gridCol w:w="98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none"/>
                    </w:rPr>
                  </w:pPr>
                  <w:r>
                    <w:rPr>
                      <w:color w:val="auto"/>
                      <w:szCs w:val="21"/>
                      <w:u w:val="none"/>
                    </w:rPr>
                    <w:t>项目</w:t>
                  </w:r>
                </w:p>
              </w:tc>
              <w:tc>
                <w:tcPr>
                  <w:tcW w:w="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Cs w:val="21"/>
                      <w:u w:val="none"/>
                      <w:lang w:val="en-US" w:eastAsia="zh-CN"/>
                    </w:rPr>
                  </w:pPr>
                  <w:r>
                    <w:rPr>
                      <w:rFonts w:hint="eastAsia"/>
                      <w:color w:val="auto"/>
                      <w:szCs w:val="21"/>
                      <w:u w:val="none"/>
                      <w:lang w:val="en-US" w:eastAsia="zh-CN"/>
                    </w:rPr>
                    <w:t>pH</w:t>
                  </w:r>
                </w:p>
              </w:tc>
              <w:tc>
                <w:tcPr>
                  <w:tcW w:w="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none"/>
                    </w:rPr>
                  </w:pPr>
                  <w:r>
                    <w:rPr>
                      <w:color w:val="auto"/>
                      <w:szCs w:val="21"/>
                      <w:u w:val="none"/>
                    </w:rPr>
                    <w:t>BOD</w:t>
                  </w:r>
                  <w:r>
                    <w:rPr>
                      <w:color w:val="auto"/>
                      <w:szCs w:val="21"/>
                      <w:u w:val="none"/>
                      <w:vertAlign w:val="subscript"/>
                    </w:rPr>
                    <w:t>5</w:t>
                  </w:r>
                </w:p>
              </w:tc>
              <w:tc>
                <w:tcPr>
                  <w:tcW w:w="8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none"/>
                    </w:rPr>
                  </w:pPr>
                  <w:r>
                    <w:rPr>
                      <w:color w:val="auto"/>
                      <w:szCs w:val="21"/>
                      <w:u w:val="none"/>
                    </w:rPr>
                    <w:t>COD</w:t>
                  </w:r>
                </w:p>
              </w:tc>
              <w:tc>
                <w:tcPr>
                  <w:tcW w:w="8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none"/>
                    </w:rPr>
                  </w:pPr>
                  <w:r>
                    <w:rPr>
                      <w:color w:val="auto"/>
                      <w:szCs w:val="21"/>
                      <w:u w:val="none"/>
                    </w:rPr>
                    <w:t>SS</w:t>
                  </w:r>
                </w:p>
              </w:tc>
              <w:tc>
                <w:tcPr>
                  <w:tcW w:w="9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none"/>
                    </w:rPr>
                  </w:pPr>
                  <w:r>
                    <w:rPr>
                      <w:color w:val="auto"/>
                      <w:szCs w:val="21"/>
                      <w:u w:val="none"/>
                    </w:rPr>
                    <w:t>NH</w:t>
                  </w:r>
                  <w:r>
                    <w:rPr>
                      <w:color w:val="auto"/>
                      <w:szCs w:val="21"/>
                      <w:u w:val="none"/>
                      <w:vertAlign w:val="subscript"/>
                    </w:rPr>
                    <w:t>3</w:t>
                  </w:r>
                  <w:r>
                    <w:rPr>
                      <w:color w:val="auto"/>
                      <w:szCs w:val="21"/>
                      <w:u w:val="none"/>
                    </w:rPr>
                    <w:t>-N</w:t>
                  </w:r>
                </w:p>
              </w:tc>
              <w:tc>
                <w:tcPr>
                  <w:tcW w:w="9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none"/>
                    </w:rPr>
                  </w:pPr>
                  <w:r>
                    <w:rPr>
                      <w:color w:val="auto"/>
                      <w:szCs w:val="21"/>
                      <w:u w:val="none"/>
                    </w:rPr>
                    <w:t>TN</w:t>
                  </w:r>
                </w:p>
              </w:tc>
              <w:tc>
                <w:tcPr>
                  <w:tcW w:w="9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none"/>
                    </w:rPr>
                  </w:pPr>
                  <w:r>
                    <w:rPr>
                      <w:color w:val="auto"/>
                      <w:szCs w:val="21"/>
                      <w:u w:val="none"/>
                    </w:rPr>
                    <w:t>TP</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7" w:hRule="atLeast"/>
                <w:jc w:val="center"/>
              </w:trPr>
              <w:tc>
                <w:tcPr>
                  <w:tcW w:w="12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none"/>
                    </w:rPr>
                  </w:pPr>
                  <w:r>
                    <w:rPr>
                      <w:color w:val="auto"/>
                      <w:szCs w:val="21"/>
                      <w:u w:val="none"/>
                    </w:rPr>
                    <w:t>进水水</w:t>
                  </w:r>
                  <w:r>
                    <w:rPr>
                      <w:rFonts w:hint="eastAsia"/>
                      <w:color w:val="auto"/>
                      <w:szCs w:val="21"/>
                      <w:u w:val="none"/>
                    </w:rPr>
                    <w:t>质</w:t>
                  </w:r>
                  <w:r>
                    <w:rPr>
                      <w:color w:val="auto"/>
                      <w:szCs w:val="21"/>
                      <w:u w:val="none"/>
                    </w:rPr>
                    <w:t>（mg/L）</w:t>
                  </w:r>
                </w:p>
              </w:tc>
              <w:tc>
                <w:tcPr>
                  <w:tcW w:w="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Cs w:val="21"/>
                      <w:u w:val="none"/>
                      <w:lang w:val="en-US" w:eastAsia="zh-CN"/>
                    </w:rPr>
                  </w:pPr>
                  <w:r>
                    <w:rPr>
                      <w:rFonts w:hint="eastAsia"/>
                      <w:color w:val="auto"/>
                      <w:szCs w:val="21"/>
                      <w:u w:val="none"/>
                      <w:lang w:val="en-US" w:eastAsia="zh-CN"/>
                    </w:rPr>
                    <w:t>6-9</w:t>
                  </w:r>
                </w:p>
              </w:tc>
              <w:tc>
                <w:tcPr>
                  <w:tcW w:w="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Cs w:val="21"/>
                      <w:u w:val="none"/>
                      <w:lang w:val="en-US" w:eastAsia="zh-CN"/>
                    </w:rPr>
                  </w:pPr>
                  <w:r>
                    <w:rPr>
                      <w:color w:val="auto"/>
                      <w:szCs w:val="21"/>
                      <w:u w:val="none"/>
                    </w:rPr>
                    <w:t>≤</w:t>
                  </w:r>
                  <w:r>
                    <w:rPr>
                      <w:rFonts w:hint="eastAsia"/>
                      <w:color w:val="auto"/>
                      <w:szCs w:val="21"/>
                      <w:u w:val="none"/>
                      <w:lang w:val="en-US" w:eastAsia="zh-CN"/>
                    </w:rPr>
                    <w:t>20</w:t>
                  </w:r>
                </w:p>
              </w:tc>
              <w:tc>
                <w:tcPr>
                  <w:tcW w:w="8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Cs w:val="21"/>
                      <w:u w:val="none"/>
                      <w:lang w:val="en-US" w:eastAsia="zh-CN"/>
                    </w:rPr>
                  </w:pPr>
                  <w:r>
                    <w:rPr>
                      <w:color w:val="auto"/>
                      <w:szCs w:val="21"/>
                      <w:u w:val="none"/>
                    </w:rPr>
                    <w:t>≤</w:t>
                  </w:r>
                  <w:r>
                    <w:rPr>
                      <w:rFonts w:hint="eastAsia"/>
                      <w:color w:val="auto"/>
                      <w:szCs w:val="21"/>
                      <w:u w:val="none"/>
                      <w:lang w:val="en-US" w:eastAsia="zh-CN"/>
                    </w:rPr>
                    <w:t>60</w:t>
                  </w:r>
                </w:p>
              </w:tc>
              <w:tc>
                <w:tcPr>
                  <w:tcW w:w="8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Cs w:val="21"/>
                      <w:u w:val="none"/>
                      <w:lang w:val="en-US" w:eastAsia="zh-CN"/>
                    </w:rPr>
                  </w:pPr>
                  <w:r>
                    <w:rPr>
                      <w:color w:val="auto"/>
                      <w:szCs w:val="21"/>
                      <w:u w:val="none"/>
                    </w:rPr>
                    <w:t>≤</w:t>
                  </w:r>
                  <w:r>
                    <w:rPr>
                      <w:rFonts w:hint="eastAsia"/>
                      <w:color w:val="auto"/>
                      <w:szCs w:val="21"/>
                      <w:u w:val="none"/>
                      <w:lang w:val="en-US" w:eastAsia="zh-CN"/>
                    </w:rPr>
                    <w:t>20</w:t>
                  </w:r>
                </w:p>
              </w:tc>
              <w:tc>
                <w:tcPr>
                  <w:tcW w:w="9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Cs w:val="21"/>
                      <w:u w:val="none"/>
                      <w:lang w:val="en-US" w:eastAsia="zh-CN"/>
                    </w:rPr>
                  </w:pPr>
                  <w:r>
                    <w:rPr>
                      <w:color w:val="auto"/>
                      <w:szCs w:val="21"/>
                      <w:u w:val="none"/>
                    </w:rPr>
                    <w:t>≤</w:t>
                  </w:r>
                  <w:r>
                    <w:rPr>
                      <w:rFonts w:hint="eastAsia"/>
                      <w:color w:val="auto"/>
                      <w:szCs w:val="21"/>
                      <w:u w:val="none"/>
                      <w:lang w:val="en-US" w:eastAsia="zh-CN"/>
                    </w:rPr>
                    <w:t>8（15）</w:t>
                  </w:r>
                </w:p>
              </w:tc>
              <w:tc>
                <w:tcPr>
                  <w:tcW w:w="9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Cs w:val="21"/>
                      <w:u w:val="none"/>
                      <w:lang w:val="en-US" w:eastAsia="zh-CN"/>
                    </w:rPr>
                  </w:pPr>
                  <w:r>
                    <w:rPr>
                      <w:color w:val="auto"/>
                      <w:szCs w:val="21"/>
                      <w:u w:val="none"/>
                    </w:rPr>
                    <w:t>≤</w:t>
                  </w:r>
                  <w:r>
                    <w:rPr>
                      <w:rFonts w:hint="eastAsia"/>
                      <w:color w:val="auto"/>
                      <w:szCs w:val="21"/>
                      <w:u w:val="none"/>
                      <w:lang w:val="en-US" w:eastAsia="zh-CN"/>
                    </w:rPr>
                    <w:t>20</w:t>
                  </w:r>
                </w:p>
              </w:tc>
              <w:tc>
                <w:tcPr>
                  <w:tcW w:w="9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Cs w:val="21"/>
                      <w:u w:val="none"/>
                      <w:lang w:val="en-US" w:eastAsia="zh-CN"/>
                    </w:rPr>
                  </w:pPr>
                  <w:r>
                    <w:rPr>
                      <w:color w:val="auto"/>
                      <w:szCs w:val="21"/>
                      <w:u w:val="none"/>
                    </w:rPr>
                    <w:t>≤</w:t>
                  </w:r>
                  <w:r>
                    <w:rPr>
                      <w:rFonts w:hint="eastAsia"/>
                      <w:color w:val="auto"/>
                      <w:szCs w:val="21"/>
                      <w:u w:val="none"/>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7749"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none"/>
                    </w:rPr>
                  </w:pPr>
                  <w:r>
                    <w:rPr>
                      <w:rFonts w:hint="eastAsia"/>
                      <w:color w:val="auto"/>
                      <w:szCs w:val="21"/>
                      <w:u w:val="none"/>
                      <w:lang w:eastAsia="zh-CN"/>
                    </w:rPr>
                    <w:t>括号外数值为水温＞</w:t>
                  </w:r>
                  <w:r>
                    <w:rPr>
                      <w:rFonts w:hint="eastAsia"/>
                      <w:color w:val="auto"/>
                      <w:szCs w:val="21"/>
                      <w:u w:val="none"/>
                      <w:lang w:val="en-US" w:eastAsia="zh-CN"/>
                    </w:rPr>
                    <w:t>12℃时的控制指标，</w:t>
                  </w:r>
                  <w:r>
                    <w:rPr>
                      <w:rFonts w:hint="eastAsia"/>
                      <w:color w:val="auto"/>
                      <w:szCs w:val="21"/>
                      <w:u w:val="none"/>
                      <w:lang w:eastAsia="zh-CN"/>
                    </w:rPr>
                    <w:t>括号内数值为水温≤</w:t>
                  </w:r>
                  <w:r>
                    <w:rPr>
                      <w:rFonts w:hint="eastAsia"/>
                      <w:color w:val="auto"/>
                      <w:szCs w:val="21"/>
                      <w:u w:val="none"/>
                      <w:lang w:val="en-US" w:eastAsia="zh-CN"/>
                    </w:rPr>
                    <w:t>12℃时的控制指标</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none"/>
              </w:rPr>
            </w:pPr>
            <w:r>
              <w:rPr>
                <w:b/>
                <w:bCs/>
                <w:color w:val="auto"/>
                <w:sz w:val="24"/>
                <w:szCs w:val="24"/>
                <w:u w:val="none"/>
              </w:rPr>
              <w:t>公用</w:t>
            </w:r>
            <w:r>
              <w:rPr>
                <w:rFonts w:hint="eastAsia"/>
                <w:b/>
                <w:bCs/>
                <w:color w:val="auto"/>
                <w:sz w:val="24"/>
                <w:szCs w:val="24"/>
                <w:u w:val="none"/>
                <w:lang w:eastAsia="zh-CN"/>
              </w:rPr>
              <w:t>工程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u w:val="none"/>
              </w:rPr>
            </w:pPr>
            <w:r>
              <w:rPr>
                <w:color w:val="auto"/>
                <w:sz w:val="24"/>
                <w:szCs w:val="24"/>
                <w:u w:val="none"/>
              </w:rPr>
              <w:t>1）给水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u w:val="none"/>
              </w:rPr>
            </w:pPr>
            <w:r>
              <w:rPr>
                <w:rFonts w:hint="eastAsia"/>
                <w:color w:val="auto"/>
                <w:sz w:val="24"/>
                <w:szCs w:val="24"/>
                <w:u w:val="none"/>
              </w:rPr>
              <w:t>厂区办公生活用水及生产用水由市政自来水管网供给，供水压力约为0.30Mpa，从给水管网引入一根DN</w:t>
            </w:r>
            <w:r>
              <w:rPr>
                <w:rFonts w:hint="eastAsia"/>
                <w:color w:val="auto"/>
                <w:sz w:val="24"/>
                <w:szCs w:val="24"/>
                <w:u w:val="none"/>
                <w:lang w:val="en-US" w:eastAsia="zh-CN"/>
              </w:rPr>
              <w:t>15</w:t>
            </w:r>
            <w:r>
              <w:rPr>
                <w:rFonts w:hint="eastAsia"/>
                <w:color w:val="auto"/>
                <w:sz w:val="24"/>
                <w:szCs w:val="24"/>
                <w:u w:val="none"/>
              </w:rPr>
              <w:t>0给水管，经水表计量后，在厂区内连接成环，消防给水与生活给水合用。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Cs w:val="21"/>
                <w:u w:val="none"/>
              </w:rPr>
            </w:pPr>
            <w:r>
              <w:rPr>
                <w:rFonts w:hint="eastAsia"/>
                <w:color w:val="auto"/>
                <w:sz w:val="24"/>
                <w:szCs w:val="24"/>
                <w:u w:val="none"/>
              </w:rPr>
              <w:t>项目用水主要</w:t>
            </w:r>
            <w:r>
              <w:rPr>
                <w:rFonts w:hint="eastAsia"/>
                <w:color w:val="auto"/>
                <w:sz w:val="24"/>
                <w:szCs w:val="24"/>
                <w:u w:val="none"/>
                <w:lang w:eastAsia="zh-CN"/>
              </w:rPr>
              <w:t>为</w:t>
            </w:r>
            <w:r>
              <w:rPr>
                <w:rFonts w:hint="eastAsia"/>
                <w:color w:val="auto"/>
                <w:sz w:val="24"/>
                <w:szCs w:val="24"/>
                <w:u w:val="none"/>
              </w:rPr>
              <w:t>职工生活用水。</w:t>
            </w:r>
            <w:r>
              <w:rPr>
                <w:color w:val="auto"/>
                <w:sz w:val="24"/>
                <w:szCs w:val="24"/>
                <w:u w:val="none"/>
              </w:rPr>
              <w:t>详细计算参数及结果</w:t>
            </w:r>
            <w:r>
              <w:rPr>
                <w:rFonts w:hint="eastAsia"/>
                <w:color w:val="auto"/>
                <w:sz w:val="24"/>
                <w:szCs w:val="24"/>
                <w:u w:val="none"/>
              </w:rPr>
              <w:t>如下：</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Cs w:val="21"/>
                <w:u w:val="none"/>
              </w:rPr>
            </w:pPr>
            <w:r>
              <w:rPr>
                <w:b/>
                <w:bCs/>
                <w:color w:val="auto"/>
                <w:szCs w:val="21"/>
                <w:u w:val="none"/>
              </w:rPr>
              <w:t>表1-</w:t>
            </w:r>
            <w:r>
              <w:rPr>
                <w:rFonts w:hint="eastAsia"/>
                <w:b/>
                <w:bCs/>
                <w:color w:val="auto"/>
                <w:szCs w:val="21"/>
                <w:u w:val="none"/>
              </w:rPr>
              <w:t xml:space="preserve">8 </w:t>
            </w:r>
            <w:r>
              <w:rPr>
                <w:b/>
                <w:bCs/>
                <w:color w:val="auto"/>
                <w:szCs w:val="21"/>
                <w:u w:val="none"/>
              </w:rPr>
              <w:t xml:space="preserve">  本项目水</w:t>
            </w:r>
            <w:r>
              <w:rPr>
                <w:rFonts w:hint="eastAsia"/>
                <w:b/>
                <w:bCs/>
                <w:color w:val="auto"/>
                <w:szCs w:val="21"/>
                <w:u w:val="none"/>
              </w:rPr>
              <w:t>情况统计结果</w:t>
            </w:r>
          </w:p>
          <w:tbl>
            <w:tblPr>
              <w:tblStyle w:val="27"/>
              <w:tblW w:w="82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1696"/>
              <w:gridCol w:w="1980"/>
              <w:gridCol w:w="24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37" w:type="dxa"/>
                  <w:tcBorders>
                    <w:tl2br w:val="nil"/>
                    <w:tr2bl w:val="nil"/>
                  </w:tcBorders>
                  <w:vAlign w:val="center"/>
                </w:tcPr>
                <w:p>
                  <w:pPr>
                    <w:pStyle w:val="39"/>
                    <w:rPr>
                      <w:rFonts w:ascii="Times New Roman" w:hAnsi="Times New Roman" w:eastAsia="宋体"/>
                      <w:color w:val="auto"/>
                      <w:u w:val="none"/>
                    </w:rPr>
                  </w:pPr>
                  <w:r>
                    <w:rPr>
                      <w:rFonts w:ascii="Times New Roman" w:hAnsi="Times New Roman" w:eastAsia="宋体"/>
                      <w:color w:val="auto"/>
                      <w:u w:val="none"/>
                    </w:rPr>
                    <w:t>用水部门</w:t>
                  </w:r>
                </w:p>
              </w:tc>
              <w:tc>
                <w:tcPr>
                  <w:tcW w:w="1696" w:type="dxa"/>
                  <w:tcBorders>
                    <w:tl2br w:val="nil"/>
                    <w:tr2bl w:val="nil"/>
                  </w:tcBorders>
                  <w:vAlign w:val="center"/>
                </w:tcPr>
                <w:p>
                  <w:pPr>
                    <w:pStyle w:val="39"/>
                    <w:rPr>
                      <w:rFonts w:ascii="Times New Roman" w:hAnsi="Times New Roman" w:eastAsia="宋体"/>
                      <w:color w:val="auto"/>
                      <w:u w:val="none"/>
                    </w:rPr>
                  </w:pPr>
                  <w:r>
                    <w:rPr>
                      <w:rFonts w:ascii="Times New Roman" w:hAnsi="Times New Roman" w:eastAsia="宋体"/>
                      <w:color w:val="auto"/>
                      <w:u w:val="none"/>
                    </w:rPr>
                    <w:t>用水单耗</w:t>
                  </w:r>
                </w:p>
              </w:tc>
              <w:tc>
                <w:tcPr>
                  <w:tcW w:w="1980" w:type="dxa"/>
                  <w:tcBorders>
                    <w:tl2br w:val="nil"/>
                    <w:tr2bl w:val="nil"/>
                  </w:tcBorders>
                  <w:vAlign w:val="center"/>
                </w:tcPr>
                <w:p>
                  <w:pPr>
                    <w:pStyle w:val="39"/>
                    <w:rPr>
                      <w:rFonts w:ascii="Times New Roman" w:hAnsi="Times New Roman" w:eastAsia="宋体"/>
                      <w:color w:val="auto"/>
                      <w:u w:val="none"/>
                    </w:rPr>
                  </w:pPr>
                  <w:r>
                    <w:rPr>
                      <w:rFonts w:ascii="Times New Roman" w:hAnsi="Times New Roman" w:eastAsia="宋体"/>
                      <w:color w:val="auto"/>
                      <w:u w:val="none"/>
                    </w:rPr>
                    <w:t>规模</w:t>
                  </w:r>
                </w:p>
              </w:tc>
              <w:tc>
                <w:tcPr>
                  <w:tcW w:w="2474" w:type="dxa"/>
                  <w:tcBorders>
                    <w:tl2br w:val="nil"/>
                    <w:tr2bl w:val="nil"/>
                  </w:tcBorders>
                  <w:vAlign w:val="center"/>
                </w:tcPr>
                <w:p>
                  <w:pPr>
                    <w:pStyle w:val="39"/>
                    <w:rPr>
                      <w:rFonts w:ascii="Times New Roman" w:hAnsi="Times New Roman" w:eastAsia="宋体"/>
                      <w:color w:val="auto"/>
                      <w:u w:val="none"/>
                    </w:rPr>
                  </w:pPr>
                  <w:r>
                    <w:rPr>
                      <w:rFonts w:hint="eastAsia" w:ascii="Times New Roman" w:hAnsi="Times New Roman" w:eastAsia="宋体"/>
                      <w:color w:val="auto"/>
                      <w:u w:val="none"/>
                    </w:rPr>
                    <w:t>用水量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37" w:type="dxa"/>
                  <w:tcBorders>
                    <w:tl2br w:val="nil"/>
                    <w:tr2bl w:val="nil"/>
                  </w:tcBorders>
                  <w:vAlign w:val="center"/>
                </w:tcPr>
                <w:p>
                  <w:pPr>
                    <w:pStyle w:val="39"/>
                    <w:rPr>
                      <w:rFonts w:ascii="Times New Roman" w:hAnsi="Times New Roman" w:eastAsia="宋体"/>
                      <w:color w:val="auto"/>
                      <w:u w:val="none"/>
                    </w:rPr>
                  </w:pPr>
                  <w:r>
                    <w:rPr>
                      <w:rFonts w:ascii="Times New Roman" w:hAnsi="Times New Roman" w:eastAsia="宋体"/>
                      <w:color w:val="auto"/>
                      <w:u w:val="none"/>
                    </w:rPr>
                    <w:t>生活用水</w:t>
                  </w:r>
                </w:p>
              </w:tc>
              <w:tc>
                <w:tcPr>
                  <w:tcW w:w="1696" w:type="dxa"/>
                  <w:tcBorders>
                    <w:tl2br w:val="nil"/>
                    <w:tr2bl w:val="nil"/>
                  </w:tcBorders>
                  <w:vAlign w:val="center"/>
                </w:tcPr>
                <w:p>
                  <w:pPr>
                    <w:pStyle w:val="39"/>
                    <w:rPr>
                      <w:rFonts w:ascii="Times New Roman" w:hAnsi="Times New Roman" w:eastAsia="宋体"/>
                      <w:color w:val="auto"/>
                      <w:u w:val="none"/>
                    </w:rPr>
                  </w:pPr>
                  <w:r>
                    <w:rPr>
                      <w:rFonts w:hint="eastAsia" w:ascii="Times New Roman" w:hAnsi="Times New Roman" w:eastAsia="宋体"/>
                      <w:color w:val="auto"/>
                      <w:u w:val="none"/>
                    </w:rPr>
                    <w:t>145</w:t>
                  </w:r>
                  <w:r>
                    <w:rPr>
                      <w:rFonts w:ascii="Times New Roman" w:hAnsi="Times New Roman" w:eastAsia="宋体"/>
                      <w:color w:val="auto"/>
                      <w:u w:val="none"/>
                    </w:rPr>
                    <w:t>L/人.d</w:t>
                  </w:r>
                </w:p>
              </w:tc>
              <w:tc>
                <w:tcPr>
                  <w:tcW w:w="1980" w:type="dxa"/>
                  <w:tcBorders>
                    <w:tl2br w:val="nil"/>
                    <w:tr2bl w:val="nil"/>
                  </w:tcBorders>
                  <w:vAlign w:val="center"/>
                </w:tcPr>
                <w:p>
                  <w:pPr>
                    <w:pStyle w:val="39"/>
                    <w:rPr>
                      <w:rFonts w:ascii="Times New Roman" w:hAnsi="Times New Roman" w:eastAsia="宋体"/>
                      <w:color w:val="auto"/>
                      <w:u w:val="none"/>
                    </w:rPr>
                  </w:pPr>
                  <w:r>
                    <w:rPr>
                      <w:rFonts w:hint="eastAsia" w:ascii="Times New Roman" w:hAnsi="Times New Roman" w:eastAsia="宋体"/>
                      <w:color w:val="auto"/>
                      <w:u w:val="none"/>
                    </w:rPr>
                    <w:t>5</w:t>
                  </w:r>
                  <w:r>
                    <w:rPr>
                      <w:rFonts w:ascii="Times New Roman" w:hAnsi="Times New Roman" w:eastAsia="宋体"/>
                      <w:color w:val="auto"/>
                      <w:u w:val="none"/>
                    </w:rPr>
                    <w:t>人</w:t>
                  </w:r>
                </w:p>
              </w:tc>
              <w:tc>
                <w:tcPr>
                  <w:tcW w:w="2474" w:type="dxa"/>
                  <w:tcBorders>
                    <w:tl2br w:val="nil"/>
                    <w:tr2bl w:val="nil"/>
                  </w:tcBorders>
                  <w:vAlign w:val="center"/>
                </w:tcPr>
                <w:p>
                  <w:pPr>
                    <w:pStyle w:val="39"/>
                    <w:rPr>
                      <w:rFonts w:ascii="Times New Roman" w:hAnsi="Times New Roman" w:eastAsia="宋体"/>
                      <w:color w:val="auto"/>
                      <w:kern w:val="0"/>
                      <w:u w:val="none"/>
                    </w:rPr>
                  </w:pPr>
                  <w:r>
                    <w:rPr>
                      <w:rFonts w:hint="eastAsia" w:ascii="Times New Roman" w:hAnsi="Times New Roman" w:eastAsia="宋体"/>
                      <w:color w:val="auto"/>
                      <w:kern w:val="0"/>
                      <w:u w:val="none"/>
                    </w:rPr>
                    <w:t>0.725m</w:t>
                  </w:r>
                  <w:r>
                    <w:rPr>
                      <w:rFonts w:hint="eastAsia" w:ascii="Times New Roman" w:hAnsi="Times New Roman" w:eastAsia="宋体"/>
                      <w:color w:val="auto"/>
                      <w:kern w:val="0"/>
                      <w:u w:val="none"/>
                      <w:vertAlign w:val="superscript"/>
                    </w:rPr>
                    <w:t>3</w:t>
                  </w:r>
                  <w:r>
                    <w:rPr>
                      <w:rFonts w:hint="eastAsia" w:ascii="Times New Roman" w:hAnsi="Times New Roman" w:eastAsia="宋体"/>
                      <w:color w:val="auto"/>
                      <w:kern w:val="0"/>
                      <w:u w:val="none"/>
                    </w:rPr>
                    <w:t>/d（264.63m</w:t>
                  </w:r>
                  <w:r>
                    <w:rPr>
                      <w:rFonts w:hint="eastAsia" w:ascii="Times New Roman" w:hAnsi="Times New Roman" w:eastAsia="宋体"/>
                      <w:color w:val="auto"/>
                      <w:kern w:val="0"/>
                      <w:u w:val="none"/>
                      <w:vertAlign w:val="superscript"/>
                    </w:rPr>
                    <w:t>3</w:t>
                  </w:r>
                  <w:r>
                    <w:rPr>
                      <w:rFonts w:hint="eastAsia" w:ascii="Times New Roman" w:hAnsi="Times New Roman" w:eastAsia="宋体"/>
                      <w:color w:val="auto"/>
                      <w:kern w:val="0"/>
                      <w:u w:val="none"/>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813" w:type="dxa"/>
                  <w:gridSpan w:val="3"/>
                  <w:tcBorders>
                    <w:tl2br w:val="nil"/>
                    <w:tr2bl w:val="nil"/>
                  </w:tcBorders>
                  <w:vAlign w:val="center"/>
                </w:tcPr>
                <w:p>
                  <w:pPr>
                    <w:pStyle w:val="39"/>
                    <w:rPr>
                      <w:rFonts w:ascii="Times New Roman" w:hAnsi="Times New Roman" w:eastAsia="宋体"/>
                      <w:color w:val="auto"/>
                      <w:u w:val="none"/>
                    </w:rPr>
                  </w:pPr>
                  <w:r>
                    <w:rPr>
                      <w:rFonts w:hint="eastAsia" w:ascii="Times New Roman" w:hAnsi="Times New Roman" w:eastAsia="宋体"/>
                      <w:color w:val="auto"/>
                      <w:u w:val="none"/>
                    </w:rPr>
                    <w:t>小计</w:t>
                  </w:r>
                </w:p>
              </w:tc>
              <w:tc>
                <w:tcPr>
                  <w:tcW w:w="2474" w:type="dxa"/>
                  <w:tcBorders>
                    <w:tl2br w:val="nil"/>
                    <w:tr2bl w:val="nil"/>
                  </w:tcBorders>
                  <w:vAlign w:val="center"/>
                </w:tcPr>
                <w:p>
                  <w:pPr>
                    <w:pStyle w:val="39"/>
                    <w:rPr>
                      <w:rFonts w:hint="default" w:ascii="Times New Roman" w:hAnsi="Times New Roman" w:eastAsia="宋体"/>
                      <w:color w:val="auto"/>
                      <w:u w:val="none"/>
                      <w:lang w:val="en-US" w:eastAsia="zh-CN"/>
                    </w:rPr>
                  </w:pPr>
                  <w:r>
                    <w:rPr>
                      <w:rFonts w:hint="eastAsia" w:ascii="Times New Roman" w:hAnsi="Times New Roman" w:eastAsia="宋体"/>
                      <w:color w:val="auto"/>
                      <w:u w:val="none"/>
                      <w:lang w:val="en-US" w:eastAsia="zh-CN"/>
                    </w:rPr>
                    <w:t>264.63</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u w:val="none"/>
              </w:rPr>
            </w:pPr>
            <w:r>
              <w:rPr>
                <w:rFonts w:hint="eastAsia"/>
                <w:color w:val="auto"/>
                <w:sz w:val="24"/>
                <w:szCs w:val="24"/>
                <w:u w:val="none"/>
              </w:rPr>
              <w:t>2</w:t>
            </w:r>
            <w:r>
              <w:rPr>
                <w:color w:val="auto"/>
                <w:sz w:val="24"/>
                <w:szCs w:val="24"/>
                <w:u w:val="none"/>
              </w:rPr>
              <w:t>）</w:t>
            </w:r>
            <w:r>
              <w:rPr>
                <w:rFonts w:hint="eastAsia"/>
                <w:color w:val="auto"/>
                <w:sz w:val="24"/>
                <w:szCs w:val="24"/>
                <w:u w:val="none"/>
              </w:rPr>
              <w:t>排</w:t>
            </w:r>
            <w:r>
              <w:rPr>
                <w:color w:val="auto"/>
                <w:sz w:val="24"/>
                <w:szCs w:val="24"/>
                <w:u w:val="none"/>
              </w:rPr>
              <w:t>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highlight w:val="none"/>
                <w:u w:val="none"/>
              </w:rPr>
            </w:pPr>
            <w:r>
              <w:rPr>
                <w:color w:val="auto"/>
                <w:sz w:val="24"/>
                <w:szCs w:val="24"/>
                <w:highlight w:val="none"/>
                <w:u w:val="none"/>
              </w:rPr>
              <w:t>厂区排水采用雨、污分流制，</w:t>
            </w:r>
            <w:r>
              <w:rPr>
                <w:rFonts w:hint="eastAsia"/>
                <w:color w:val="auto"/>
                <w:sz w:val="24"/>
                <w:szCs w:val="24"/>
                <w:highlight w:val="none"/>
                <w:u w:val="none"/>
              </w:rPr>
              <w:t>雨水经雨水沟渠</w:t>
            </w:r>
            <w:r>
              <w:rPr>
                <w:rFonts w:hint="eastAsia"/>
                <w:color w:val="auto"/>
                <w:sz w:val="24"/>
                <w:szCs w:val="24"/>
                <w:highlight w:val="none"/>
                <w:u w:val="none"/>
                <w:lang w:eastAsia="zh-CN"/>
              </w:rPr>
              <w:t>收集后</w:t>
            </w:r>
            <w:r>
              <w:rPr>
                <w:rFonts w:hint="eastAsia"/>
                <w:color w:val="auto"/>
                <w:sz w:val="24"/>
                <w:szCs w:val="24"/>
                <w:highlight w:val="none"/>
                <w:u w:val="none"/>
              </w:rPr>
              <w:t>排入</w:t>
            </w:r>
            <w:r>
              <w:rPr>
                <w:rFonts w:hint="eastAsia"/>
                <w:color w:val="auto"/>
                <w:sz w:val="24"/>
                <w:szCs w:val="24"/>
                <w:highlight w:val="none"/>
                <w:u w:val="none"/>
                <w:lang w:eastAsia="zh-CN"/>
              </w:rPr>
              <w:t>邵水河</w:t>
            </w:r>
            <w:r>
              <w:rPr>
                <w:color w:val="auto"/>
                <w:sz w:val="24"/>
                <w:szCs w:val="24"/>
                <w:highlight w:val="none"/>
                <w:u w:val="none"/>
              </w:rPr>
              <w:t>；生活污水</w:t>
            </w:r>
            <w:r>
              <w:rPr>
                <w:rFonts w:hint="eastAsia"/>
                <w:color w:val="auto"/>
                <w:sz w:val="24"/>
                <w:szCs w:val="24"/>
                <w:highlight w:val="none"/>
                <w:u w:val="none"/>
              </w:rPr>
              <w:t>经化粪池收集后同</w:t>
            </w:r>
            <w:r>
              <w:rPr>
                <w:color w:val="auto"/>
                <w:sz w:val="24"/>
                <w:szCs w:val="24"/>
                <w:highlight w:val="none"/>
                <w:u w:val="none"/>
              </w:rPr>
              <w:t>生产</w:t>
            </w:r>
            <w:r>
              <w:rPr>
                <w:rFonts w:hint="eastAsia"/>
                <w:color w:val="auto"/>
                <w:sz w:val="24"/>
                <w:szCs w:val="24"/>
                <w:highlight w:val="none"/>
                <w:u w:val="none"/>
              </w:rPr>
              <w:t>废</w:t>
            </w:r>
            <w:r>
              <w:rPr>
                <w:color w:val="auto"/>
                <w:sz w:val="24"/>
                <w:szCs w:val="24"/>
                <w:highlight w:val="none"/>
                <w:u w:val="none"/>
              </w:rPr>
              <w:t>水经污水管道</w:t>
            </w:r>
            <w:r>
              <w:rPr>
                <w:rFonts w:hint="eastAsia"/>
                <w:color w:val="auto"/>
                <w:sz w:val="24"/>
                <w:szCs w:val="24"/>
                <w:highlight w:val="none"/>
                <w:u w:val="none"/>
              </w:rPr>
              <w:t>汇</w:t>
            </w:r>
            <w:r>
              <w:rPr>
                <w:color w:val="auto"/>
                <w:sz w:val="24"/>
                <w:szCs w:val="24"/>
                <w:highlight w:val="none"/>
                <w:u w:val="none"/>
              </w:rPr>
              <w:t>入格栅</w:t>
            </w:r>
            <w:r>
              <w:rPr>
                <w:rFonts w:hint="eastAsia"/>
                <w:color w:val="auto"/>
                <w:sz w:val="24"/>
                <w:szCs w:val="24"/>
                <w:highlight w:val="none"/>
                <w:u w:val="none"/>
              </w:rPr>
              <w:t>井</w:t>
            </w:r>
            <w:r>
              <w:rPr>
                <w:color w:val="auto"/>
                <w:sz w:val="24"/>
                <w:szCs w:val="24"/>
                <w:highlight w:val="none"/>
                <w:u w:val="none"/>
              </w:rPr>
              <w:t>，然后进入污水处理系统进行处理</w:t>
            </w:r>
            <w:r>
              <w:rPr>
                <w:rFonts w:hint="eastAsia"/>
                <w:color w:val="auto"/>
                <w:sz w:val="24"/>
                <w:szCs w:val="24"/>
                <w:highlight w:val="none"/>
                <w:u w:val="none"/>
              </w:rPr>
              <w:t>，处理后通过排污管经规范排污口排放至厂区</w:t>
            </w:r>
            <w:r>
              <w:rPr>
                <w:rFonts w:hint="eastAsia"/>
                <w:color w:val="auto"/>
                <w:sz w:val="24"/>
                <w:szCs w:val="24"/>
                <w:highlight w:val="none"/>
                <w:u w:val="none"/>
                <w:lang w:eastAsia="zh-CN"/>
              </w:rPr>
              <w:t>南</w:t>
            </w:r>
            <w:r>
              <w:rPr>
                <w:rFonts w:hint="eastAsia"/>
                <w:color w:val="auto"/>
                <w:sz w:val="24"/>
                <w:szCs w:val="24"/>
                <w:highlight w:val="none"/>
                <w:u w:val="none"/>
              </w:rPr>
              <w:t>面的</w:t>
            </w:r>
            <w:r>
              <w:rPr>
                <w:rFonts w:hint="eastAsia"/>
                <w:color w:val="auto"/>
                <w:sz w:val="24"/>
                <w:szCs w:val="24"/>
                <w:highlight w:val="none"/>
                <w:u w:val="none"/>
                <w:lang w:eastAsia="zh-CN"/>
              </w:rPr>
              <w:t>邵水河</w:t>
            </w:r>
            <w:r>
              <w:rPr>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u w:val="none"/>
              </w:rPr>
            </w:pPr>
            <w:r>
              <w:rPr>
                <w:color w:val="auto"/>
                <w:sz w:val="24"/>
                <w:szCs w:val="24"/>
                <w:u w:val="none"/>
              </w:rPr>
              <w:t>3）供电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u w:val="none"/>
              </w:rPr>
            </w:pPr>
            <w:r>
              <w:rPr>
                <w:rFonts w:hint="eastAsia"/>
                <w:color w:val="auto"/>
                <w:sz w:val="24"/>
                <w:szCs w:val="24"/>
                <w:u w:val="none"/>
              </w:rPr>
              <w:t>污水处理站内设低压配电间1座，低压配电系统采用单母线不分段接线。全厂用电设备采用380/220V配电，中性点直接接地系统，放射式配电。10KV为中性点不接地系统。</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none"/>
              </w:rPr>
            </w:pPr>
            <w:r>
              <w:rPr>
                <w:b/>
                <w:bCs/>
                <w:color w:val="auto"/>
                <w:sz w:val="24"/>
                <w:szCs w:val="24"/>
                <w:u w:val="none"/>
              </w:rPr>
              <w:t>劳动定员及工作制度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u w:val="none"/>
              </w:rPr>
            </w:pPr>
            <w:r>
              <w:rPr>
                <w:rFonts w:hint="eastAsia"/>
                <w:color w:val="auto"/>
                <w:sz w:val="24"/>
                <w:szCs w:val="24"/>
                <w:u w:val="none"/>
              </w:rPr>
              <w:t>污水处理站定员为5人，年工作365天，生产岗位为三班制，每班8小时。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highlight w:val="none"/>
                <w:u w:val="none"/>
              </w:rPr>
            </w:pPr>
            <w:r>
              <w:rPr>
                <w:rFonts w:hint="eastAsia"/>
                <w:b/>
                <w:bCs/>
                <w:color w:val="auto"/>
                <w:sz w:val="24"/>
                <w:szCs w:val="24"/>
                <w:highlight w:val="none"/>
                <w:u w:val="none"/>
              </w:rPr>
              <w:t>工程占地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u w:val="none"/>
              </w:rPr>
            </w:pPr>
            <w:r>
              <w:rPr>
                <w:rFonts w:hint="eastAsia"/>
                <w:color w:val="auto"/>
                <w:sz w:val="24"/>
                <w:szCs w:val="24"/>
                <w:highlight w:val="none"/>
                <w:u w:val="none"/>
              </w:rPr>
              <w:t>本项目污水处理厂总占地面积</w:t>
            </w:r>
            <w:r>
              <w:rPr>
                <w:rFonts w:hint="eastAsia"/>
                <w:color w:val="auto"/>
                <w:sz w:val="24"/>
                <w:szCs w:val="24"/>
                <w:highlight w:val="none"/>
                <w:u w:val="none"/>
                <w:lang w:eastAsia="zh-CN"/>
              </w:rPr>
              <w:t>3333.35</w:t>
            </w:r>
            <w:r>
              <w:rPr>
                <w:color w:val="auto"/>
                <w:sz w:val="24"/>
                <w:szCs w:val="24"/>
                <w:highlight w:val="none"/>
                <w:u w:val="none"/>
              </w:rPr>
              <w:t>m</w:t>
            </w:r>
            <w:r>
              <w:rPr>
                <w:color w:val="auto"/>
                <w:sz w:val="24"/>
                <w:szCs w:val="24"/>
                <w:highlight w:val="none"/>
                <w:u w:val="none"/>
                <w:vertAlign w:val="superscript"/>
              </w:rPr>
              <w:t>2</w:t>
            </w:r>
            <w:r>
              <w:rPr>
                <w:rFonts w:hint="eastAsia"/>
                <w:color w:val="auto"/>
                <w:sz w:val="24"/>
                <w:szCs w:val="24"/>
                <w:highlight w:val="none"/>
                <w:u w:val="none"/>
              </w:rPr>
              <w:t>，建设单位已上报有关部门调整用地性质，相关手续正在办理中，土地性质调整完毕前不开工建设。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u w:val="none"/>
              </w:rPr>
            </w:pPr>
            <w:r>
              <w:rPr>
                <w:rFonts w:hint="eastAsia"/>
                <w:color w:val="auto"/>
                <w:sz w:val="24"/>
                <w:szCs w:val="24"/>
                <w:highlight w:val="none"/>
                <w:u w:val="none"/>
              </w:rPr>
              <w:t>污水处理站区及道路工程，均为永久占地，本项目永久占地类型主要为污水处理用地和部分道路占地，</w:t>
            </w:r>
            <w:r>
              <w:rPr>
                <w:rFonts w:hint="eastAsia"/>
                <w:color w:val="auto"/>
                <w:sz w:val="24"/>
                <w:szCs w:val="24"/>
                <w:highlight w:val="none"/>
                <w:u w:val="none"/>
                <w:lang w:eastAsia="zh-CN"/>
              </w:rPr>
              <w:t>占地类型主要为荒地、草地，</w:t>
            </w:r>
            <w:r>
              <w:rPr>
                <w:rFonts w:hint="eastAsia"/>
                <w:color w:val="auto"/>
                <w:sz w:val="24"/>
                <w:szCs w:val="24"/>
                <w:highlight w:val="none"/>
                <w:u w:val="none"/>
              </w:rPr>
              <w:t>不占用基本农田。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u w:val="none"/>
              </w:rPr>
            </w:pPr>
            <w:r>
              <w:rPr>
                <w:rFonts w:hint="eastAsia"/>
                <w:color w:val="auto"/>
                <w:sz w:val="24"/>
                <w:szCs w:val="24"/>
                <w:highlight w:val="none"/>
                <w:u w:val="none"/>
              </w:rPr>
              <w:t>鉴于污水处理厂土建施工量</w:t>
            </w:r>
            <w:r>
              <w:rPr>
                <w:rFonts w:hint="eastAsia"/>
                <w:color w:val="auto"/>
                <w:sz w:val="24"/>
                <w:szCs w:val="24"/>
                <w:highlight w:val="none"/>
                <w:u w:val="none"/>
                <w:lang w:eastAsia="zh-CN"/>
              </w:rPr>
              <w:t>较小</w:t>
            </w:r>
            <w:r>
              <w:rPr>
                <w:rFonts w:hint="eastAsia"/>
                <w:color w:val="auto"/>
                <w:sz w:val="24"/>
                <w:szCs w:val="24"/>
                <w:highlight w:val="none"/>
                <w:u w:val="none"/>
              </w:rPr>
              <w:t>，施工机械、车辆、材料等可暂停于施工区域内，无需额外占地。</w:t>
            </w:r>
          </w:p>
          <w:p>
            <w:pPr>
              <w:pStyle w:val="11"/>
              <w:keepNext w:val="0"/>
              <w:keepLines w:val="0"/>
              <w:pageBreakBefore w:val="0"/>
              <w:widowControl/>
              <w:kinsoku/>
              <w:wordWrap/>
              <w:overflowPunct/>
              <w:topLinePunct w:val="0"/>
              <w:autoSpaceDE w:val="0"/>
              <w:autoSpaceDN w:val="0"/>
              <w:bidi w:val="0"/>
              <w:adjustRightInd w:val="0"/>
              <w:snapToGrid/>
              <w:spacing w:before="0" w:line="360" w:lineRule="auto"/>
              <w:ind w:firstLine="480" w:firstLineChars="200"/>
              <w:textAlignment w:val="auto"/>
              <w:outlineLvl w:val="9"/>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本项目</w:t>
            </w:r>
            <w:r>
              <w:rPr>
                <w:rFonts w:hint="eastAsia" w:ascii="Times New Roman" w:hAnsi="Times New Roman" w:eastAsia="宋体" w:cs="Times New Roman"/>
                <w:color w:val="auto"/>
                <w:sz w:val="24"/>
                <w:szCs w:val="24"/>
                <w:u w:val="none"/>
                <w:lang w:eastAsia="zh-CN"/>
              </w:rPr>
              <w:t>总</w:t>
            </w:r>
            <w:r>
              <w:rPr>
                <w:rFonts w:hint="default" w:ascii="Times New Roman" w:hAnsi="Times New Roman" w:eastAsia="宋体" w:cs="Times New Roman"/>
                <w:color w:val="auto"/>
                <w:sz w:val="24"/>
                <w:szCs w:val="24"/>
                <w:u w:val="none"/>
              </w:rPr>
              <w:t>占地面积为</w:t>
            </w:r>
            <w:r>
              <w:rPr>
                <w:rFonts w:hint="eastAsia" w:ascii="Times New Roman" w:hAnsi="Times New Roman" w:cs="Times New Roman"/>
                <w:color w:val="auto"/>
                <w:sz w:val="24"/>
                <w:szCs w:val="24"/>
                <w:u w:val="none"/>
                <w:lang w:val="en-US" w:eastAsia="zh-CN"/>
              </w:rPr>
              <w:t>3333.35</w:t>
            </w:r>
            <w:r>
              <w:rPr>
                <w:rFonts w:hint="default" w:ascii="Times New Roman" w:hAnsi="Times New Roman" w:eastAsia="宋体" w:cs="Times New Roman"/>
                <w:color w:val="auto"/>
                <w:sz w:val="24"/>
                <w:szCs w:val="24"/>
                <w:u w:val="none"/>
              </w:rPr>
              <w:t>m</w:t>
            </w:r>
            <w:r>
              <w:rPr>
                <w:rFonts w:hint="default" w:ascii="Times New Roman" w:hAnsi="Times New Roman" w:eastAsia="宋体" w:cs="Times New Roman"/>
                <w:color w:val="auto"/>
                <w:sz w:val="24"/>
                <w:szCs w:val="24"/>
                <w:u w:val="none"/>
                <w:vertAlign w:val="superscript"/>
              </w:rPr>
              <w:t>2</w:t>
            </w:r>
            <w:r>
              <w:rPr>
                <w:rFonts w:hint="default" w:ascii="Times New Roman" w:hAnsi="Times New Roman" w:eastAsia="宋体" w:cs="Times New Roman"/>
                <w:color w:val="auto"/>
                <w:sz w:val="24"/>
                <w:szCs w:val="24"/>
                <w:u w:val="none"/>
              </w:rPr>
              <w:t>，</w:t>
            </w:r>
            <w:r>
              <w:rPr>
                <w:rFonts w:hint="eastAsia" w:ascii="Times New Roman" w:hAnsi="Times New Roman" w:eastAsia="宋体" w:cs="Times New Roman"/>
                <w:color w:val="auto"/>
                <w:sz w:val="24"/>
                <w:szCs w:val="24"/>
                <w:u w:val="none"/>
                <w:lang w:eastAsia="zh-CN"/>
              </w:rPr>
              <w:t>均为</w:t>
            </w:r>
            <w:r>
              <w:rPr>
                <w:rFonts w:hint="default" w:ascii="Times New Roman" w:hAnsi="Times New Roman" w:eastAsia="宋体" w:cs="Times New Roman"/>
                <w:color w:val="auto"/>
                <w:sz w:val="24"/>
                <w:szCs w:val="24"/>
                <w:u w:val="none"/>
              </w:rPr>
              <w:t>永久性占地</w:t>
            </w:r>
            <w:r>
              <w:rPr>
                <w:rFonts w:hint="eastAsia" w:ascii="Times New Roman" w:hAnsi="Times New Roman" w:cs="Times New Roman"/>
                <w:color w:val="auto"/>
                <w:sz w:val="24"/>
                <w:szCs w:val="24"/>
                <w:u w:val="none"/>
                <w:lang w:val="en-US" w:eastAsia="zh-CN"/>
              </w:rPr>
              <w:t>3333.35</w:t>
            </w:r>
            <w:r>
              <w:rPr>
                <w:rFonts w:hint="default" w:ascii="Times New Roman" w:hAnsi="Times New Roman" w:eastAsia="宋体" w:cs="Times New Roman"/>
                <w:color w:val="auto"/>
                <w:sz w:val="24"/>
                <w:szCs w:val="24"/>
                <w:u w:val="none"/>
              </w:rPr>
              <w:t>m</w:t>
            </w:r>
            <w:r>
              <w:rPr>
                <w:rFonts w:hint="default" w:ascii="Times New Roman" w:hAnsi="Times New Roman" w:eastAsia="宋体" w:cs="Times New Roman"/>
                <w:color w:val="auto"/>
                <w:sz w:val="24"/>
                <w:szCs w:val="24"/>
                <w:u w:val="none"/>
                <w:lang w:val="en-US"/>
              </w:rPr>
              <w:t>，</w:t>
            </w:r>
            <w:r>
              <w:rPr>
                <w:rFonts w:hint="default" w:ascii="Times New Roman" w:hAnsi="Times New Roman" w:eastAsia="宋体" w:cs="Times New Roman"/>
                <w:color w:val="auto"/>
                <w:sz w:val="24"/>
                <w:szCs w:val="24"/>
                <w:u w:val="none"/>
              </w:rPr>
              <w:t>详见表</w:t>
            </w:r>
            <w:r>
              <w:rPr>
                <w:rFonts w:hint="eastAsia" w:ascii="Times New Roman" w:hAnsi="Times New Roman" w:cs="Times New Roman"/>
                <w:color w:val="auto"/>
                <w:sz w:val="24"/>
                <w:szCs w:val="24"/>
                <w:u w:val="none"/>
                <w:lang w:val="en-US" w:eastAsia="zh-CN"/>
              </w:rPr>
              <w:t>1-9</w:t>
            </w:r>
            <w:r>
              <w:rPr>
                <w:rFonts w:hint="default" w:ascii="Times New Roman" w:hAnsi="Times New Roman" w:eastAsia="宋体" w:cs="Times New Roman"/>
                <w:color w:val="auto"/>
                <w:sz w:val="24"/>
                <w:szCs w:val="24"/>
                <w:u w:val="none"/>
              </w:rPr>
              <w:t>。</w:t>
            </w:r>
          </w:p>
          <w:p>
            <w:pPr>
              <w:pStyle w:val="20"/>
              <w:rPr>
                <w:rFonts w:hint="default"/>
                <w:color w:val="FF0000"/>
                <w:u w:val="wave"/>
              </w:rPr>
            </w:pPr>
            <w:r>
              <w:rPr>
                <w:rFonts w:hint="default"/>
                <w:color w:val="FF0000"/>
                <w:u w:val="wave"/>
              </w:rPr>
              <w:t>表</w:t>
            </w:r>
            <w:r>
              <w:rPr>
                <w:rFonts w:hint="eastAsia"/>
                <w:color w:val="FF0000"/>
                <w:u w:val="wave"/>
                <w:lang w:val="en-US" w:eastAsia="zh-CN"/>
              </w:rPr>
              <w:t xml:space="preserve">1-9 </w:t>
            </w:r>
            <w:r>
              <w:rPr>
                <w:rFonts w:hint="default"/>
                <w:color w:val="FF0000"/>
                <w:u w:val="wave"/>
              </w:rPr>
              <w:t xml:space="preserve"> 工程占地情况一览表   单位：m</w:t>
            </w:r>
            <w:r>
              <w:rPr>
                <w:rFonts w:hint="default"/>
                <w:color w:val="FF0000"/>
                <w:u w:val="wave"/>
                <w:vertAlign w:val="superscript"/>
              </w:rPr>
              <w:t>2</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73"/>
              <w:gridCol w:w="913"/>
              <w:gridCol w:w="1070"/>
              <w:gridCol w:w="1260"/>
              <w:gridCol w:w="1125"/>
              <w:gridCol w:w="8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764" w:type="dxa"/>
                  <w:vMerge w:val="restart"/>
                  <w:tcBorders>
                    <w:tl2br w:val="nil"/>
                    <w:tr2bl w:val="nil"/>
                  </w:tcBorders>
                  <w:noWrap w:val="0"/>
                  <w:vAlign w:val="center"/>
                </w:tcPr>
                <w:p>
                  <w:pPr>
                    <w:adjustRightInd w:val="0"/>
                    <w:jc w:val="center"/>
                    <w:textAlignment w:val="baseline"/>
                    <w:rPr>
                      <w:color w:val="FF0000"/>
                      <w:szCs w:val="21"/>
                      <w:u w:val="wave"/>
                    </w:rPr>
                  </w:pPr>
                  <w:r>
                    <w:rPr>
                      <w:color w:val="FF0000"/>
                      <w:szCs w:val="21"/>
                      <w:u w:val="wave"/>
                    </w:rPr>
                    <w:t>序号</w:t>
                  </w:r>
                </w:p>
              </w:tc>
              <w:tc>
                <w:tcPr>
                  <w:tcW w:w="1273" w:type="dxa"/>
                  <w:vMerge w:val="restart"/>
                  <w:tcBorders>
                    <w:tl2br w:val="nil"/>
                    <w:tr2bl w:val="nil"/>
                  </w:tcBorders>
                  <w:noWrap w:val="0"/>
                  <w:vAlign w:val="center"/>
                </w:tcPr>
                <w:p>
                  <w:pPr>
                    <w:adjustRightInd w:val="0"/>
                    <w:spacing w:line="240" w:lineRule="exact"/>
                    <w:jc w:val="center"/>
                    <w:textAlignment w:val="baseline"/>
                    <w:rPr>
                      <w:color w:val="FF0000"/>
                      <w:szCs w:val="21"/>
                      <w:u w:val="wave"/>
                    </w:rPr>
                  </w:pPr>
                  <w:r>
                    <w:rPr>
                      <w:color w:val="FF0000"/>
                      <w:szCs w:val="21"/>
                      <w:u w:val="wave"/>
                    </w:rPr>
                    <w:t>项目区</w:t>
                  </w:r>
                </w:p>
              </w:tc>
              <w:tc>
                <w:tcPr>
                  <w:tcW w:w="3243" w:type="dxa"/>
                  <w:gridSpan w:val="3"/>
                  <w:tcBorders>
                    <w:tl2br w:val="nil"/>
                    <w:tr2bl w:val="nil"/>
                  </w:tcBorders>
                  <w:noWrap w:val="0"/>
                  <w:vAlign w:val="center"/>
                </w:tcPr>
                <w:p>
                  <w:pPr>
                    <w:adjustRightInd w:val="0"/>
                    <w:spacing w:line="240" w:lineRule="exact"/>
                    <w:jc w:val="center"/>
                    <w:textAlignment w:val="baseline"/>
                    <w:rPr>
                      <w:color w:val="FF0000"/>
                      <w:szCs w:val="21"/>
                      <w:u w:val="wave"/>
                    </w:rPr>
                  </w:pPr>
                  <w:r>
                    <w:rPr>
                      <w:color w:val="FF0000"/>
                      <w:szCs w:val="21"/>
                      <w:u w:val="wave"/>
                    </w:rPr>
                    <w:t>占地性质</w:t>
                  </w:r>
                </w:p>
              </w:tc>
              <w:tc>
                <w:tcPr>
                  <w:tcW w:w="2010" w:type="dxa"/>
                  <w:gridSpan w:val="2"/>
                  <w:tcBorders>
                    <w:tl2br w:val="nil"/>
                    <w:tr2bl w:val="nil"/>
                  </w:tcBorders>
                  <w:noWrap w:val="0"/>
                  <w:vAlign w:val="center"/>
                </w:tcPr>
                <w:p>
                  <w:pPr>
                    <w:adjustRightInd w:val="0"/>
                    <w:spacing w:line="240" w:lineRule="exact"/>
                    <w:jc w:val="center"/>
                    <w:textAlignment w:val="baseline"/>
                    <w:rPr>
                      <w:color w:val="FF0000"/>
                      <w:szCs w:val="21"/>
                      <w:u w:val="wave"/>
                    </w:rPr>
                  </w:pPr>
                  <w:r>
                    <w:rPr>
                      <w:color w:val="FF0000"/>
                      <w:szCs w:val="21"/>
                      <w:u w:val="wave"/>
                    </w:rPr>
                    <w:t>占地</w:t>
                  </w:r>
                  <w:r>
                    <w:rPr>
                      <w:rFonts w:hint="eastAsia"/>
                      <w:color w:val="FF0000"/>
                      <w:szCs w:val="21"/>
                      <w:u w:val="wave"/>
                    </w:rPr>
                    <w:t>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764" w:type="dxa"/>
                  <w:vMerge w:val="continue"/>
                  <w:tcBorders>
                    <w:tl2br w:val="nil"/>
                    <w:tr2bl w:val="nil"/>
                  </w:tcBorders>
                  <w:noWrap w:val="0"/>
                  <w:vAlign w:val="center"/>
                </w:tcPr>
                <w:p>
                  <w:pPr>
                    <w:adjustRightInd w:val="0"/>
                    <w:jc w:val="center"/>
                    <w:textAlignment w:val="baseline"/>
                    <w:rPr>
                      <w:color w:val="FF0000"/>
                      <w:szCs w:val="21"/>
                      <w:u w:val="wave"/>
                    </w:rPr>
                  </w:pPr>
                </w:p>
              </w:tc>
              <w:tc>
                <w:tcPr>
                  <w:tcW w:w="1273" w:type="dxa"/>
                  <w:vMerge w:val="continue"/>
                  <w:tcBorders>
                    <w:tl2br w:val="nil"/>
                    <w:tr2bl w:val="nil"/>
                  </w:tcBorders>
                  <w:noWrap w:val="0"/>
                  <w:vAlign w:val="center"/>
                </w:tcPr>
                <w:p>
                  <w:pPr>
                    <w:adjustRightInd w:val="0"/>
                    <w:spacing w:line="240" w:lineRule="exact"/>
                    <w:jc w:val="center"/>
                    <w:textAlignment w:val="baseline"/>
                    <w:rPr>
                      <w:color w:val="FF0000"/>
                      <w:szCs w:val="21"/>
                      <w:u w:val="wave"/>
                    </w:rPr>
                  </w:pPr>
                </w:p>
              </w:tc>
              <w:tc>
                <w:tcPr>
                  <w:tcW w:w="913" w:type="dxa"/>
                  <w:tcBorders>
                    <w:tl2br w:val="nil"/>
                    <w:tr2bl w:val="nil"/>
                  </w:tcBorders>
                  <w:noWrap w:val="0"/>
                  <w:vAlign w:val="center"/>
                </w:tcPr>
                <w:p>
                  <w:pPr>
                    <w:adjustRightInd w:val="0"/>
                    <w:spacing w:line="240" w:lineRule="exact"/>
                    <w:jc w:val="center"/>
                    <w:textAlignment w:val="baseline"/>
                    <w:rPr>
                      <w:color w:val="FF0000"/>
                      <w:szCs w:val="21"/>
                      <w:u w:val="wave"/>
                    </w:rPr>
                  </w:pPr>
                  <w:r>
                    <w:rPr>
                      <w:color w:val="FF0000"/>
                      <w:szCs w:val="21"/>
                      <w:u w:val="wave"/>
                    </w:rPr>
                    <w:t>小计</w:t>
                  </w:r>
                </w:p>
              </w:tc>
              <w:tc>
                <w:tcPr>
                  <w:tcW w:w="1070" w:type="dxa"/>
                  <w:tcBorders>
                    <w:tl2br w:val="nil"/>
                    <w:tr2bl w:val="nil"/>
                  </w:tcBorders>
                  <w:noWrap w:val="0"/>
                  <w:vAlign w:val="center"/>
                </w:tcPr>
                <w:p>
                  <w:pPr>
                    <w:adjustRightInd w:val="0"/>
                    <w:spacing w:line="240" w:lineRule="exact"/>
                    <w:jc w:val="center"/>
                    <w:textAlignment w:val="baseline"/>
                    <w:rPr>
                      <w:color w:val="FF0000"/>
                      <w:szCs w:val="21"/>
                      <w:u w:val="wave"/>
                    </w:rPr>
                  </w:pPr>
                  <w:r>
                    <w:rPr>
                      <w:color w:val="FF0000"/>
                      <w:szCs w:val="21"/>
                      <w:u w:val="wave"/>
                    </w:rPr>
                    <w:t>永久占地</w:t>
                  </w:r>
                </w:p>
              </w:tc>
              <w:tc>
                <w:tcPr>
                  <w:tcW w:w="1260" w:type="dxa"/>
                  <w:tcBorders>
                    <w:tl2br w:val="nil"/>
                    <w:tr2bl w:val="nil"/>
                  </w:tcBorders>
                  <w:noWrap w:val="0"/>
                  <w:vAlign w:val="center"/>
                </w:tcPr>
                <w:p>
                  <w:pPr>
                    <w:pStyle w:val="11"/>
                    <w:spacing w:before="0" w:line="240" w:lineRule="exact"/>
                    <w:ind w:firstLine="0" w:firstLineChars="0"/>
                    <w:jc w:val="center"/>
                    <w:rPr>
                      <w:rFonts w:ascii="Times New Roman" w:hAnsi="Times New Roman"/>
                      <w:color w:val="FF0000"/>
                      <w:kern w:val="2"/>
                      <w:szCs w:val="21"/>
                      <w:u w:val="wave"/>
                      <w:lang w:val="en-US"/>
                    </w:rPr>
                  </w:pPr>
                  <w:r>
                    <w:rPr>
                      <w:rFonts w:ascii="Times New Roman" w:hAnsi="Times New Roman" w:eastAsia="宋体" w:cs="Times New Roman"/>
                      <w:color w:val="FF0000"/>
                      <w:kern w:val="2"/>
                      <w:sz w:val="21"/>
                      <w:szCs w:val="21"/>
                      <w:u w:val="wave"/>
                      <w:lang w:val="en-US" w:eastAsia="zh-CN" w:bidi="ar-SA"/>
                    </w:rPr>
                    <w:t>临时占地</w:t>
                  </w:r>
                </w:p>
              </w:tc>
              <w:tc>
                <w:tcPr>
                  <w:tcW w:w="1125" w:type="dxa"/>
                  <w:tcBorders>
                    <w:tl2br w:val="nil"/>
                    <w:tr2bl w:val="nil"/>
                  </w:tcBorders>
                  <w:noWrap w:val="0"/>
                  <w:vAlign w:val="center"/>
                </w:tcPr>
                <w:p>
                  <w:pPr>
                    <w:adjustRightInd w:val="0"/>
                    <w:spacing w:line="240" w:lineRule="exact"/>
                    <w:jc w:val="center"/>
                    <w:textAlignment w:val="baseline"/>
                    <w:rPr>
                      <w:rFonts w:hint="eastAsia" w:eastAsia="宋体"/>
                      <w:color w:val="FF0000"/>
                      <w:szCs w:val="21"/>
                      <w:u w:val="wave"/>
                      <w:lang w:eastAsia="zh-CN"/>
                    </w:rPr>
                  </w:pPr>
                  <w:r>
                    <w:rPr>
                      <w:rFonts w:hint="eastAsia"/>
                      <w:color w:val="FF0000"/>
                      <w:szCs w:val="21"/>
                      <w:u w:val="wave"/>
                      <w:lang w:eastAsia="zh-CN"/>
                    </w:rPr>
                    <w:t>荒地</w:t>
                  </w:r>
                </w:p>
              </w:tc>
              <w:tc>
                <w:tcPr>
                  <w:tcW w:w="885" w:type="dxa"/>
                  <w:tcBorders>
                    <w:tl2br w:val="nil"/>
                    <w:tr2bl w:val="nil"/>
                  </w:tcBorders>
                  <w:noWrap w:val="0"/>
                  <w:vAlign w:val="center"/>
                </w:tcPr>
                <w:p>
                  <w:pPr>
                    <w:adjustRightInd w:val="0"/>
                    <w:spacing w:line="240" w:lineRule="exact"/>
                    <w:jc w:val="center"/>
                    <w:textAlignment w:val="baseline"/>
                    <w:rPr>
                      <w:rFonts w:hint="eastAsia" w:eastAsia="宋体"/>
                      <w:color w:val="FF0000"/>
                      <w:szCs w:val="21"/>
                      <w:u w:val="wave"/>
                      <w:lang w:val="en-US" w:eastAsia="zh-CN"/>
                    </w:rPr>
                  </w:pPr>
                  <w:r>
                    <w:rPr>
                      <w:rFonts w:hint="eastAsia"/>
                      <w:color w:val="FF0000"/>
                      <w:szCs w:val="21"/>
                      <w:u w:val="wave"/>
                      <w:lang w:val="en-US" w:eastAsia="zh-CN"/>
                    </w:rPr>
                    <w:t>草地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764" w:type="dxa"/>
                  <w:tcBorders>
                    <w:tl2br w:val="nil"/>
                    <w:tr2bl w:val="nil"/>
                  </w:tcBorders>
                  <w:noWrap w:val="0"/>
                  <w:vAlign w:val="center"/>
                </w:tcPr>
                <w:p>
                  <w:pPr>
                    <w:adjustRightInd w:val="0"/>
                    <w:jc w:val="center"/>
                    <w:textAlignment w:val="baseline"/>
                    <w:rPr>
                      <w:color w:val="FF0000"/>
                      <w:szCs w:val="21"/>
                      <w:u w:val="wave"/>
                    </w:rPr>
                  </w:pPr>
                  <w:r>
                    <w:rPr>
                      <w:color w:val="FF0000"/>
                      <w:szCs w:val="21"/>
                      <w:u w:val="wave"/>
                    </w:rPr>
                    <w:t>1</w:t>
                  </w:r>
                </w:p>
              </w:tc>
              <w:tc>
                <w:tcPr>
                  <w:tcW w:w="1273" w:type="dxa"/>
                  <w:tcBorders>
                    <w:tl2br w:val="nil"/>
                    <w:tr2bl w:val="nil"/>
                  </w:tcBorders>
                  <w:noWrap w:val="0"/>
                  <w:vAlign w:val="center"/>
                </w:tcPr>
                <w:p>
                  <w:pPr>
                    <w:adjustRightInd w:val="0"/>
                    <w:spacing w:line="240" w:lineRule="exact"/>
                    <w:jc w:val="center"/>
                    <w:textAlignment w:val="baseline"/>
                    <w:rPr>
                      <w:rFonts w:hint="eastAsia" w:eastAsia="宋体"/>
                      <w:color w:val="FF0000"/>
                      <w:szCs w:val="21"/>
                      <w:u w:val="wave"/>
                      <w:lang w:eastAsia="zh-CN"/>
                    </w:rPr>
                  </w:pPr>
                  <w:r>
                    <w:rPr>
                      <w:rFonts w:hint="eastAsia"/>
                      <w:color w:val="FF0000"/>
                      <w:szCs w:val="21"/>
                      <w:u w:val="wave"/>
                      <w:lang w:eastAsia="zh-CN"/>
                    </w:rPr>
                    <w:t>污水处理区</w:t>
                  </w:r>
                </w:p>
              </w:tc>
              <w:tc>
                <w:tcPr>
                  <w:tcW w:w="913" w:type="dxa"/>
                  <w:tcBorders>
                    <w:tl2br w:val="nil"/>
                    <w:tr2bl w:val="nil"/>
                  </w:tcBorders>
                  <w:noWrap w:val="0"/>
                  <w:vAlign w:val="center"/>
                </w:tcPr>
                <w:p>
                  <w:pPr>
                    <w:adjustRightInd w:val="0"/>
                    <w:spacing w:line="240" w:lineRule="exact"/>
                    <w:jc w:val="center"/>
                    <w:textAlignment w:val="baseline"/>
                    <w:rPr>
                      <w:rFonts w:hint="default" w:eastAsia="宋体"/>
                      <w:color w:val="FF0000"/>
                      <w:szCs w:val="21"/>
                      <w:u w:val="wave"/>
                      <w:lang w:val="en-US" w:eastAsia="zh-CN"/>
                    </w:rPr>
                  </w:pPr>
                  <w:r>
                    <w:rPr>
                      <w:rFonts w:hint="eastAsia" w:eastAsia="宋体"/>
                      <w:color w:val="FF0000"/>
                      <w:szCs w:val="21"/>
                      <w:u w:val="wave"/>
                      <w:lang w:val="en-US" w:eastAsia="zh-CN"/>
                    </w:rPr>
                    <w:t>1000</w:t>
                  </w:r>
                </w:p>
              </w:tc>
              <w:tc>
                <w:tcPr>
                  <w:tcW w:w="1070" w:type="dxa"/>
                  <w:tcBorders>
                    <w:tl2br w:val="nil"/>
                    <w:tr2bl w:val="nil"/>
                  </w:tcBorders>
                  <w:noWrap w:val="0"/>
                  <w:vAlign w:val="center"/>
                </w:tcPr>
                <w:p>
                  <w:pPr>
                    <w:adjustRightInd w:val="0"/>
                    <w:spacing w:line="240" w:lineRule="exact"/>
                    <w:jc w:val="center"/>
                    <w:textAlignment w:val="baseline"/>
                    <w:rPr>
                      <w:rFonts w:hint="eastAsia" w:eastAsia="宋体"/>
                      <w:color w:val="FF0000"/>
                      <w:szCs w:val="21"/>
                      <w:u w:val="wave"/>
                      <w:lang w:val="en-US" w:eastAsia="zh-CN"/>
                    </w:rPr>
                  </w:pPr>
                  <w:r>
                    <w:rPr>
                      <w:rFonts w:hint="eastAsia" w:eastAsia="宋体"/>
                      <w:color w:val="FF0000"/>
                      <w:szCs w:val="21"/>
                      <w:u w:val="wave"/>
                      <w:lang w:val="en-US" w:eastAsia="zh-CN"/>
                    </w:rPr>
                    <w:t>1000</w:t>
                  </w:r>
                </w:p>
              </w:tc>
              <w:tc>
                <w:tcPr>
                  <w:tcW w:w="1260" w:type="dxa"/>
                  <w:tcBorders>
                    <w:tl2br w:val="nil"/>
                    <w:tr2bl w:val="nil"/>
                  </w:tcBorders>
                  <w:noWrap w:val="0"/>
                  <w:vAlign w:val="center"/>
                </w:tcPr>
                <w:p>
                  <w:pPr>
                    <w:pStyle w:val="11"/>
                    <w:spacing w:before="0" w:line="240" w:lineRule="exact"/>
                    <w:ind w:firstLine="0" w:firstLineChars="0"/>
                    <w:jc w:val="center"/>
                    <w:rPr>
                      <w:rFonts w:hint="eastAsia" w:ascii="Times New Roman" w:hAnsi="Times New Roman" w:eastAsia="宋体"/>
                      <w:color w:val="FF0000"/>
                      <w:kern w:val="2"/>
                      <w:szCs w:val="21"/>
                      <w:u w:val="wave"/>
                      <w:lang w:val="en-US" w:eastAsia="zh-CN"/>
                    </w:rPr>
                  </w:pPr>
                  <w:r>
                    <w:rPr>
                      <w:rFonts w:hint="eastAsia"/>
                      <w:color w:val="FF0000"/>
                      <w:kern w:val="2"/>
                      <w:szCs w:val="21"/>
                      <w:u w:val="wave"/>
                      <w:lang w:val="en-US" w:eastAsia="zh-CN"/>
                    </w:rPr>
                    <w:t>/</w:t>
                  </w:r>
                </w:p>
              </w:tc>
              <w:tc>
                <w:tcPr>
                  <w:tcW w:w="1125" w:type="dxa"/>
                  <w:tcBorders>
                    <w:tl2br w:val="nil"/>
                    <w:tr2bl w:val="nil"/>
                  </w:tcBorders>
                  <w:noWrap w:val="0"/>
                  <w:vAlign w:val="center"/>
                </w:tcPr>
                <w:p>
                  <w:pPr>
                    <w:adjustRightInd w:val="0"/>
                    <w:spacing w:line="240" w:lineRule="exact"/>
                    <w:jc w:val="center"/>
                    <w:textAlignment w:val="baseline"/>
                    <w:rPr>
                      <w:rFonts w:hint="default" w:eastAsia="宋体"/>
                      <w:color w:val="FF0000"/>
                      <w:szCs w:val="21"/>
                      <w:u w:val="wave"/>
                      <w:lang w:val="en-US" w:eastAsia="zh-CN"/>
                    </w:rPr>
                  </w:pPr>
                  <w:r>
                    <w:rPr>
                      <w:rFonts w:hint="eastAsia" w:eastAsia="宋体"/>
                      <w:color w:val="FF0000"/>
                      <w:szCs w:val="21"/>
                      <w:u w:val="wave"/>
                      <w:lang w:val="en-US" w:eastAsia="zh-CN"/>
                    </w:rPr>
                    <w:t>1000</w:t>
                  </w:r>
                </w:p>
              </w:tc>
              <w:tc>
                <w:tcPr>
                  <w:tcW w:w="885" w:type="dxa"/>
                  <w:tcBorders>
                    <w:tl2br w:val="nil"/>
                    <w:tr2bl w:val="nil"/>
                  </w:tcBorders>
                  <w:noWrap w:val="0"/>
                  <w:vAlign w:val="center"/>
                </w:tcPr>
                <w:p>
                  <w:pPr>
                    <w:adjustRightInd w:val="0"/>
                    <w:spacing w:line="240" w:lineRule="exact"/>
                    <w:jc w:val="center"/>
                    <w:textAlignment w:val="baseline"/>
                    <w:rPr>
                      <w:rFonts w:hint="eastAsia" w:eastAsia="宋体"/>
                      <w:color w:val="FF0000"/>
                      <w:szCs w:val="21"/>
                      <w:u w:val="wave"/>
                      <w:lang w:val="en-US" w:eastAsia="zh-CN"/>
                    </w:rPr>
                  </w:pPr>
                  <w:r>
                    <w:rPr>
                      <w:rFonts w:hint="eastAsia"/>
                      <w:color w:val="FF0000"/>
                      <w:szCs w:val="21"/>
                      <w:u w:val="wav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764" w:type="dxa"/>
                  <w:tcBorders>
                    <w:tl2br w:val="nil"/>
                    <w:tr2bl w:val="nil"/>
                  </w:tcBorders>
                  <w:noWrap w:val="0"/>
                  <w:vAlign w:val="center"/>
                </w:tcPr>
                <w:p>
                  <w:pPr>
                    <w:adjustRightInd w:val="0"/>
                    <w:jc w:val="center"/>
                    <w:textAlignment w:val="baseline"/>
                    <w:rPr>
                      <w:color w:val="FF0000"/>
                      <w:szCs w:val="21"/>
                      <w:u w:val="wave"/>
                    </w:rPr>
                  </w:pPr>
                  <w:r>
                    <w:rPr>
                      <w:rFonts w:hint="eastAsia"/>
                      <w:color w:val="FF0000"/>
                      <w:szCs w:val="21"/>
                      <w:u w:val="wave"/>
                    </w:rPr>
                    <w:t>2</w:t>
                  </w:r>
                </w:p>
              </w:tc>
              <w:tc>
                <w:tcPr>
                  <w:tcW w:w="1273" w:type="dxa"/>
                  <w:tcBorders>
                    <w:tl2br w:val="nil"/>
                    <w:tr2bl w:val="nil"/>
                  </w:tcBorders>
                  <w:noWrap w:val="0"/>
                  <w:tcMar>
                    <w:left w:w="0" w:type="dxa"/>
                    <w:right w:w="0" w:type="dxa"/>
                  </w:tcMar>
                  <w:vAlign w:val="center"/>
                </w:tcPr>
                <w:p>
                  <w:pPr>
                    <w:adjustRightInd w:val="0"/>
                    <w:spacing w:line="240" w:lineRule="exact"/>
                    <w:jc w:val="center"/>
                    <w:textAlignment w:val="baseline"/>
                    <w:rPr>
                      <w:color w:val="FF0000"/>
                      <w:szCs w:val="21"/>
                      <w:u w:val="wave"/>
                    </w:rPr>
                  </w:pPr>
                  <w:r>
                    <w:rPr>
                      <w:rFonts w:hint="eastAsia"/>
                      <w:color w:val="FF0000"/>
                      <w:szCs w:val="21"/>
                      <w:u w:val="wave"/>
                      <w:lang w:eastAsia="zh-CN"/>
                    </w:rPr>
                    <w:t>办公</w:t>
                  </w:r>
                  <w:r>
                    <w:rPr>
                      <w:rFonts w:hint="eastAsia"/>
                      <w:color w:val="FF0000"/>
                      <w:szCs w:val="21"/>
                      <w:u w:val="wave"/>
                    </w:rPr>
                    <w:t>生活区</w:t>
                  </w:r>
                </w:p>
              </w:tc>
              <w:tc>
                <w:tcPr>
                  <w:tcW w:w="913" w:type="dxa"/>
                  <w:tcBorders>
                    <w:tl2br w:val="nil"/>
                    <w:tr2bl w:val="nil"/>
                  </w:tcBorders>
                  <w:noWrap w:val="0"/>
                  <w:vAlign w:val="center"/>
                </w:tcPr>
                <w:p>
                  <w:pPr>
                    <w:adjustRightInd w:val="0"/>
                    <w:spacing w:line="240" w:lineRule="exact"/>
                    <w:jc w:val="center"/>
                    <w:textAlignment w:val="baseline"/>
                    <w:rPr>
                      <w:rFonts w:hint="default" w:eastAsia="宋体"/>
                      <w:color w:val="FF0000"/>
                      <w:szCs w:val="21"/>
                      <w:u w:val="wave"/>
                      <w:lang w:val="en-US" w:eastAsia="zh-CN"/>
                    </w:rPr>
                  </w:pPr>
                  <w:r>
                    <w:rPr>
                      <w:rFonts w:hint="eastAsia" w:eastAsia="宋体"/>
                      <w:color w:val="FF0000"/>
                      <w:szCs w:val="21"/>
                      <w:u w:val="wave"/>
                      <w:lang w:val="en-US" w:eastAsia="zh-CN"/>
                    </w:rPr>
                    <w:t>200</w:t>
                  </w:r>
                </w:p>
              </w:tc>
              <w:tc>
                <w:tcPr>
                  <w:tcW w:w="1070" w:type="dxa"/>
                  <w:tcBorders>
                    <w:tl2br w:val="nil"/>
                    <w:tr2bl w:val="nil"/>
                  </w:tcBorders>
                  <w:noWrap w:val="0"/>
                  <w:vAlign w:val="center"/>
                </w:tcPr>
                <w:p>
                  <w:pPr>
                    <w:adjustRightInd w:val="0"/>
                    <w:spacing w:line="240" w:lineRule="exact"/>
                    <w:jc w:val="center"/>
                    <w:textAlignment w:val="baseline"/>
                    <w:rPr>
                      <w:rFonts w:hint="eastAsia" w:eastAsia="宋体"/>
                      <w:color w:val="FF0000"/>
                      <w:szCs w:val="21"/>
                      <w:u w:val="wave"/>
                      <w:lang w:val="en-US" w:eastAsia="zh-CN"/>
                    </w:rPr>
                  </w:pPr>
                  <w:r>
                    <w:rPr>
                      <w:rFonts w:hint="eastAsia" w:eastAsia="宋体"/>
                      <w:color w:val="FF0000"/>
                      <w:szCs w:val="21"/>
                      <w:u w:val="wave"/>
                      <w:lang w:val="en-US" w:eastAsia="zh-CN"/>
                    </w:rPr>
                    <w:t>200</w:t>
                  </w:r>
                </w:p>
              </w:tc>
              <w:tc>
                <w:tcPr>
                  <w:tcW w:w="1260" w:type="dxa"/>
                  <w:tcBorders>
                    <w:tl2br w:val="nil"/>
                    <w:tr2bl w:val="nil"/>
                  </w:tcBorders>
                  <w:noWrap w:val="0"/>
                  <w:vAlign w:val="center"/>
                </w:tcPr>
                <w:p>
                  <w:pPr>
                    <w:pStyle w:val="11"/>
                    <w:spacing w:before="0" w:line="240" w:lineRule="exact"/>
                    <w:ind w:firstLine="0" w:firstLineChars="0"/>
                    <w:jc w:val="center"/>
                    <w:rPr>
                      <w:rFonts w:hint="eastAsia" w:ascii="Times New Roman" w:hAnsi="Times New Roman" w:eastAsia="宋体"/>
                      <w:color w:val="FF0000"/>
                      <w:kern w:val="2"/>
                      <w:szCs w:val="21"/>
                      <w:u w:val="wave"/>
                      <w:lang w:val="en-US" w:eastAsia="zh-CN"/>
                    </w:rPr>
                  </w:pPr>
                  <w:r>
                    <w:rPr>
                      <w:rFonts w:hint="eastAsia"/>
                      <w:color w:val="FF0000"/>
                      <w:kern w:val="2"/>
                      <w:szCs w:val="21"/>
                      <w:u w:val="wave"/>
                      <w:lang w:val="en-US" w:eastAsia="zh-CN"/>
                    </w:rPr>
                    <w:t>/</w:t>
                  </w:r>
                </w:p>
              </w:tc>
              <w:tc>
                <w:tcPr>
                  <w:tcW w:w="1125" w:type="dxa"/>
                  <w:tcBorders>
                    <w:tl2br w:val="nil"/>
                    <w:tr2bl w:val="nil"/>
                  </w:tcBorders>
                  <w:noWrap w:val="0"/>
                  <w:vAlign w:val="center"/>
                </w:tcPr>
                <w:p>
                  <w:pPr>
                    <w:adjustRightInd w:val="0"/>
                    <w:spacing w:line="240" w:lineRule="exact"/>
                    <w:jc w:val="center"/>
                    <w:textAlignment w:val="baseline"/>
                    <w:rPr>
                      <w:rFonts w:hint="default" w:eastAsia="宋体"/>
                      <w:color w:val="FF0000"/>
                      <w:szCs w:val="21"/>
                      <w:u w:val="wave"/>
                      <w:lang w:val="en-US" w:eastAsia="zh-CN"/>
                    </w:rPr>
                  </w:pPr>
                  <w:r>
                    <w:rPr>
                      <w:rFonts w:hint="eastAsia"/>
                      <w:color w:val="FF0000"/>
                      <w:szCs w:val="21"/>
                      <w:u w:val="wave"/>
                      <w:lang w:val="en-US" w:eastAsia="zh-CN"/>
                    </w:rPr>
                    <w:t>/</w:t>
                  </w:r>
                </w:p>
              </w:tc>
              <w:tc>
                <w:tcPr>
                  <w:tcW w:w="885" w:type="dxa"/>
                  <w:tcBorders>
                    <w:tl2br w:val="nil"/>
                    <w:tr2bl w:val="nil"/>
                  </w:tcBorders>
                  <w:noWrap w:val="0"/>
                  <w:vAlign w:val="center"/>
                </w:tcPr>
                <w:p>
                  <w:pPr>
                    <w:adjustRightInd w:val="0"/>
                    <w:spacing w:line="240" w:lineRule="exact"/>
                    <w:jc w:val="center"/>
                    <w:textAlignment w:val="baseline"/>
                    <w:rPr>
                      <w:rFonts w:hint="eastAsia" w:eastAsia="宋体"/>
                      <w:color w:val="FF0000"/>
                      <w:szCs w:val="21"/>
                      <w:u w:val="wave"/>
                      <w:lang w:val="en-US" w:eastAsia="zh-CN"/>
                    </w:rPr>
                  </w:pPr>
                  <w:r>
                    <w:rPr>
                      <w:rFonts w:hint="eastAsia"/>
                      <w:color w:val="FF0000"/>
                      <w:szCs w:val="21"/>
                      <w:u w:val="wave"/>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764" w:type="dxa"/>
                  <w:tcBorders>
                    <w:tl2br w:val="nil"/>
                    <w:tr2bl w:val="nil"/>
                  </w:tcBorders>
                  <w:noWrap w:val="0"/>
                  <w:vAlign w:val="center"/>
                </w:tcPr>
                <w:p>
                  <w:pPr>
                    <w:adjustRightInd w:val="0"/>
                    <w:jc w:val="center"/>
                    <w:textAlignment w:val="baseline"/>
                    <w:rPr>
                      <w:color w:val="FF0000"/>
                      <w:szCs w:val="21"/>
                      <w:u w:val="wave"/>
                    </w:rPr>
                  </w:pPr>
                  <w:r>
                    <w:rPr>
                      <w:rFonts w:hint="eastAsia"/>
                      <w:color w:val="FF0000"/>
                      <w:szCs w:val="21"/>
                      <w:u w:val="wave"/>
                    </w:rPr>
                    <w:t>3</w:t>
                  </w:r>
                </w:p>
              </w:tc>
              <w:tc>
                <w:tcPr>
                  <w:tcW w:w="1273" w:type="dxa"/>
                  <w:tcBorders>
                    <w:tl2br w:val="nil"/>
                    <w:tr2bl w:val="nil"/>
                  </w:tcBorders>
                  <w:noWrap w:val="0"/>
                  <w:tcMar>
                    <w:left w:w="0" w:type="dxa"/>
                    <w:right w:w="0" w:type="dxa"/>
                  </w:tcMar>
                  <w:vAlign w:val="center"/>
                </w:tcPr>
                <w:p>
                  <w:pPr>
                    <w:adjustRightInd w:val="0"/>
                    <w:spacing w:line="240" w:lineRule="exact"/>
                    <w:jc w:val="center"/>
                    <w:textAlignment w:val="baseline"/>
                    <w:rPr>
                      <w:rFonts w:hint="eastAsia" w:eastAsia="宋体"/>
                      <w:color w:val="FF0000"/>
                      <w:szCs w:val="21"/>
                      <w:u w:val="wave"/>
                      <w:lang w:eastAsia="zh-CN"/>
                    </w:rPr>
                  </w:pPr>
                  <w:r>
                    <w:rPr>
                      <w:rFonts w:hint="eastAsia"/>
                      <w:color w:val="FF0000"/>
                      <w:szCs w:val="21"/>
                      <w:u w:val="wave"/>
                      <w:lang w:eastAsia="zh-CN"/>
                    </w:rPr>
                    <w:t>辅助区</w:t>
                  </w:r>
                </w:p>
              </w:tc>
              <w:tc>
                <w:tcPr>
                  <w:tcW w:w="913" w:type="dxa"/>
                  <w:tcBorders>
                    <w:tl2br w:val="nil"/>
                    <w:tr2bl w:val="nil"/>
                  </w:tcBorders>
                  <w:noWrap w:val="0"/>
                  <w:vAlign w:val="center"/>
                </w:tcPr>
                <w:p>
                  <w:pPr>
                    <w:adjustRightInd w:val="0"/>
                    <w:spacing w:line="240" w:lineRule="exact"/>
                    <w:jc w:val="center"/>
                    <w:textAlignment w:val="baseline"/>
                    <w:rPr>
                      <w:rFonts w:hint="default" w:eastAsia="宋体"/>
                      <w:color w:val="FF0000"/>
                      <w:szCs w:val="21"/>
                      <w:u w:val="wave"/>
                      <w:lang w:val="en-US" w:eastAsia="zh-CN"/>
                    </w:rPr>
                  </w:pPr>
                  <w:r>
                    <w:rPr>
                      <w:rFonts w:hint="eastAsia" w:eastAsia="宋体"/>
                      <w:color w:val="FF0000"/>
                      <w:szCs w:val="21"/>
                      <w:u w:val="wave"/>
                      <w:lang w:val="en-US" w:eastAsia="zh-CN"/>
                    </w:rPr>
                    <w:t>1000</w:t>
                  </w:r>
                </w:p>
              </w:tc>
              <w:tc>
                <w:tcPr>
                  <w:tcW w:w="1070" w:type="dxa"/>
                  <w:tcBorders>
                    <w:tl2br w:val="nil"/>
                    <w:tr2bl w:val="nil"/>
                  </w:tcBorders>
                  <w:noWrap w:val="0"/>
                  <w:vAlign w:val="center"/>
                </w:tcPr>
                <w:p>
                  <w:pPr>
                    <w:adjustRightInd w:val="0"/>
                    <w:spacing w:line="240" w:lineRule="exact"/>
                    <w:jc w:val="center"/>
                    <w:textAlignment w:val="baseline"/>
                    <w:rPr>
                      <w:rFonts w:hint="eastAsia" w:eastAsia="宋体"/>
                      <w:color w:val="FF0000"/>
                      <w:szCs w:val="21"/>
                      <w:u w:val="wave"/>
                      <w:lang w:val="en-US" w:eastAsia="zh-CN"/>
                    </w:rPr>
                  </w:pPr>
                  <w:r>
                    <w:rPr>
                      <w:rFonts w:hint="eastAsia" w:eastAsia="宋体"/>
                      <w:color w:val="FF0000"/>
                      <w:szCs w:val="21"/>
                      <w:u w:val="wave"/>
                      <w:lang w:val="en-US" w:eastAsia="zh-CN"/>
                    </w:rPr>
                    <w:t>1000</w:t>
                  </w:r>
                </w:p>
              </w:tc>
              <w:tc>
                <w:tcPr>
                  <w:tcW w:w="1260" w:type="dxa"/>
                  <w:tcBorders>
                    <w:tl2br w:val="nil"/>
                    <w:tr2bl w:val="nil"/>
                  </w:tcBorders>
                  <w:noWrap w:val="0"/>
                  <w:vAlign w:val="center"/>
                </w:tcPr>
                <w:p>
                  <w:pPr>
                    <w:pStyle w:val="11"/>
                    <w:spacing w:before="0" w:line="240" w:lineRule="exact"/>
                    <w:ind w:firstLine="0" w:firstLineChars="0"/>
                    <w:jc w:val="center"/>
                    <w:rPr>
                      <w:rFonts w:hint="eastAsia" w:ascii="Times New Roman" w:hAnsi="Times New Roman" w:eastAsia="宋体"/>
                      <w:color w:val="FF0000"/>
                      <w:kern w:val="2"/>
                      <w:szCs w:val="21"/>
                      <w:u w:val="wave"/>
                      <w:lang w:val="en-US" w:eastAsia="zh-CN"/>
                    </w:rPr>
                  </w:pPr>
                  <w:r>
                    <w:rPr>
                      <w:rFonts w:hint="eastAsia"/>
                      <w:color w:val="FF0000"/>
                      <w:kern w:val="2"/>
                      <w:szCs w:val="21"/>
                      <w:u w:val="wave"/>
                      <w:lang w:val="en-US" w:eastAsia="zh-CN"/>
                    </w:rPr>
                    <w:t>/</w:t>
                  </w:r>
                </w:p>
              </w:tc>
              <w:tc>
                <w:tcPr>
                  <w:tcW w:w="1125" w:type="dxa"/>
                  <w:tcBorders>
                    <w:tl2br w:val="nil"/>
                    <w:tr2bl w:val="nil"/>
                  </w:tcBorders>
                  <w:noWrap w:val="0"/>
                  <w:vAlign w:val="center"/>
                </w:tcPr>
                <w:p>
                  <w:pPr>
                    <w:adjustRightInd w:val="0"/>
                    <w:spacing w:line="240" w:lineRule="exact"/>
                    <w:jc w:val="center"/>
                    <w:textAlignment w:val="baseline"/>
                    <w:rPr>
                      <w:rFonts w:hint="default" w:eastAsia="宋体"/>
                      <w:color w:val="FF0000"/>
                      <w:szCs w:val="21"/>
                      <w:u w:val="wave"/>
                      <w:lang w:val="en-US" w:eastAsia="zh-CN"/>
                    </w:rPr>
                  </w:pPr>
                  <w:r>
                    <w:rPr>
                      <w:rFonts w:hint="eastAsia"/>
                      <w:color w:val="FF0000"/>
                      <w:szCs w:val="21"/>
                      <w:u w:val="wave"/>
                      <w:lang w:val="en-US" w:eastAsia="zh-CN"/>
                    </w:rPr>
                    <w:t>800</w:t>
                  </w:r>
                </w:p>
              </w:tc>
              <w:tc>
                <w:tcPr>
                  <w:tcW w:w="885" w:type="dxa"/>
                  <w:tcBorders>
                    <w:tl2br w:val="nil"/>
                    <w:tr2bl w:val="nil"/>
                  </w:tcBorders>
                  <w:noWrap w:val="0"/>
                  <w:vAlign w:val="center"/>
                </w:tcPr>
                <w:p>
                  <w:pPr>
                    <w:adjustRightInd w:val="0"/>
                    <w:spacing w:line="240" w:lineRule="exact"/>
                    <w:jc w:val="center"/>
                    <w:textAlignment w:val="baseline"/>
                    <w:rPr>
                      <w:rFonts w:hint="default" w:eastAsia="宋体"/>
                      <w:color w:val="FF0000"/>
                      <w:szCs w:val="21"/>
                      <w:u w:val="wave"/>
                      <w:lang w:val="en-US" w:eastAsia="zh-CN"/>
                    </w:rPr>
                  </w:pPr>
                  <w:r>
                    <w:rPr>
                      <w:rFonts w:hint="eastAsia"/>
                      <w:color w:val="FF0000"/>
                      <w:szCs w:val="21"/>
                      <w:u w:val="wave"/>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764" w:type="dxa"/>
                  <w:tcBorders>
                    <w:tl2br w:val="nil"/>
                    <w:tr2bl w:val="nil"/>
                  </w:tcBorders>
                  <w:noWrap w:val="0"/>
                  <w:vAlign w:val="center"/>
                </w:tcPr>
                <w:p>
                  <w:pPr>
                    <w:adjustRightInd w:val="0"/>
                    <w:jc w:val="center"/>
                    <w:textAlignment w:val="baseline"/>
                    <w:rPr>
                      <w:rFonts w:hint="eastAsia" w:eastAsia="宋体"/>
                      <w:color w:val="FF0000"/>
                      <w:szCs w:val="21"/>
                      <w:u w:val="wave"/>
                      <w:lang w:val="en-US" w:eastAsia="zh-CN"/>
                    </w:rPr>
                  </w:pPr>
                  <w:r>
                    <w:rPr>
                      <w:rFonts w:hint="eastAsia"/>
                      <w:color w:val="FF0000"/>
                      <w:szCs w:val="21"/>
                      <w:u w:val="wave"/>
                      <w:lang w:val="en-US" w:eastAsia="zh-CN"/>
                    </w:rPr>
                    <w:t>4</w:t>
                  </w:r>
                </w:p>
              </w:tc>
              <w:tc>
                <w:tcPr>
                  <w:tcW w:w="1273" w:type="dxa"/>
                  <w:tcBorders>
                    <w:tl2br w:val="nil"/>
                    <w:tr2bl w:val="nil"/>
                  </w:tcBorders>
                  <w:noWrap w:val="0"/>
                  <w:tcMar>
                    <w:left w:w="0" w:type="dxa"/>
                    <w:right w:w="0" w:type="dxa"/>
                  </w:tcMar>
                  <w:vAlign w:val="center"/>
                </w:tcPr>
                <w:p>
                  <w:pPr>
                    <w:adjustRightInd w:val="0"/>
                    <w:spacing w:line="240" w:lineRule="exact"/>
                    <w:jc w:val="center"/>
                    <w:textAlignment w:val="baseline"/>
                    <w:rPr>
                      <w:rFonts w:hint="eastAsia"/>
                      <w:color w:val="FF0000"/>
                      <w:szCs w:val="21"/>
                      <w:u w:val="wave"/>
                      <w:lang w:eastAsia="zh-CN"/>
                    </w:rPr>
                  </w:pPr>
                  <w:r>
                    <w:rPr>
                      <w:rFonts w:hint="eastAsia"/>
                      <w:color w:val="FF0000"/>
                      <w:szCs w:val="21"/>
                      <w:u w:val="wave"/>
                      <w:lang w:eastAsia="zh-CN"/>
                    </w:rPr>
                    <w:t>场内道路</w:t>
                  </w:r>
                </w:p>
              </w:tc>
              <w:tc>
                <w:tcPr>
                  <w:tcW w:w="913" w:type="dxa"/>
                  <w:tcBorders>
                    <w:tl2br w:val="nil"/>
                    <w:tr2bl w:val="nil"/>
                  </w:tcBorders>
                  <w:noWrap w:val="0"/>
                  <w:vAlign w:val="center"/>
                </w:tcPr>
                <w:p>
                  <w:pPr>
                    <w:adjustRightInd w:val="0"/>
                    <w:spacing w:line="240" w:lineRule="exact"/>
                    <w:jc w:val="center"/>
                    <w:textAlignment w:val="baseline"/>
                    <w:rPr>
                      <w:rFonts w:hint="default"/>
                      <w:color w:val="FF0000"/>
                      <w:szCs w:val="21"/>
                      <w:u w:val="wave"/>
                      <w:lang w:val="en-US" w:eastAsia="zh-CN"/>
                    </w:rPr>
                  </w:pPr>
                  <w:r>
                    <w:rPr>
                      <w:rFonts w:hint="eastAsia"/>
                      <w:color w:val="FF0000"/>
                      <w:szCs w:val="21"/>
                      <w:u w:val="wave"/>
                      <w:lang w:val="en-US" w:eastAsia="zh-CN"/>
                    </w:rPr>
                    <w:t>1133.35</w:t>
                  </w:r>
                </w:p>
              </w:tc>
              <w:tc>
                <w:tcPr>
                  <w:tcW w:w="1070" w:type="dxa"/>
                  <w:tcBorders>
                    <w:tl2br w:val="nil"/>
                    <w:tr2bl w:val="nil"/>
                  </w:tcBorders>
                  <w:noWrap w:val="0"/>
                  <w:vAlign w:val="center"/>
                </w:tcPr>
                <w:p>
                  <w:pPr>
                    <w:adjustRightInd w:val="0"/>
                    <w:spacing w:line="240" w:lineRule="exact"/>
                    <w:jc w:val="center"/>
                    <w:textAlignment w:val="baseline"/>
                    <w:rPr>
                      <w:rFonts w:hint="eastAsia"/>
                      <w:color w:val="FF0000"/>
                      <w:szCs w:val="21"/>
                      <w:u w:val="wave"/>
                      <w:lang w:val="en-US" w:eastAsia="zh-CN"/>
                    </w:rPr>
                  </w:pPr>
                  <w:r>
                    <w:rPr>
                      <w:rFonts w:hint="eastAsia"/>
                      <w:color w:val="FF0000"/>
                      <w:szCs w:val="21"/>
                      <w:u w:val="wave"/>
                      <w:lang w:val="en-US" w:eastAsia="zh-CN"/>
                    </w:rPr>
                    <w:t>1133.35</w:t>
                  </w:r>
                </w:p>
              </w:tc>
              <w:tc>
                <w:tcPr>
                  <w:tcW w:w="1260" w:type="dxa"/>
                  <w:tcBorders>
                    <w:tl2br w:val="nil"/>
                    <w:tr2bl w:val="nil"/>
                  </w:tcBorders>
                  <w:noWrap w:val="0"/>
                  <w:vAlign w:val="center"/>
                </w:tcPr>
                <w:p>
                  <w:pPr>
                    <w:pStyle w:val="11"/>
                    <w:spacing w:before="0" w:line="240" w:lineRule="exact"/>
                    <w:ind w:firstLine="0" w:firstLineChars="0"/>
                    <w:jc w:val="center"/>
                    <w:rPr>
                      <w:rFonts w:hint="eastAsia" w:ascii="Times New Roman" w:hAnsi="Times New Roman" w:eastAsia="宋体"/>
                      <w:color w:val="FF0000"/>
                      <w:kern w:val="2"/>
                      <w:szCs w:val="21"/>
                      <w:u w:val="wave"/>
                      <w:lang w:val="en-US" w:eastAsia="zh-CN"/>
                    </w:rPr>
                  </w:pPr>
                  <w:r>
                    <w:rPr>
                      <w:rFonts w:hint="eastAsia"/>
                      <w:color w:val="FF0000"/>
                      <w:kern w:val="2"/>
                      <w:szCs w:val="21"/>
                      <w:u w:val="wave"/>
                      <w:lang w:val="en-US" w:eastAsia="zh-CN"/>
                    </w:rPr>
                    <w:t>/</w:t>
                  </w:r>
                </w:p>
              </w:tc>
              <w:tc>
                <w:tcPr>
                  <w:tcW w:w="1125" w:type="dxa"/>
                  <w:tcBorders>
                    <w:tl2br w:val="nil"/>
                    <w:tr2bl w:val="nil"/>
                  </w:tcBorders>
                  <w:noWrap w:val="0"/>
                  <w:vAlign w:val="center"/>
                </w:tcPr>
                <w:p>
                  <w:pPr>
                    <w:adjustRightInd w:val="0"/>
                    <w:spacing w:line="240" w:lineRule="exact"/>
                    <w:jc w:val="center"/>
                    <w:textAlignment w:val="baseline"/>
                    <w:rPr>
                      <w:rFonts w:hint="default" w:eastAsia="宋体"/>
                      <w:color w:val="FF0000"/>
                      <w:szCs w:val="21"/>
                      <w:u w:val="wave"/>
                      <w:lang w:val="en-US" w:eastAsia="zh-CN"/>
                    </w:rPr>
                  </w:pPr>
                  <w:r>
                    <w:rPr>
                      <w:rFonts w:hint="eastAsia"/>
                      <w:color w:val="FF0000"/>
                      <w:szCs w:val="21"/>
                      <w:u w:val="wave"/>
                      <w:lang w:val="en-US" w:eastAsia="zh-CN"/>
                    </w:rPr>
                    <w:t>1000</w:t>
                  </w:r>
                </w:p>
              </w:tc>
              <w:tc>
                <w:tcPr>
                  <w:tcW w:w="885" w:type="dxa"/>
                  <w:tcBorders>
                    <w:tl2br w:val="nil"/>
                    <w:tr2bl w:val="nil"/>
                  </w:tcBorders>
                  <w:noWrap w:val="0"/>
                  <w:vAlign w:val="center"/>
                </w:tcPr>
                <w:p>
                  <w:pPr>
                    <w:adjustRightInd w:val="0"/>
                    <w:spacing w:line="240" w:lineRule="exact"/>
                    <w:jc w:val="center"/>
                    <w:textAlignment w:val="baseline"/>
                    <w:rPr>
                      <w:rFonts w:hint="default" w:eastAsia="宋体"/>
                      <w:color w:val="FF0000"/>
                      <w:szCs w:val="21"/>
                      <w:u w:val="wave"/>
                      <w:lang w:val="en-US" w:eastAsia="zh-CN"/>
                    </w:rPr>
                  </w:pPr>
                  <w:r>
                    <w:rPr>
                      <w:rFonts w:hint="eastAsia"/>
                      <w:color w:val="FF0000"/>
                      <w:szCs w:val="21"/>
                      <w:u w:val="wave"/>
                      <w:lang w:val="en-US" w:eastAsia="zh-CN"/>
                    </w:rPr>
                    <w:t>133.35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2037" w:type="dxa"/>
                  <w:gridSpan w:val="2"/>
                  <w:tcBorders>
                    <w:tl2br w:val="nil"/>
                    <w:tr2bl w:val="nil"/>
                  </w:tcBorders>
                  <w:noWrap w:val="0"/>
                  <w:vAlign w:val="center"/>
                </w:tcPr>
                <w:p>
                  <w:pPr>
                    <w:adjustRightInd w:val="0"/>
                    <w:spacing w:line="240" w:lineRule="exact"/>
                    <w:jc w:val="center"/>
                    <w:textAlignment w:val="baseline"/>
                    <w:rPr>
                      <w:color w:val="FF0000"/>
                      <w:szCs w:val="21"/>
                      <w:u w:val="wave"/>
                    </w:rPr>
                  </w:pPr>
                  <w:r>
                    <w:rPr>
                      <w:color w:val="FF0000"/>
                      <w:szCs w:val="21"/>
                      <w:u w:val="wave"/>
                    </w:rPr>
                    <w:t>合    计</w:t>
                  </w:r>
                </w:p>
              </w:tc>
              <w:tc>
                <w:tcPr>
                  <w:tcW w:w="913" w:type="dxa"/>
                  <w:tcBorders>
                    <w:tl2br w:val="nil"/>
                    <w:tr2bl w:val="nil"/>
                  </w:tcBorders>
                  <w:noWrap w:val="0"/>
                  <w:vAlign w:val="center"/>
                </w:tcPr>
                <w:p>
                  <w:pPr>
                    <w:adjustRightInd w:val="0"/>
                    <w:spacing w:line="240" w:lineRule="exact"/>
                    <w:jc w:val="center"/>
                    <w:textAlignment w:val="baseline"/>
                    <w:rPr>
                      <w:rFonts w:hint="default" w:eastAsia="宋体"/>
                      <w:color w:val="FF0000"/>
                      <w:szCs w:val="21"/>
                      <w:u w:val="wave"/>
                      <w:lang w:val="en-US" w:eastAsia="zh-CN"/>
                    </w:rPr>
                  </w:pPr>
                  <w:r>
                    <w:rPr>
                      <w:rFonts w:hint="eastAsia"/>
                      <w:color w:val="FF0000"/>
                      <w:szCs w:val="21"/>
                      <w:u w:val="wave"/>
                      <w:lang w:val="en-US" w:eastAsia="zh-CN"/>
                    </w:rPr>
                    <w:t>3333.35</w:t>
                  </w:r>
                </w:p>
              </w:tc>
              <w:tc>
                <w:tcPr>
                  <w:tcW w:w="1070" w:type="dxa"/>
                  <w:tcBorders>
                    <w:tl2br w:val="nil"/>
                    <w:tr2bl w:val="nil"/>
                  </w:tcBorders>
                  <w:noWrap w:val="0"/>
                  <w:vAlign w:val="center"/>
                </w:tcPr>
                <w:p>
                  <w:pPr>
                    <w:adjustRightInd w:val="0"/>
                    <w:spacing w:line="240" w:lineRule="exact"/>
                    <w:jc w:val="center"/>
                    <w:textAlignment w:val="baseline"/>
                    <w:rPr>
                      <w:rFonts w:hint="default" w:eastAsia="宋体"/>
                      <w:color w:val="FF0000"/>
                      <w:szCs w:val="21"/>
                      <w:u w:val="wave"/>
                      <w:lang w:val="en-US" w:eastAsia="zh-CN"/>
                    </w:rPr>
                  </w:pPr>
                  <w:r>
                    <w:rPr>
                      <w:rFonts w:hint="eastAsia" w:eastAsia="宋体"/>
                      <w:color w:val="FF0000"/>
                      <w:szCs w:val="21"/>
                      <w:u w:val="wave"/>
                      <w:lang w:val="en-US" w:eastAsia="zh-CN"/>
                    </w:rPr>
                    <w:t>3333.35</w:t>
                  </w:r>
                </w:p>
              </w:tc>
              <w:tc>
                <w:tcPr>
                  <w:tcW w:w="1260" w:type="dxa"/>
                  <w:tcBorders>
                    <w:tl2br w:val="nil"/>
                    <w:tr2bl w:val="nil"/>
                  </w:tcBorders>
                  <w:noWrap w:val="0"/>
                  <w:vAlign w:val="center"/>
                </w:tcPr>
                <w:p>
                  <w:pPr>
                    <w:adjustRightInd w:val="0"/>
                    <w:spacing w:line="240" w:lineRule="exact"/>
                    <w:jc w:val="center"/>
                    <w:textAlignment w:val="baseline"/>
                    <w:rPr>
                      <w:rFonts w:hint="default" w:ascii="Times New Roman" w:hAnsi="Times New Roman" w:eastAsia="宋体" w:cs="Times New Roman"/>
                      <w:color w:val="FF0000"/>
                      <w:szCs w:val="21"/>
                      <w:u w:val="wave"/>
                      <w:lang w:val="en-US" w:eastAsia="zh-CN"/>
                    </w:rPr>
                  </w:pPr>
                  <w:r>
                    <w:rPr>
                      <w:rFonts w:hint="eastAsia" w:cs="Times New Roman"/>
                      <w:color w:val="FF0000"/>
                      <w:szCs w:val="21"/>
                      <w:u w:val="wave"/>
                      <w:lang w:val="en-US" w:eastAsia="zh-CN"/>
                    </w:rPr>
                    <w:t>/</w:t>
                  </w:r>
                </w:p>
              </w:tc>
              <w:tc>
                <w:tcPr>
                  <w:tcW w:w="1125" w:type="dxa"/>
                  <w:tcBorders>
                    <w:tl2br w:val="nil"/>
                    <w:tr2bl w:val="nil"/>
                  </w:tcBorders>
                  <w:noWrap w:val="0"/>
                  <w:vAlign w:val="center"/>
                </w:tcPr>
                <w:p>
                  <w:pPr>
                    <w:adjustRightInd w:val="0"/>
                    <w:spacing w:line="240" w:lineRule="exact"/>
                    <w:jc w:val="center"/>
                    <w:textAlignment w:val="baseline"/>
                    <w:rPr>
                      <w:rFonts w:hint="default" w:eastAsia="宋体"/>
                      <w:color w:val="FF0000"/>
                      <w:szCs w:val="21"/>
                      <w:u w:val="wave"/>
                      <w:lang w:val="en-US" w:eastAsia="zh-CN"/>
                    </w:rPr>
                  </w:pPr>
                  <w:r>
                    <w:rPr>
                      <w:rFonts w:hint="eastAsia" w:eastAsia="宋体"/>
                      <w:color w:val="FF0000"/>
                      <w:szCs w:val="21"/>
                      <w:u w:val="wave"/>
                      <w:lang w:val="en-US" w:eastAsia="zh-CN"/>
                    </w:rPr>
                    <w:t>2800</w:t>
                  </w:r>
                </w:p>
              </w:tc>
              <w:tc>
                <w:tcPr>
                  <w:tcW w:w="885" w:type="dxa"/>
                  <w:tcBorders>
                    <w:tl2br w:val="nil"/>
                    <w:tr2bl w:val="nil"/>
                  </w:tcBorders>
                  <w:noWrap w:val="0"/>
                  <w:vAlign w:val="center"/>
                </w:tcPr>
                <w:p>
                  <w:pPr>
                    <w:adjustRightInd w:val="0"/>
                    <w:spacing w:line="240" w:lineRule="exact"/>
                    <w:jc w:val="center"/>
                    <w:textAlignment w:val="baseline"/>
                    <w:rPr>
                      <w:rFonts w:hint="default" w:eastAsia="宋体"/>
                      <w:color w:val="FF0000"/>
                      <w:szCs w:val="21"/>
                      <w:u w:val="wave"/>
                      <w:lang w:val="en-US" w:eastAsia="zh-CN"/>
                    </w:rPr>
                  </w:pPr>
                  <w:r>
                    <w:rPr>
                      <w:rFonts w:hint="eastAsia"/>
                      <w:color w:val="FF0000"/>
                      <w:szCs w:val="21"/>
                      <w:u w:val="wave"/>
                      <w:lang w:val="en-US" w:eastAsia="zh-CN"/>
                    </w:rPr>
                    <w:t>533.35</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none"/>
              </w:rPr>
            </w:pPr>
            <w:r>
              <w:rPr>
                <w:b/>
                <w:bCs/>
                <w:color w:val="auto"/>
                <w:sz w:val="24"/>
                <w:szCs w:val="24"/>
                <w:u w:val="none"/>
              </w:rPr>
              <w:t>投资估算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eastAsia="宋体"/>
                <w:b/>
                <w:bCs/>
                <w:color w:val="auto"/>
                <w:szCs w:val="21"/>
                <w:u w:val="none"/>
                <w:lang w:val="en-US" w:eastAsia="zh-CN"/>
              </w:rPr>
            </w:pPr>
            <w:r>
              <w:rPr>
                <w:color w:val="auto"/>
                <w:sz w:val="24"/>
                <w:u w:val="none"/>
              </w:rPr>
              <w:t>项目</w:t>
            </w:r>
            <w:r>
              <w:rPr>
                <w:color w:val="auto"/>
                <w:sz w:val="24"/>
                <w:szCs w:val="24"/>
                <w:u w:val="none"/>
              </w:rPr>
              <w:t>总投资</w:t>
            </w:r>
            <w:r>
              <w:rPr>
                <w:rFonts w:hint="eastAsia"/>
                <w:color w:val="auto"/>
                <w:sz w:val="24"/>
                <w:szCs w:val="24"/>
                <w:u w:val="none"/>
                <w:lang w:val="en-US" w:eastAsia="zh-CN"/>
              </w:rPr>
              <w:t>3024.23</w:t>
            </w:r>
            <w:r>
              <w:rPr>
                <w:rFonts w:hint="eastAsia"/>
                <w:color w:val="auto"/>
                <w:sz w:val="24"/>
                <w:szCs w:val="24"/>
                <w:u w:val="none"/>
                <w:lang w:eastAsia="zh-CN"/>
              </w:rPr>
              <w:t>万元</w:t>
            </w:r>
            <w:r>
              <w:rPr>
                <w:color w:val="auto"/>
                <w:sz w:val="24"/>
                <w:szCs w:val="24"/>
                <w:u w:val="none"/>
              </w:rPr>
              <w:t>，</w:t>
            </w:r>
            <w:r>
              <w:rPr>
                <w:rFonts w:hint="eastAsia"/>
                <w:color w:val="auto"/>
                <w:sz w:val="24"/>
                <w:u w:val="none"/>
              </w:rPr>
              <w:t>环保</w:t>
            </w:r>
            <w:r>
              <w:rPr>
                <w:color w:val="auto"/>
                <w:sz w:val="24"/>
                <w:u w:val="none"/>
              </w:rPr>
              <w:t>投资</w:t>
            </w:r>
            <w:r>
              <w:rPr>
                <w:rFonts w:hint="eastAsia"/>
                <w:color w:val="auto"/>
                <w:sz w:val="24"/>
                <w:u w:val="none"/>
                <w:lang w:val="en-US" w:eastAsia="zh-CN"/>
              </w:rPr>
              <w:t>52</w:t>
            </w:r>
            <w:r>
              <w:rPr>
                <w:rFonts w:hint="eastAsia"/>
                <w:color w:val="auto"/>
                <w:sz w:val="24"/>
                <w:u w:val="none"/>
              </w:rPr>
              <w:t>万</w:t>
            </w:r>
            <w:r>
              <w:rPr>
                <w:color w:val="auto"/>
                <w:sz w:val="24"/>
                <w:u w:val="none"/>
              </w:rPr>
              <w:t>元，占总投资的</w:t>
            </w:r>
            <w:r>
              <w:rPr>
                <w:rFonts w:hint="eastAsia"/>
                <w:color w:val="auto"/>
                <w:sz w:val="24"/>
                <w:u w:val="none"/>
                <w:lang w:val="en-US" w:eastAsia="zh-CN"/>
              </w:rPr>
              <w:t>1.72</w:t>
            </w:r>
            <w:r>
              <w:rPr>
                <w:rFonts w:hint="eastAsia"/>
                <w:color w:val="auto"/>
                <w:sz w:val="24"/>
                <w:u w:val="none"/>
                <w:lang w:eastAsia="zh-CN"/>
              </w:rPr>
              <w:t>%</w:t>
            </w:r>
            <w:r>
              <w:rPr>
                <w:color w:val="auto"/>
                <w:sz w:val="24"/>
                <w:u w:val="none"/>
              </w:rPr>
              <w:t>。</w:t>
            </w:r>
            <w:r>
              <w:rPr>
                <w:rFonts w:hint="eastAsia"/>
                <w:color w:val="auto"/>
                <w:sz w:val="24"/>
                <w:u w:val="none"/>
                <w:lang w:eastAsia="zh-CN"/>
              </w:rPr>
              <w:t>项目总投资详见表</w:t>
            </w:r>
            <w:r>
              <w:rPr>
                <w:rFonts w:hint="eastAsia"/>
                <w:color w:val="auto"/>
                <w:sz w:val="24"/>
                <w:u w:val="none"/>
                <w:lang w:val="en-US" w:eastAsia="zh-CN"/>
              </w:rPr>
              <w:t>1-10，</w:t>
            </w:r>
            <w:r>
              <w:rPr>
                <w:color w:val="auto"/>
                <w:sz w:val="24"/>
                <w:u w:val="none"/>
              </w:rPr>
              <w:t>环保投资</w:t>
            </w:r>
            <w:r>
              <w:rPr>
                <w:rFonts w:hint="eastAsia"/>
                <w:color w:val="auto"/>
                <w:sz w:val="24"/>
                <w:u w:val="none"/>
                <w:lang w:eastAsia="zh-CN"/>
              </w:rPr>
              <w:t>详见表</w:t>
            </w:r>
            <w:r>
              <w:rPr>
                <w:rFonts w:hint="eastAsia"/>
                <w:color w:val="auto"/>
                <w:sz w:val="24"/>
                <w:u w:val="none"/>
                <w:lang w:val="en-US" w:eastAsia="zh-CN"/>
              </w:rPr>
              <w:t>1-11。</w:t>
            </w:r>
          </w:p>
          <w:p>
            <w:pPr>
              <w:widowControl/>
              <w:spacing w:line="240" w:lineRule="auto"/>
              <w:jc w:val="center"/>
              <w:rPr>
                <w:b/>
                <w:color w:val="FF0000"/>
                <w:sz w:val="21"/>
                <w:szCs w:val="21"/>
                <w:u w:val="wave"/>
              </w:rPr>
            </w:pPr>
            <w:r>
              <w:rPr>
                <w:b/>
                <w:color w:val="FF0000"/>
                <w:sz w:val="21"/>
                <w:szCs w:val="21"/>
                <w:u w:val="wave"/>
              </w:rPr>
              <w:t>表</w:t>
            </w:r>
            <w:r>
              <w:rPr>
                <w:rFonts w:hint="eastAsia"/>
                <w:b/>
                <w:color w:val="FF0000"/>
                <w:sz w:val="21"/>
                <w:szCs w:val="21"/>
                <w:u w:val="wave"/>
                <w:lang w:val="en-US" w:eastAsia="zh-CN"/>
              </w:rPr>
              <w:t>1-10</w:t>
            </w:r>
            <w:r>
              <w:rPr>
                <w:b/>
                <w:color w:val="FF0000"/>
                <w:sz w:val="21"/>
                <w:szCs w:val="21"/>
                <w:u w:val="wave"/>
              </w:rPr>
              <w:t xml:space="preserve"> </w:t>
            </w:r>
            <w:r>
              <w:rPr>
                <w:rFonts w:hint="eastAsia"/>
                <w:b/>
                <w:color w:val="FF0000"/>
                <w:sz w:val="21"/>
                <w:szCs w:val="21"/>
                <w:u w:val="wave"/>
              </w:rPr>
              <w:t>工程投资估算表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3843"/>
              <w:gridCol w:w="30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8" w:type="dxa"/>
                  <w:tcBorders>
                    <w:tl2br w:val="nil"/>
                    <w:tr2bl w:val="nil"/>
                  </w:tcBorders>
                  <w:vAlign w:val="center"/>
                </w:tcPr>
                <w:p>
                  <w:pPr>
                    <w:spacing w:line="240" w:lineRule="exact"/>
                    <w:jc w:val="center"/>
                    <w:rPr>
                      <w:b w:val="0"/>
                      <w:bCs w:val="0"/>
                      <w:color w:val="FF0000"/>
                      <w:szCs w:val="21"/>
                      <w:u w:val="wave"/>
                    </w:rPr>
                  </w:pPr>
                  <w:r>
                    <w:rPr>
                      <w:rFonts w:hint="eastAsia"/>
                      <w:b w:val="0"/>
                      <w:bCs w:val="0"/>
                      <w:color w:val="FF0000"/>
                      <w:szCs w:val="21"/>
                      <w:u w:val="wave"/>
                    </w:rPr>
                    <w:t>序号</w:t>
                  </w:r>
                </w:p>
              </w:tc>
              <w:tc>
                <w:tcPr>
                  <w:tcW w:w="3843" w:type="dxa"/>
                  <w:tcBorders>
                    <w:tl2br w:val="nil"/>
                    <w:tr2bl w:val="nil"/>
                  </w:tcBorders>
                  <w:vAlign w:val="center"/>
                </w:tcPr>
                <w:p>
                  <w:pPr>
                    <w:spacing w:line="240" w:lineRule="exact"/>
                    <w:jc w:val="center"/>
                    <w:rPr>
                      <w:b w:val="0"/>
                      <w:bCs w:val="0"/>
                      <w:color w:val="FF0000"/>
                      <w:szCs w:val="21"/>
                      <w:u w:val="wave"/>
                    </w:rPr>
                  </w:pPr>
                  <w:r>
                    <w:rPr>
                      <w:rFonts w:hint="eastAsia"/>
                      <w:b w:val="0"/>
                      <w:bCs w:val="0"/>
                      <w:color w:val="FF0000"/>
                      <w:szCs w:val="21"/>
                      <w:u w:val="wave"/>
                    </w:rPr>
                    <w:t>费用名称</w:t>
                  </w:r>
                </w:p>
              </w:tc>
              <w:tc>
                <w:tcPr>
                  <w:tcW w:w="3059" w:type="dxa"/>
                  <w:tcBorders>
                    <w:tl2br w:val="nil"/>
                    <w:tr2bl w:val="nil"/>
                  </w:tcBorders>
                  <w:vAlign w:val="center"/>
                </w:tcPr>
                <w:p>
                  <w:pPr>
                    <w:spacing w:line="240" w:lineRule="exact"/>
                    <w:jc w:val="center"/>
                    <w:rPr>
                      <w:b w:val="0"/>
                      <w:bCs w:val="0"/>
                      <w:color w:val="FF0000"/>
                      <w:szCs w:val="21"/>
                      <w:u w:val="wave"/>
                    </w:rPr>
                  </w:pPr>
                  <w:r>
                    <w:rPr>
                      <w:rFonts w:hint="eastAsia"/>
                      <w:b w:val="0"/>
                      <w:bCs w:val="0"/>
                      <w:color w:val="FF0000"/>
                      <w:szCs w:val="21"/>
                      <w:u w:val="wave"/>
                    </w:rPr>
                    <w:t>投资额（万元）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61" w:type="dxa"/>
                  <w:gridSpan w:val="2"/>
                  <w:tcBorders>
                    <w:tl2br w:val="nil"/>
                    <w:tr2bl w:val="nil"/>
                  </w:tcBorders>
                  <w:vAlign w:val="center"/>
                </w:tcPr>
                <w:p>
                  <w:pPr>
                    <w:spacing w:line="240" w:lineRule="exact"/>
                    <w:rPr>
                      <w:rFonts w:hint="eastAsia" w:eastAsia="宋体"/>
                      <w:b w:val="0"/>
                      <w:bCs w:val="0"/>
                      <w:color w:val="FF0000"/>
                      <w:szCs w:val="21"/>
                      <w:u w:val="wave"/>
                      <w:lang w:eastAsia="zh-CN"/>
                    </w:rPr>
                  </w:pPr>
                  <w:r>
                    <w:rPr>
                      <w:rFonts w:hint="eastAsia"/>
                      <w:b w:val="0"/>
                      <w:bCs w:val="0"/>
                      <w:color w:val="FF0000"/>
                      <w:szCs w:val="21"/>
                      <w:u w:val="wave"/>
                    </w:rPr>
                    <w:t>一、</w:t>
                  </w:r>
                  <w:r>
                    <w:rPr>
                      <w:rFonts w:hint="eastAsia"/>
                      <w:b w:val="0"/>
                      <w:bCs w:val="0"/>
                      <w:color w:val="FF0000"/>
                      <w:szCs w:val="21"/>
                      <w:u w:val="wave"/>
                      <w:lang w:eastAsia="zh-CN"/>
                    </w:rPr>
                    <w:t>建安</w:t>
                  </w:r>
                  <w:r>
                    <w:rPr>
                      <w:rFonts w:hint="eastAsia"/>
                      <w:b w:val="0"/>
                      <w:bCs w:val="0"/>
                      <w:color w:val="FF0000"/>
                      <w:szCs w:val="21"/>
                      <w:u w:val="wave"/>
                    </w:rPr>
                    <w:t>工程费</w:t>
                  </w:r>
                  <w:r>
                    <w:rPr>
                      <w:rFonts w:hint="eastAsia"/>
                      <w:b w:val="0"/>
                      <w:bCs w:val="0"/>
                      <w:color w:val="FF0000"/>
                      <w:szCs w:val="21"/>
                      <w:u w:val="wave"/>
                      <w:lang w:eastAsia="zh-CN"/>
                    </w:rPr>
                    <w:t>用（包括环保投资）</w:t>
                  </w:r>
                </w:p>
              </w:tc>
              <w:tc>
                <w:tcPr>
                  <w:tcW w:w="3059" w:type="dxa"/>
                  <w:tcBorders>
                    <w:tl2br w:val="nil"/>
                    <w:tr2bl w:val="nil"/>
                  </w:tcBorders>
                  <w:vAlign w:val="center"/>
                </w:tcPr>
                <w:p>
                  <w:pPr>
                    <w:spacing w:line="240" w:lineRule="exact"/>
                    <w:jc w:val="center"/>
                    <w:rPr>
                      <w:rFonts w:hint="default" w:eastAsia="宋体"/>
                      <w:b w:val="0"/>
                      <w:bCs w:val="0"/>
                      <w:color w:val="FF0000"/>
                      <w:szCs w:val="21"/>
                      <w:u w:val="wave"/>
                      <w:lang w:val="en-US" w:eastAsia="zh-CN"/>
                    </w:rPr>
                  </w:pPr>
                  <w:r>
                    <w:rPr>
                      <w:rFonts w:hint="eastAsia"/>
                      <w:b w:val="0"/>
                      <w:bCs w:val="0"/>
                      <w:color w:val="FF0000"/>
                      <w:szCs w:val="21"/>
                      <w:u w:val="wave"/>
                      <w:lang w:val="en-US" w:eastAsia="zh-CN"/>
                    </w:rPr>
                    <w:t>2575.25（一期投入1077.42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61" w:type="dxa"/>
                  <w:gridSpan w:val="2"/>
                  <w:tcBorders>
                    <w:tl2br w:val="nil"/>
                    <w:tr2bl w:val="nil"/>
                  </w:tcBorders>
                  <w:vAlign w:val="center"/>
                </w:tcPr>
                <w:p>
                  <w:pPr>
                    <w:spacing w:line="240" w:lineRule="exact"/>
                    <w:rPr>
                      <w:b w:val="0"/>
                      <w:bCs w:val="0"/>
                      <w:color w:val="FF0000"/>
                      <w:szCs w:val="21"/>
                      <w:u w:val="wave"/>
                    </w:rPr>
                  </w:pPr>
                  <w:r>
                    <w:rPr>
                      <w:rFonts w:hint="eastAsia"/>
                      <w:b w:val="0"/>
                      <w:bCs w:val="0"/>
                      <w:color w:val="FF0000"/>
                      <w:szCs w:val="21"/>
                      <w:u w:val="wave"/>
                    </w:rPr>
                    <w:t>二、工程建设其他费用</w:t>
                  </w:r>
                </w:p>
              </w:tc>
              <w:tc>
                <w:tcPr>
                  <w:tcW w:w="3059" w:type="dxa"/>
                  <w:tcBorders>
                    <w:tl2br w:val="nil"/>
                    <w:tr2bl w:val="nil"/>
                  </w:tcBorders>
                  <w:vAlign w:val="center"/>
                </w:tcPr>
                <w:p>
                  <w:pPr>
                    <w:spacing w:line="240" w:lineRule="exact"/>
                    <w:jc w:val="center"/>
                    <w:rPr>
                      <w:rFonts w:hint="default" w:eastAsia="宋体"/>
                      <w:b w:val="0"/>
                      <w:bCs w:val="0"/>
                      <w:color w:val="FF0000"/>
                      <w:szCs w:val="21"/>
                      <w:u w:val="wave"/>
                      <w:lang w:val="en-US" w:eastAsia="zh-CN"/>
                    </w:rPr>
                  </w:pPr>
                  <w:r>
                    <w:rPr>
                      <w:rFonts w:hint="eastAsia"/>
                      <w:b w:val="0"/>
                      <w:bCs w:val="0"/>
                      <w:color w:val="FF0000"/>
                      <w:szCs w:val="21"/>
                      <w:u w:val="wave"/>
                      <w:lang w:val="en-US" w:eastAsia="zh-CN"/>
                    </w:rPr>
                    <w:t>336.0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61" w:type="dxa"/>
                  <w:gridSpan w:val="2"/>
                  <w:tcBorders>
                    <w:tl2br w:val="nil"/>
                    <w:tr2bl w:val="nil"/>
                  </w:tcBorders>
                  <w:vAlign w:val="center"/>
                </w:tcPr>
                <w:p>
                  <w:pPr>
                    <w:spacing w:line="240" w:lineRule="exact"/>
                    <w:rPr>
                      <w:b w:val="0"/>
                      <w:bCs w:val="0"/>
                      <w:color w:val="FF0000"/>
                      <w:szCs w:val="21"/>
                      <w:u w:val="wave"/>
                    </w:rPr>
                  </w:pPr>
                  <w:r>
                    <w:rPr>
                      <w:rFonts w:hint="eastAsia"/>
                      <w:b w:val="0"/>
                      <w:bCs w:val="0"/>
                      <w:color w:val="FF0000"/>
                      <w:szCs w:val="21"/>
                      <w:u w:val="wave"/>
                    </w:rPr>
                    <w:t>三、基本预备费</w:t>
                  </w:r>
                </w:p>
              </w:tc>
              <w:tc>
                <w:tcPr>
                  <w:tcW w:w="3059" w:type="dxa"/>
                  <w:tcBorders>
                    <w:tl2br w:val="nil"/>
                    <w:tr2bl w:val="nil"/>
                  </w:tcBorders>
                  <w:vAlign w:val="center"/>
                </w:tcPr>
                <w:p>
                  <w:pPr>
                    <w:spacing w:line="240" w:lineRule="exact"/>
                    <w:jc w:val="center"/>
                    <w:rPr>
                      <w:rFonts w:hint="default"/>
                      <w:b w:val="0"/>
                      <w:bCs w:val="0"/>
                      <w:color w:val="FF0000"/>
                      <w:szCs w:val="21"/>
                      <w:u w:val="wave"/>
                      <w:lang w:val="en-US"/>
                    </w:rPr>
                  </w:pPr>
                  <w:r>
                    <w:rPr>
                      <w:rFonts w:hint="eastAsia"/>
                      <w:b w:val="0"/>
                      <w:bCs w:val="0"/>
                      <w:color w:val="FF0000"/>
                      <w:szCs w:val="21"/>
                      <w:u w:val="wave"/>
                      <w:lang w:val="en-US" w:eastAsia="zh-CN"/>
                    </w:rPr>
                    <w:t>87.45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61" w:type="dxa"/>
                  <w:gridSpan w:val="2"/>
                  <w:tcBorders>
                    <w:tl2br w:val="nil"/>
                    <w:tr2bl w:val="nil"/>
                  </w:tcBorders>
                  <w:vAlign w:val="center"/>
                </w:tcPr>
                <w:p>
                  <w:pPr>
                    <w:spacing w:line="240" w:lineRule="exact"/>
                    <w:rPr>
                      <w:rFonts w:hint="eastAsia" w:eastAsia="宋体"/>
                      <w:b w:val="0"/>
                      <w:bCs w:val="0"/>
                      <w:color w:val="FF0000"/>
                      <w:szCs w:val="21"/>
                      <w:u w:val="wave"/>
                      <w:lang w:eastAsia="zh-CN"/>
                    </w:rPr>
                  </w:pPr>
                  <w:r>
                    <w:rPr>
                      <w:rFonts w:hint="eastAsia"/>
                      <w:b w:val="0"/>
                      <w:bCs w:val="0"/>
                      <w:color w:val="FF0000"/>
                      <w:szCs w:val="21"/>
                      <w:u w:val="wave"/>
                      <w:lang w:eastAsia="zh-CN"/>
                    </w:rPr>
                    <w:t>四、</w:t>
                  </w:r>
                  <w:r>
                    <w:rPr>
                      <w:rFonts w:hint="eastAsia"/>
                      <w:b w:val="0"/>
                      <w:bCs w:val="0"/>
                      <w:color w:val="FF0000"/>
                      <w:szCs w:val="21"/>
                      <w:u w:val="wave"/>
                    </w:rPr>
                    <w:t>生产职工培训费</w:t>
                  </w:r>
                  <w:r>
                    <w:rPr>
                      <w:rFonts w:hint="eastAsia"/>
                      <w:b w:val="0"/>
                      <w:bCs w:val="0"/>
                      <w:color w:val="FF0000"/>
                      <w:szCs w:val="21"/>
                      <w:u w:val="wave"/>
                      <w:lang w:eastAsia="zh-CN"/>
                    </w:rPr>
                    <w:t>及贷款利息</w:t>
                  </w:r>
                </w:p>
              </w:tc>
              <w:tc>
                <w:tcPr>
                  <w:tcW w:w="3059" w:type="dxa"/>
                  <w:tcBorders>
                    <w:tl2br w:val="nil"/>
                    <w:tr2bl w:val="nil"/>
                  </w:tcBorders>
                  <w:vAlign w:val="center"/>
                </w:tcPr>
                <w:p>
                  <w:pPr>
                    <w:spacing w:line="240" w:lineRule="exact"/>
                    <w:jc w:val="center"/>
                    <w:rPr>
                      <w:rFonts w:hint="default"/>
                      <w:b w:val="0"/>
                      <w:bCs w:val="0"/>
                      <w:color w:val="FF0000"/>
                      <w:szCs w:val="21"/>
                      <w:u w:val="wave"/>
                      <w:lang w:val="en-US" w:eastAsia="zh-CN"/>
                    </w:rPr>
                  </w:pPr>
                  <w:r>
                    <w:rPr>
                      <w:rFonts w:hint="eastAsia"/>
                      <w:b w:val="0"/>
                      <w:bCs w:val="0"/>
                      <w:color w:val="FF0000"/>
                      <w:szCs w:val="21"/>
                      <w:u w:val="wave"/>
                      <w:lang w:val="en-US" w:eastAsia="zh-CN"/>
                    </w:rPr>
                    <w:t>25.53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61" w:type="dxa"/>
                  <w:gridSpan w:val="2"/>
                  <w:tcBorders>
                    <w:tl2br w:val="nil"/>
                    <w:tr2bl w:val="nil"/>
                  </w:tcBorders>
                  <w:vAlign w:val="center"/>
                </w:tcPr>
                <w:p>
                  <w:pPr>
                    <w:spacing w:line="240" w:lineRule="exact"/>
                    <w:jc w:val="center"/>
                    <w:rPr>
                      <w:b w:val="0"/>
                      <w:bCs w:val="0"/>
                      <w:color w:val="FF0000"/>
                      <w:szCs w:val="21"/>
                      <w:u w:val="wave"/>
                    </w:rPr>
                  </w:pPr>
                  <w:r>
                    <w:rPr>
                      <w:rFonts w:hint="eastAsia"/>
                      <w:b w:val="0"/>
                      <w:bCs w:val="0"/>
                      <w:color w:val="FF0000"/>
                      <w:szCs w:val="21"/>
                      <w:u w:val="wave"/>
                    </w:rPr>
                    <w:t>总计</w:t>
                  </w:r>
                </w:p>
              </w:tc>
              <w:tc>
                <w:tcPr>
                  <w:tcW w:w="3059" w:type="dxa"/>
                  <w:tcBorders>
                    <w:tl2br w:val="nil"/>
                    <w:tr2bl w:val="nil"/>
                  </w:tcBorders>
                  <w:vAlign w:val="center"/>
                </w:tcPr>
                <w:p>
                  <w:pPr>
                    <w:spacing w:line="240" w:lineRule="exact"/>
                    <w:jc w:val="center"/>
                    <w:rPr>
                      <w:rFonts w:hint="default" w:eastAsia="宋体"/>
                      <w:b w:val="0"/>
                      <w:bCs w:val="0"/>
                      <w:color w:val="FF0000"/>
                      <w:szCs w:val="21"/>
                      <w:u w:val="wave"/>
                      <w:lang w:val="en-US" w:eastAsia="zh-CN"/>
                    </w:rPr>
                  </w:pPr>
                  <w:r>
                    <w:rPr>
                      <w:rFonts w:hint="eastAsia"/>
                      <w:b w:val="0"/>
                      <w:bCs w:val="0"/>
                      <w:color w:val="FF0000"/>
                      <w:szCs w:val="21"/>
                      <w:u w:val="wave"/>
                      <w:lang w:val="en-US" w:eastAsia="zh-CN"/>
                    </w:rPr>
                    <w:t>3024.23</w:t>
                  </w:r>
                </w:p>
              </w:tc>
            </w:tr>
          </w:tbl>
          <w:p>
            <w:pPr>
              <w:adjustRightInd w:val="0"/>
              <w:snapToGrid w:val="0"/>
              <w:spacing w:beforeLines="50"/>
              <w:jc w:val="center"/>
              <w:rPr>
                <w:b/>
                <w:bCs/>
                <w:color w:val="auto"/>
                <w:szCs w:val="21"/>
                <w:highlight w:val="none"/>
                <w:u w:val="none"/>
              </w:rPr>
            </w:pPr>
            <w:r>
              <w:rPr>
                <w:b/>
                <w:bCs/>
                <w:color w:val="auto"/>
                <w:szCs w:val="21"/>
                <w:highlight w:val="none"/>
                <w:u w:val="none"/>
              </w:rPr>
              <w:t>表</w:t>
            </w:r>
            <w:r>
              <w:rPr>
                <w:rFonts w:hint="eastAsia"/>
                <w:b/>
                <w:bCs/>
                <w:color w:val="auto"/>
                <w:szCs w:val="21"/>
                <w:highlight w:val="none"/>
                <w:u w:val="none"/>
              </w:rPr>
              <w:t>1-</w:t>
            </w:r>
            <w:r>
              <w:rPr>
                <w:rFonts w:hint="eastAsia"/>
                <w:b/>
                <w:bCs/>
                <w:color w:val="auto"/>
                <w:szCs w:val="21"/>
                <w:highlight w:val="none"/>
                <w:u w:val="none"/>
                <w:lang w:val="en-US" w:eastAsia="zh-CN"/>
              </w:rPr>
              <w:t>11</w:t>
            </w:r>
            <w:r>
              <w:rPr>
                <w:b/>
                <w:bCs/>
                <w:color w:val="auto"/>
                <w:szCs w:val="21"/>
                <w:highlight w:val="none"/>
                <w:u w:val="none"/>
              </w:rPr>
              <w:t xml:space="preserve">  环保治理设施</w:t>
            </w:r>
            <w:r>
              <w:rPr>
                <w:rFonts w:hint="eastAsia"/>
                <w:b/>
                <w:bCs/>
                <w:color w:val="auto"/>
                <w:szCs w:val="21"/>
                <w:highlight w:val="none"/>
                <w:u w:val="none"/>
              </w:rPr>
              <w:t>投资</w:t>
            </w:r>
            <w:r>
              <w:rPr>
                <w:b/>
                <w:bCs/>
                <w:color w:val="auto"/>
                <w:szCs w:val="21"/>
                <w:highlight w:val="none"/>
                <w:u w:val="none"/>
              </w:rPr>
              <w:t>明细</w:t>
            </w:r>
          </w:p>
          <w:tbl>
            <w:tblPr>
              <w:tblStyle w:val="27"/>
              <w:tblW w:w="83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2711"/>
              <w:gridCol w:w="3127"/>
              <w:gridCol w:w="13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Borders>
                    <w:tl2br w:val="nil"/>
                    <w:tr2bl w:val="nil"/>
                  </w:tcBorders>
                  <w:vAlign w:val="center"/>
                </w:tcPr>
                <w:p>
                  <w:pPr>
                    <w:spacing w:line="280" w:lineRule="exact"/>
                    <w:jc w:val="center"/>
                    <w:rPr>
                      <w:color w:val="auto"/>
                      <w:szCs w:val="21"/>
                      <w:highlight w:val="none"/>
                      <w:u w:val="none"/>
                    </w:rPr>
                  </w:pPr>
                  <w:r>
                    <w:rPr>
                      <w:color w:val="auto"/>
                      <w:szCs w:val="21"/>
                      <w:highlight w:val="none"/>
                      <w:u w:val="none"/>
                    </w:rPr>
                    <w:t>污染源</w:t>
                  </w:r>
                </w:p>
              </w:tc>
              <w:tc>
                <w:tcPr>
                  <w:tcW w:w="2711" w:type="dxa"/>
                  <w:tcBorders>
                    <w:tl2br w:val="nil"/>
                    <w:tr2bl w:val="nil"/>
                  </w:tcBorders>
                  <w:vAlign w:val="center"/>
                </w:tcPr>
                <w:p>
                  <w:pPr>
                    <w:spacing w:line="280" w:lineRule="exact"/>
                    <w:jc w:val="center"/>
                    <w:rPr>
                      <w:color w:val="auto"/>
                      <w:szCs w:val="21"/>
                      <w:highlight w:val="none"/>
                      <w:u w:val="none"/>
                    </w:rPr>
                  </w:pPr>
                  <w:r>
                    <w:rPr>
                      <w:rFonts w:hint="eastAsia"/>
                      <w:color w:val="auto"/>
                      <w:szCs w:val="21"/>
                      <w:highlight w:val="none"/>
                      <w:u w:val="none"/>
                    </w:rPr>
                    <w:t>环保设施名称</w:t>
                  </w:r>
                </w:p>
              </w:tc>
              <w:tc>
                <w:tcPr>
                  <w:tcW w:w="3127" w:type="dxa"/>
                  <w:tcBorders>
                    <w:tl2br w:val="nil"/>
                    <w:tr2bl w:val="nil"/>
                  </w:tcBorders>
                  <w:vAlign w:val="center"/>
                </w:tcPr>
                <w:p>
                  <w:pPr>
                    <w:spacing w:line="280" w:lineRule="exact"/>
                    <w:jc w:val="center"/>
                    <w:rPr>
                      <w:color w:val="auto"/>
                      <w:szCs w:val="21"/>
                      <w:highlight w:val="none"/>
                      <w:u w:val="none"/>
                    </w:rPr>
                  </w:pPr>
                  <w:r>
                    <w:rPr>
                      <w:rFonts w:hint="eastAsia"/>
                      <w:color w:val="auto"/>
                      <w:szCs w:val="21"/>
                      <w:highlight w:val="none"/>
                      <w:u w:val="none"/>
                    </w:rPr>
                    <w:t>内容</w:t>
                  </w:r>
                </w:p>
              </w:tc>
              <w:tc>
                <w:tcPr>
                  <w:tcW w:w="1366" w:type="dxa"/>
                  <w:tcBorders>
                    <w:tl2br w:val="nil"/>
                    <w:tr2bl w:val="nil"/>
                  </w:tcBorders>
                  <w:vAlign w:val="center"/>
                </w:tcPr>
                <w:p>
                  <w:pPr>
                    <w:spacing w:line="280" w:lineRule="exact"/>
                    <w:jc w:val="center"/>
                    <w:rPr>
                      <w:color w:val="auto"/>
                      <w:szCs w:val="21"/>
                      <w:highlight w:val="none"/>
                      <w:u w:val="none"/>
                    </w:rPr>
                  </w:pPr>
                  <w:r>
                    <w:rPr>
                      <w:color w:val="auto"/>
                      <w:szCs w:val="21"/>
                      <w:highlight w:val="none"/>
                      <w:u w:val="none"/>
                    </w:rPr>
                    <w:t>投资（万元）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restart"/>
                  <w:tcBorders>
                    <w:tl2br w:val="nil"/>
                    <w:tr2bl w:val="nil"/>
                  </w:tcBorders>
                  <w:vAlign w:val="center"/>
                </w:tcPr>
                <w:p>
                  <w:pPr>
                    <w:spacing w:line="280" w:lineRule="exact"/>
                    <w:jc w:val="center"/>
                    <w:rPr>
                      <w:color w:val="auto"/>
                      <w:szCs w:val="21"/>
                      <w:highlight w:val="none"/>
                      <w:u w:val="none"/>
                    </w:rPr>
                  </w:pPr>
                  <w:r>
                    <w:rPr>
                      <w:color w:val="auto"/>
                      <w:szCs w:val="21"/>
                      <w:highlight w:val="none"/>
                      <w:u w:val="none"/>
                    </w:rPr>
                    <w:t>废水</w:t>
                  </w:r>
                </w:p>
              </w:tc>
              <w:tc>
                <w:tcPr>
                  <w:tcW w:w="2711" w:type="dxa"/>
                  <w:tcBorders>
                    <w:tl2br w:val="nil"/>
                    <w:tr2bl w:val="nil"/>
                  </w:tcBorders>
                  <w:vAlign w:val="center"/>
                </w:tcPr>
                <w:p>
                  <w:pPr>
                    <w:spacing w:line="280" w:lineRule="exact"/>
                    <w:jc w:val="center"/>
                    <w:rPr>
                      <w:rFonts w:hint="eastAsia" w:eastAsia="宋体"/>
                      <w:color w:val="auto"/>
                      <w:szCs w:val="21"/>
                      <w:highlight w:val="none"/>
                      <w:u w:val="none"/>
                      <w:lang w:eastAsia="zh-CN"/>
                    </w:rPr>
                  </w:pPr>
                  <w:r>
                    <w:rPr>
                      <w:color w:val="auto"/>
                      <w:szCs w:val="21"/>
                      <w:highlight w:val="none"/>
                      <w:u w:val="none"/>
                    </w:rPr>
                    <w:t>生活污水</w:t>
                  </w:r>
                  <w:r>
                    <w:rPr>
                      <w:rFonts w:hint="eastAsia"/>
                      <w:color w:val="auto"/>
                      <w:szCs w:val="21"/>
                      <w:highlight w:val="none"/>
                      <w:u w:val="none"/>
                    </w:rPr>
                    <w:t>处理</w:t>
                  </w:r>
                  <w:r>
                    <w:rPr>
                      <w:rFonts w:hint="eastAsia"/>
                      <w:color w:val="auto"/>
                      <w:szCs w:val="21"/>
                      <w:highlight w:val="none"/>
                      <w:u w:val="none"/>
                      <w:lang w:eastAsia="zh-CN"/>
                    </w:rPr>
                    <w:t>设施</w:t>
                  </w:r>
                </w:p>
              </w:tc>
              <w:tc>
                <w:tcPr>
                  <w:tcW w:w="3127" w:type="dxa"/>
                  <w:tcBorders>
                    <w:tl2br w:val="nil"/>
                    <w:tr2bl w:val="nil"/>
                  </w:tcBorders>
                  <w:vAlign w:val="center"/>
                </w:tcPr>
                <w:p>
                  <w:pPr>
                    <w:spacing w:line="280" w:lineRule="exact"/>
                    <w:jc w:val="center"/>
                    <w:rPr>
                      <w:color w:val="auto"/>
                      <w:szCs w:val="21"/>
                      <w:highlight w:val="none"/>
                      <w:u w:val="none"/>
                    </w:rPr>
                  </w:pPr>
                  <w:r>
                    <w:rPr>
                      <w:color w:val="auto"/>
                      <w:szCs w:val="21"/>
                      <w:highlight w:val="none"/>
                      <w:u w:val="none"/>
                    </w:rPr>
                    <w:t>化粪池</w:t>
                  </w:r>
                </w:p>
              </w:tc>
              <w:tc>
                <w:tcPr>
                  <w:tcW w:w="1366" w:type="dxa"/>
                  <w:tcBorders>
                    <w:tl2br w:val="nil"/>
                    <w:tr2bl w:val="nil"/>
                  </w:tcBorders>
                  <w:vAlign w:val="center"/>
                </w:tcPr>
                <w:p>
                  <w:pPr>
                    <w:spacing w:line="280" w:lineRule="exact"/>
                    <w:jc w:val="center"/>
                    <w:rPr>
                      <w:color w:val="auto"/>
                      <w:szCs w:val="21"/>
                      <w:highlight w:val="none"/>
                      <w:u w:val="none"/>
                    </w:rPr>
                  </w:pPr>
                  <w:r>
                    <w:rPr>
                      <w:rFonts w:hint="eastAsia"/>
                      <w:color w:val="auto"/>
                      <w:szCs w:val="21"/>
                      <w:highlight w:val="none"/>
                      <w:u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098" w:type="dxa"/>
                  <w:vMerge w:val="continue"/>
                  <w:tcBorders>
                    <w:tl2br w:val="nil"/>
                    <w:tr2bl w:val="nil"/>
                  </w:tcBorders>
                  <w:vAlign w:val="center"/>
                </w:tcPr>
                <w:p>
                  <w:pPr>
                    <w:spacing w:line="280" w:lineRule="exact"/>
                    <w:jc w:val="center"/>
                    <w:rPr>
                      <w:color w:val="auto"/>
                      <w:szCs w:val="21"/>
                      <w:highlight w:val="none"/>
                      <w:u w:val="none"/>
                    </w:rPr>
                  </w:pPr>
                </w:p>
              </w:tc>
              <w:tc>
                <w:tcPr>
                  <w:tcW w:w="2711" w:type="dxa"/>
                  <w:tcBorders>
                    <w:tl2br w:val="nil"/>
                    <w:tr2bl w:val="nil"/>
                  </w:tcBorders>
                  <w:vAlign w:val="center"/>
                </w:tcPr>
                <w:p>
                  <w:pPr>
                    <w:spacing w:line="280" w:lineRule="exact"/>
                    <w:jc w:val="center"/>
                    <w:rPr>
                      <w:color w:val="auto"/>
                      <w:szCs w:val="21"/>
                      <w:highlight w:val="none"/>
                      <w:u w:val="none"/>
                    </w:rPr>
                  </w:pPr>
                  <w:r>
                    <w:rPr>
                      <w:rFonts w:hint="eastAsia"/>
                      <w:color w:val="auto"/>
                      <w:szCs w:val="21"/>
                      <w:highlight w:val="none"/>
                      <w:u w:val="none"/>
                    </w:rPr>
                    <w:t>地面硬化、防渗措施</w:t>
                  </w:r>
                </w:p>
              </w:tc>
              <w:tc>
                <w:tcPr>
                  <w:tcW w:w="3127" w:type="dxa"/>
                  <w:tcBorders>
                    <w:tl2br w:val="nil"/>
                    <w:tr2bl w:val="nil"/>
                  </w:tcBorders>
                  <w:vAlign w:val="center"/>
                </w:tcPr>
                <w:p>
                  <w:pPr>
                    <w:spacing w:line="280" w:lineRule="exact"/>
                    <w:jc w:val="center"/>
                    <w:rPr>
                      <w:color w:val="auto"/>
                      <w:szCs w:val="21"/>
                      <w:highlight w:val="none"/>
                      <w:u w:val="none"/>
                    </w:rPr>
                  </w:pPr>
                  <w:r>
                    <w:rPr>
                      <w:rFonts w:hint="eastAsia"/>
                      <w:color w:val="auto"/>
                      <w:szCs w:val="21"/>
                      <w:highlight w:val="none"/>
                      <w:u w:val="none"/>
                    </w:rPr>
                    <w:t>防止污水渗透</w:t>
                  </w:r>
                </w:p>
              </w:tc>
              <w:tc>
                <w:tcPr>
                  <w:tcW w:w="1366" w:type="dxa"/>
                  <w:tcBorders>
                    <w:tl2br w:val="nil"/>
                    <w:tr2bl w:val="nil"/>
                  </w:tcBorders>
                  <w:vAlign w:val="center"/>
                </w:tcPr>
                <w:p>
                  <w:pPr>
                    <w:spacing w:line="280" w:lineRule="exact"/>
                    <w:jc w:val="center"/>
                    <w:rPr>
                      <w:rFonts w:hint="default" w:eastAsia="宋体"/>
                      <w:color w:val="auto"/>
                      <w:szCs w:val="21"/>
                      <w:highlight w:val="none"/>
                      <w:u w:val="none"/>
                      <w:lang w:val="en-US" w:eastAsia="zh-CN"/>
                    </w:rPr>
                  </w:pPr>
                  <w:r>
                    <w:rPr>
                      <w:rFonts w:hint="eastAsia"/>
                      <w:color w:val="auto"/>
                      <w:szCs w:val="21"/>
                      <w:highlight w:val="none"/>
                      <w:u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098" w:type="dxa"/>
                  <w:vMerge w:val="continue"/>
                  <w:tcBorders>
                    <w:tl2br w:val="nil"/>
                    <w:tr2bl w:val="nil"/>
                  </w:tcBorders>
                  <w:vAlign w:val="center"/>
                </w:tcPr>
                <w:p>
                  <w:pPr>
                    <w:spacing w:line="280" w:lineRule="exact"/>
                    <w:jc w:val="center"/>
                    <w:rPr>
                      <w:rFonts w:eastAsia="Times New Roman"/>
                      <w:color w:val="auto"/>
                      <w:szCs w:val="21"/>
                      <w:highlight w:val="none"/>
                      <w:u w:val="none"/>
                    </w:rPr>
                  </w:pPr>
                </w:p>
              </w:tc>
              <w:tc>
                <w:tcPr>
                  <w:tcW w:w="2711" w:type="dxa"/>
                  <w:tcBorders>
                    <w:tl2br w:val="nil"/>
                    <w:tr2bl w:val="nil"/>
                  </w:tcBorders>
                  <w:vAlign w:val="center"/>
                </w:tcPr>
                <w:p>
                  <w:pPr>
                    <w:spacing w:line="280" w:lineRule="exact"/>
                    <w:jc w:val="center"/>
                    <w:rPr>
                      <w:rFonts w:eastAsia="Times New Roman"/>
                      <w:color w:val="auto"/>
                      <w:szCs w:val="21"/>
                      <w:highlight w:val="none"/>
                      <w:u w:val="none"/>
                    </w:rPr>
                  </w:pPr>
                  <w:r>
                    <w:rPr>
                      <w:rFonts w:hint="eastAsia" w:ascii="宋体" w:hAnsi="宋体" w:cs="宋体"/>
                      <w:color w:val="auto"/>
                      <w:szCs w:val="21"/>
                      <w:highlight w:val="none"/>
                      <w:u w:val="none"/>
                    </w:rPr>
                    <w:t>在线监测设施</w:t>
                  </w:r>
                </w:p>
              </w:tc>
              <w:tc>
                <w:tcPr>
                  <w:tcW w:w="3127" w:type="dxa"/>
                  <w:tcBorders>
                    <w:tl2br w:val="nil"/>
                    <w:tr2bl w:val="nil"/>
                  </w:tcBorders>
                  <w:vAlign w:val="center"/>
                </w:tcPr>
                <w:p>
                  <w:pPr>
                    <w:spacing w:line="280" w:lineRule="exact"/>
                    <w:jc w:val="center"/>
                    <w:rPr>
                      <w:rFonts w:eastAsia="Times New Roman"/>
                      <w:color w:val="auto"/>
                      <w:szCs w:val="21"/>
                      <w:highlight w:val="none"/>
                      <w:u w:val="none"/>
                    </w:rPr>
                  </w:pPr>
                  <w:r>
                    <w:rPr>
                      <w:rFonts w:hint="eastAsia" w:ascii="宋体" w:hAnsi="宋体" w:cs="宋体"/>
                      <w:color w:val="auto"/>
                      <w:szCs w:val="21"/>
                      <w:highlight w:val="none"/>
                      <w:u w:val="none"/>
                    </w:rPr>
                    <w:t>在线监测废水</w:t>
                  </w:r>
                  <w:r>
                    <w:rPr>
                      <w:color w:val="auto"/>
                      <w:szCs w:val="21"/>
                      <w:highlight w:val="none"/>
                      <w:u w:val="none"/>
                    </w:rPr>
                    <w:t>中</w:t>
                  </w:r>
                  <w:r>
                    <w:rPr>
                      <w:rFonts w:hint="eastAsia"/>
                      <w:color w:val="auto"/>
                      <w:szCs w:val="21"/>
                      <w:highlight w:val="none"/>
                      <w:u w:val="none"/>
                      <w:lang w:val="en-US" w:eastAsia="zh-CN"/>
                    </w:rPr>
                    <w:t>PH、流量、水温、</w:t>
                  </w:r>
                  <w:r>
                    <w:rPr>
                      <w:color w:val="auto"/>
                      <w:szCs w:val="21"/>
                      <w:highlight w:val="none"/>
                      <w:u w:val="none"/>
                    </w:rPr>
                    <w:t>COD、NH</w:t>
                  </w:r>
                  <w:r>
                    <w:rPr>
                      <w:color w:val="auto"/>
                      <w:szCs w:val="21"/>
                      <w:highlight w:val="none"/>
                      <w:u w:val="none"/>
                      <w:vertAlign w:val="subscript"/>
                    </w:rPr>
                    <w:t>3</w:t>
                  </w:r>
                  <w:r>
                    <w:rPr>
                      <w:color w:val="auto"/>
                      <w:szCs w:val="21"/>
                      <w:highlight w:val="none"/>
                      <w:u w:val="none"/>
                    </w:rPr>
                    <w:t>-N、</w:t>
                  </w:r>
                  <w:r>
                    <w:rPr>
                      <w:rFonts w:hint="eastAsia" w:ascii="宋体" w:hAnsi="宋体" w:cs="宋体"/>
                      <w:color w:val="auto"/>
                      <w:szCs w:val="21"/>
                      <w:highlight w:val="none"/>
                      <w:u w:val="none"/>
                    </w:rPr>
                    <w:t>总磷、总氮</w:t>
                  </w:r>
                </w:p>
              </w:tc>
              <w:tc>
                <w:tcPr>
                  <w:tcW w:w="1366" w:type="dxa"/>
                  <w:tcBorders>
                    <w:tl2br w:val="nil"/>
                    <w:tr2bl w:val="nil"/>
                  </w:tcBorders>
                  <w:vAlign w:val="center"/>
                </w:tcPr>
                <w:p>
                  <w:pPr>
                    <w:spacing w:line="280" w:lineRule="exact"/>
                    <w:jc w:val="center"/>
                    <w:rPr>
                      <w:color w:val="auto"/>
                      <w:szCs w:val="21"/>
                      <w:highlight w:val="none"/>
                      <w:u w:val="none"/>
                    </w:rPr>
                  </w:pPr>
                  <w:r>
                    <w:rPr>
                      <w:rFonts w:hint="eastAsia"/>
                      <w:color w:val="auto"/>
                      <w:szCs w:val="21"/>
                      <w:highlight w:val="none"/>
                      <w:u w:val="none"/>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Borders>
                    <w:tl2br w:val="nil"/>
                    <w:tr2bl w:val="nil"/>
                  </w:tcBorders>
                  <w:vAlign w:val="center"/>
                </w:tcPr>
                <w:p>
                  <w:pPr>
                    <w:spacing w:line="280" w:lineRule="exact"/>
                    <w:jc w:val="center"/>
                    <w:rPr>
                      <w:color w:val="auto"/>
                      <w:szCs w:val="21"/>
                      <w:highlight w:val="none"/>
                      <w:u w:val="none"/>
                    </w:rPr>
                  </w:pPr>
                  <w:r>
                    <w:rPr>
                      <w:color w:val="auto"/>
                      <w:szCs w:val="21"/>
                      <w:highlight w:val="none"/>
                      <w:u w:val="none"/>
                    </w:rPr>
                    <w:t>废气</w:t>
                  </w:r>
                </w:p>
              </w:tc>
              <w:tc>
                <w:tcPr>
                  <w:tcW w:w="2711" w:type="dxa"/>
                  <w:tcBorders>
                    <w:tl2br w:val="nil"/>
                    <w:tr2bl w:val="nil"/>
                  </w:tcBorders>
                  <w:vAlign w:val="center"/>
                </w:tcPr>
                <w:p>
                  <w:pPr>
                    <w:spacing w:line="280" w:lineRule="exact"/>
                    <w:jc w:val="center"/>
                    <w:rPr>
                      <w:color w:val="auto"/>
                      <w:szCs w:val="21"/>
                      <w:highlight w:val="none"/>
                      <w:u w:val="none"/>
                    </w:rPr>
                  </w:pPr>
                  <w:r>
                    <w:rPr>
                      <w:color w:val="auto"/>
                      <w:szCs w:val="21"/>
                      <w:highlight w:val="none"/>
                      <w:u w:val="none"/>
                    </w:rPr>
                    <w:t>厂内恶臭气体</w:t>
                  </w:r>
                  <w:r>
                    <w:rPr>
                      <w:rFonts w:hint="eastAsia"/>
                      <w:color w:val="auto"/>
                      <w:szCs w:val="21"/>
                      <w:highlight w:val="none"/>
                      <w:u w:val="none"/>
                    </w:rPr>
                    <w:t>处理措施</w:t>
                  </w:r>
                </w:p>
              </w:tc>
              <w:tc>
                <w:tcPr>
                  <w:tcW w:w="3127" w:type="dxa"/>
                  <w:tcBorders>
                    <w:tl2br w:val="nil"/>
                    <w:tr2bl w:val="nil"/>
                  </w:tcBorders>
                  <w:vAlign w:val="center"/>
                </w:tcPr>
                <w:p>
                  <w:pPr>
                    <w:spacing w:line="280" w:lineRule="exact"/>
                    <w:jc w:val="center"/>
                    <w:rPr>
                      <w:color w:val="auto"/>
                      <w:szCs w:val="21"/>
                      <w:highlight w:val="none"/>
                      <w:u w:val="none"/>
                    </w:rPr>
                  </w:pPr>
                  <w:r>
                    <w:rPr>
                      <w:rFonts w:hint="eastAsia"/>
                      <w:color w:val="auto"/>
                      <w:szCs w:val="21"/>
                      <w:highlight w:val="none"/>
                      <w:u w:val="none"/>
                    </w:rPr>
                    <w:t>对全厂所有需除臭的建、构筑物进行全封闭加盖处理，尽量减少臭气外溢，同时厂区绿化隔离带</w:t>
                  </w:r>
                </w:p>
              </w:tc>
              <w:tc>
                <w:tcPr>
                  <w:tcW w:w="1366" w:type="dxa"/>
                  <w:tcBorders>
                    <w:tl2br w:val="nil"/>
                    <w:tr2bl w:val="nil"/>
                  </w:tcBorders>
                  <w:vAlign w:val="center"/>
                </w:tcPr>
                <w:p>
                  <w:pPr>
                    <w:spacing w:line="280" w:lineRule="exact"/>
                    <w:jc w:val="center"/>
                    <w:rPr>
                      <w:rFonts w:hint="default" w:eastAsia="宋体"/>
                      <w:color w:val="auto"/>
                      <w:szCs w:val="21"/>
                      <w:highlight w:val="none"/>
                      <w:u w:val="none"/>
                      <w:lang w:val="en-US" w:eastAsia="zh-CN"/>
                    </w:rPr>
                  </w:pPr>
                  <w:r>
                    <w:rPr>
                      <w:rFonts w:hint="eastAsia"/>
                      <w:color w:val="auto"/>
                      <w:szCs w:val="21"/>
                      <w:highlight w:val="none"/>
                      <w:u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Borders>
                    <w:tl2br w:val="nil"/>
                    <w:tr2bl w:val="nil"/>
                  </w:tcBorders>
                  <w:vAlign w:val="center"/>
                </w:tcPr>
                <w:p>
                  <w:pPr>
                    <w:spacing w:line="280" w:lineRule="exact"/>
                    <w:jc w:val="center"/>
                    <w:rPr>
                      <w:color w:val="auto"/>
                      <w:szCs w:val="21"/>
                      <w:highlight w:val="none"/>
                      <w:u w:val="none"/>
                    </w:rPr>
                  </w:pPr>
                  <w:r>
                    <w:rPr>
                      <w:color w:val="auto"/>
                      <w:szCs w:val="21"/>
                      <w:highlight w:val="none"/>
                      <w:u w:val="none"/>
                    </w:rPr>
                    <w:t>噪声</w:t>
                  </w:r>
                </w:p>
              </w:tc>
              <w:tc>
                <w:tcPr>
                  <w:tcW w:w="5838" w:type="dxa"/>
                  <w:gridSpan w:val="2"/>
                  <w:tcBorders>
                    <w:tl2br w:val="nil"/>
                    <w:tr2bl w:val="nil"/>
                  </w:tcBorders>
                  <w:vAlign w:val="center"/>
                </w:tcPr>
                <w:p>
                  <w:pPr>
                    <w:spacing w:line="280" w:lineRule="exact"/>
                    <w:jc w:val="center"/>
                    <w:rPr>
                      <w:color w:val="auto"/>
                      <w:szCs w:val="21"/>
                      <w:highlight w:val="none"/>
                      <w:u w:val="none"/>
                    </w:rPr>
                  </w:pPr>
                  <w:r>
                    <w:rPr>
                      <w:rFonts w:hint="eastAsia"/>
                      <w:color w:val="auto"/>
                      <w:szCs w:val="21"/>
                      <w:highlight w:val="none"/>
                      <w:u w:val="none"/>
                    </w:rPr>
                    <w:t>基础减振、厂房隔声、隔声罩、消声器</w:t>
                  </w:r>
                </w:p>
              </w:tc>
              <w:tc>
                <w:tcPr>
                  <w:tcW w:w="1366" w:type="dxa"/>
                  <w:tcBorders>
                    <w:tl2br w:val="nil"/>
                    <w:tr2bl w:val="nil"/>
                  </w:tcBorders>
                  <w:vAlign w:val="center"/>
                </w:tcPr>
                <w:p>
                  <w:pPr>
                    <w:spacing w:line="280" w:lineRule="exact"/>
                    <w:jc w:val="center"/>
                    <w:rPr>
                      <w:rFonts w:hint="eastAsia" w:eastAsia="宋体"/>
                      <w:color w:val="auto"/>
                      <w:szCs w:val="21"/>
                      <w:highlight w:val="none"/>
                      <w:u w:val="none"/>
                      <w:lang w:eastAsia="zh-CN"/>
                    </w:rPr>
                  </w:pPr>
                  <w:r>
                    <w:rPr>
                      <w:rFonts w:hint="eastAsia"/>
                      <w:color w:val="auto"/>
                      <w:szCs w:val="21"/>
                      <w:highlight w:val="none"/>
                      <w:u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restart"/>
                  <w:tcBorders>
                    <w:tl2br w:val="nil"/>
                    <w:tr2bl w:val="nil"/>
                  </w:tcBorders>
                  <w:vAlign w:val="center"/>
                </w:tcPr>
                <w:p>
                  <w:pPr>
                    <w:spacing w:line="280" w:lineRule="exact"/>
                    <w:jc w:val="center"/>
                    <w:rPr>
                      <w:color w:val="auto"/>
                      <w:szCs w:val="21"/>
                      <w:highlight w:val="none"/>
                      <w:u w:val="none"/>
                    </w:rPr>
                  </w:pPr>
                  <w:r>
                    <w:rPr>
                      <w:color w:val="auto"/>
                      <w:szCs w:val="21"/>
                      <w:highlight w:val="none"/>
                      <w:u w:val="none"/>
                    </w:rPr>
                    <w:t>固废</w:t>
                  </w:r>
                </w:p>
              </w:tc>
              <w:tc>
                <w:tcPr>
                  <w:tcW w:w="2711" w:type="dxa"/>
                  <w:tcBorders>
                    <w:tl2br w:val="nil"/>
                    <w:tr2bl w:val="nil"/>
                  </w:tcBorders>
                  <w:vAlign w:val="center"/>
                </w:tcPr>
                <w:p>
                  <w:pPr>
                    <w:spacing w:line="280" w:lineRule="exact"/>
                    <w:jc w:val="center"/>
                    <w:rPr>
                      <w:color w:val="auto"/>
                      <w:szCs w:val="21"/>
                      <w:highlight w:val="none"/>
                      <w:u w:val="none"/>
                    </w:rPr>
                  </w:pPr>
                  <w:r>
                    <w:rPr>
                      <w:rFonts w:hint="eastAsia"/>
                      <w:color w:val="auto"/>
                      <w:szCs w:val="21"/>
                      <w:highlight w:val="none"/>
                      <w:u w:val="none"/>
                    </w:rPr>
                    <w:t>垃圾收集及清运措施</w:t>
                  </w:r>
                </w:p>
              </w:tc>
              <w:tc>
                <w:tcPr>
                  <w:tcW w:w="3127" w:type="dxa"/>
                  <w:tcBorders>
                    <w:tl2br w:val="nil"/>
                    <w:tr2bl w:val="nil"/>
                  </w:tcBorders>
                  <w:vAlign w:val="center"/>
                </w:tcPr>
                <w:p>
                  <w:pPr>
                    <w:spacing w:line="280" w:lineRule="exact"/>
                    <w:jc w:val="center"/>
                    <w:rPr>
                      <w:rFonts w:hint="eastAsia" w:eastAsia="宋体"/>
                      <w:color w:val="auto"/>
                      <w:szCs w:val="21"/>
                      <w:highlight w:val="none"/>
                      <w:u w:val="none"/>
                      <w:lang w:eastAsia="zh-CN"/>
                    </w:rPr>
                  </w:pPr>
                  <w:r>
                    <w:rPr>
                      <w:color w:val="auto"/>
                      <w:szCs w:val="21"/>
                      <w:highlight w:val="none"/>
                      <w:u w:val="none"/>
                    </w:rPr>
                    <w:t>垃圾集中收集</w:t>
                  </w:r>
                  <w:r>
                    <w:rPr>
                      <w:rFonts w:hint="eastAsia"/>
                      <w:color w:val="auto"/>
                      <w:szCs w:val="21"/>
                      <w:highlight w:val="none"/>
                      <w:u w:val="none"/>
                      <w:lang w:eastAsia="zh-CN"/>
                    </w:rPr>
                    <w:t>（垃圾桶）</w:t>
                  </w:r>
                </w:p>
              </w:tc>
              <w:tc>
                <w:tcPr>
                  <w:tcW w:w="1366" w:type="dxa"/>
                  <w:tcBorders>
                    <w:tl2br w:val="nil"/>
                    <w:tr2bl w:val="nil"/>
                  </w:tcBorders>
                  <w:vAlign w:val="center"/>
                </w:tcPr>
                <w:p>
                  <w:pPr>
                    <w:spacing w:line="280" w:lineRule="exact"/>
                    <w:jc w:val="center"/>
                    <w:rPr>
                      <w:color w:val="auto"/>
                      <w:szCs w:val="21"/>
                      <w:highlight w:val="none"/>
                      <w:u w:val="none"/>
                    </w:rPr>
                  </w:pPr>
                  <w:r>
                    <w:rPr>
                      <w:rFonts w:hint="eastAsia"/>
                      <w:color w:val="auto"/>
                      <w:szCs w:val="21"/>
                      <w:highlight w:val="none"/>
                      <w:u w:val="none"/>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tcBorders>
                    <w:tl2br w:val="nil"/>
                    <w:tr2bl w:val="nil"/>
                  </w:tcBorders>
                  <w:vAlign w:val="center"/>
                </w:tcPr>
                <w:p>
                  <w:pPr>
                    <w:spacing w:line="280" w:lineRule="exact"/>
                    <w:jc w:val="center"/>
                    <w:rPr>
                      <w:color w:val="auto"/>
                      <w:szCs w:val="21"/>
                      <w:highlight w:val="none"/>
                      <w:u w:val="none"/>
                    </w:rPr>
                  </w:pPr>
                </w:p>
              </w:tc>
              <w:tc>
                <w:tcPr>
                  <w:tcW w:w="2711" w:type="dxa"/>
                  <w:tcBorders>
                    <w:tl2br w:val="nil"/>
                    <w:tr2bl w:val="nil"/>
                  </w:tcBorders>
                  <w:vAlign w:val="center"/>
                </w:tcPr>
                <w:p>
                  <w:pPr>
                    <w:spacing w:line="280" w:lineRule="exact"/>
                    <w:jc w:val="center"/>
                    <w:rPr>
                      <w:rFonts w:hint="eastAsia" w:eastAsia="宋体"/>
                      <w:color w:val="auto"/>
                      <w:szCs w:val="21"/>
                      <w:highlight w:val="none"/>
                      <w:u w:val="none"/>
                      <w:lang w:eastAsia="zh-CN"/>
                    </w:rPr>
                  </w:pPr>
                  <w:r>
                    <w:rPr>
                      <w:rFonts w:hint="eastAsia"/>
                      <w:color w:val="auto"/>
                      <w:szCs w:val="21"/>
                      <w:highlight w:val="none"/>
                      <w:u w:val="none"/>
                      <w:lang w:eastAsia="zh-CN"/>
                    </w:rPr>
                    <w:t>一般固废暂存间</w:t>
                  </w:r>
                  <w:r>
                    <w:rPr>
                      <w:rFonts w:hint="eastAsia"/>
                      <w:color w:val="auto"/>
                      <w:kern w:val="0"/>
                      <w:szCs w:val="21"/>
                      <w:highlight w:val="none"/>
                      <w:u w:val="none"/>
                      <w:lang w:eastAsia="zh-CN"/>
                    </w:rPr>
                    <w:t>（</w:t>
                  </w:r>
                  <w:r>
                    <w:rPr>
                      <w:rFonts w:hint="eastAsia"/>
                      <w:color w:val="auto"/>
                      <w:kern w:val="0"/>
                      <w:szCs w:val="21"/>
                      <w:highlight w:val="none"/>
                      <w:u w:val="none"/>
                      <w:lang w:val="en-US" w:eastAsia="zh-CN"/>
                    </w:rPr>
                    <w:t>5</w:t>
                  </w:r>
                  <w:r>
                    <w:rPr>
                      <w:color w:val="auto"/>
                      <w:kern w:val="0"/>
                      <w:szCs w:val="21"/>
                      <w:highlight w:val="none"/>
                      <w:u w:val="none"/>
                    </w:rPr>
                    <w:t>m</w:t>
                  </w:r>
                  <w:r>
                    <w:rPr>
                      <w:rFonts w:hint="eastAsia"/>
                      <w:color w:val="auto"/>
                      <w:kern w:val="0"/>
                      <w:szCs w:val="21"/>
                      <w:highlight w:val="none"/>
                      <w:u w:val="none"/>
                      <w:vertAlign w:val="superscript"/>
                    </w:rPr>
                    <w:t>2</w:t>
                  </w:r>
                  <w:r>
                    <w:rPr>
                      <w:rFonts w:hint="eastAsia"/>
                      <w:color w:val="auto"/>
                      <w:kern w:val="0"/>
                      <w:szCs w:val="21"/>
                      <w:highlight w:val="none"/>
                      <w:u w:val="none"/>
                      <w:lang w:eastAsia="zh-CN"/>
                    </w:rPr>
                    <w:t>）</w:t>
                  </w:r>
                </w:p>
              </w:tc>
              <w:tc>
                <w:tcPr>
                  <w:tcW w:w="3127" w:type="dxa"/>
                  <w:tcBorders>
                    <w:tl2br w:val="nil"/>
                    <w:tr2bl w:val="nil"/>
                  </w:tcBorders>
                  <w:vAlign w:val="center"/>
                </w:tcPr>
                <w:p>
                  <w:pPr>
                    <w:spacing w:line="280" w:lineRule="exact"/>
                    <w:jc w:val="center"/>
                    <w:rPr>
                      <w:rFonts w:hint="eastAsia" w:eastAsia="宋体"/>
                      <w:color w:val="auto"/>
                      <w:szCs w:val="21"/>
                      <w:highlight w:val="none"/>
                      <w:u w:val="none"/>
                      <w:lang w:eastAsia="zh-CN"/>
                    </w:rPr>
                  </w:pPr>
                  <w:r>
                    <w:rPr>
                      <w:rFonts w:hint="eastAsia"/>
                      <w:color w:val="auto"/>
                      <w:szCs w:val="21"/>
                      <w:highlight w:val="none"/>
                      <w:u w:val="none"/>
                      <w:lang w:eastAsia="zh-CN"/>
                    </w:rPr>
                    <w:t>一般工业固废暂存</w:t>
                  </w:r>
                </w:p>
              </w:tc>
              <w:tc>
                <w:tcPr>
                  <w:tcW w:w="1366" w:type="dxa"/>
                  <w:tcBorders>
                    <w:tl2br w:val="nil"/>
                    <w:tr2bl w:val="nil"/>
                  </w:tcBorders>
                  <w:vAlign w:val="center"/>
                </w:tcPr>
                <w:p>
                  <w:pPr>
                    <w:spacing w:line="280" w:lineRule="exact"/>
                    <w:jc w:val="center"/>
                    <w:rPr>
                      <w:rFonts w:hint="eastAsia" w:eastAsia="宋体"/>
                      <w:color w:val="auto"/>
                      <w:szCs w:val="21"/>
                      <w:highlight w:val="none"/>
                      <w:u w:val="none"/>
                      <w:lang w:val="en-US" w:eastAsia="zh-CN"/>
                    </w:rPr>
                  </w:pPr>
                  <w:r>
                    <w:rPr>
                      <w:rFonts w:hint="eastAsia"/>
                      <w:color w:val="auto"/>
                      <w:szCs w:val="21"/>
                      <w:highlight w:val="none"/>
                      <w:u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vMerge w:val="continue"/>
                  <w:tcBorders>
                    <w:tl2br w:val="nil"/>
                    <w:tr2bl w:val="nil"/>
                  </w:tcBorders>
                  <w:vAlign w:val="center"/>
                </w:tcPr>
                <w:p>
                  <w:pPr>
                    <w:spacing w:line="280" w:lineRule="exact"/>
                    <w:jc w:val="center"/>
                    <w:rPr>
                      <w:color w:val="auto"/>
                      <w:szCs w:val="21"/>
                      <w:highlight w:val="none"/>
                      <w:u w:val="none"/>
                    </w:rPr>
                  </w:pPr>
                </w:p>
              </w:tc>
              <w:tc>
                <w:tcPr>
                  <w:tcW w:w="2711" w:type="dxa"/>
                  <w:tcBorders>
                    <w:tl2br w:val="nil"/>
                    <w:tr2bl w:val="nil"/>
                  </w:tcBorders>
                  <w:vAlign w:val="center"/>
                </w:tcPr>
                <w:p>
                  <w:pPr>
                    <w:spacing w:line="280" w:lineRule="exact"/>
                    <w:jc w:val="center"/>
                    <w:rPr>
                      <w:rFonts w:hint="eastAsia"/>
                      <w:color w:val="auto"/>
                      <w:szCs w:val="21"/>
                      <w:highlight w:val="none"/>
                      <w:u w:val="none"/>
                      <w:lang w:eastAsia="zh-CN"/>
                    </w:rPr>
                  </w:pPr>
                  <w:r>
                    <w:rPr>
                      <w:rFonts w:hint="eastAsia"/>
                      <w:color w:val="auto"/>
                      <w:szCs w:val="21"/>
                      <w:highlight w:val="none"/>
                      <w:u w:val="none"/>
                      <w:lang w:eastAsia="zh-CN"/>
                    </w:rPr>
                    <w:t>危废暂存间</w:t>
                  </w:r>
                  <w:r>
                    <w:rPr>
                      <w:rFonts w:hint="eastAsia"/>
                      <w:color w:val="auto"/>
                      <w:kern w:val="0"/>
                      <w:szCs w:val="21"/>
                      <w:highlight w:val="none"/>
                      <w:u w:val="none"/>
                      <w:lang w:eastAsia="zh-CN"/>
                    </w:rPr>
                    <w:t>（</w:t>
                  </w:r>
                  <w:r>
                    <w:rPr>
                      <w:rFonts w:hint="eastAsia"/>
                      <w:color w:val="auto"/>
                      <w:kern w:val="0"/>
                      <w:szCs w:val="21"/>
                      <w:highlight w:val="none"/>
                      <w:u w:val="none"/>
                      <w:lang w:val="en-US" w:eastAsia="zh-CN"/>
                    </w:rPr>
                    <w:t>1m</w:t>
                  </w:r>
                  <w:r>
                    <w:rPr>
                      <w:rFonts w:hint="eastAsia"/>
                      <w:color w:val="auto"/>
                      <w:kern w:val="0"/>
                      <w:szCs w:val="21"/>
                      <w:highlight w:val="none"/>
                      <w:u w:val="none"/>
                      <w:vertAlign w:val="superscript"/>
                      <w:lang w:val="en-US" w:eastAsia="zh-CN"/>
                    </w:rPr>
                    <w:t>3</w:t>
                  </w:r>
                  <w:r>
                    <w:rPr>
                      <w:rFonts w:hint="eastAsia"/>
                      <w:color w:val="auto"/>
                      <w:kern w:val="0"/>
                      <w:szCs w:val="21"/>
                      <w:highlight w:val="none"/>
                      <w:u w:val="none"/>
                      <w:lang w:eastAsia="zh-CN"/>
                    </w:rPr>
                    <w:t>）</w:t>
                  </w:r>
                </w:p>
              </w:tc>
              <w:tc>
                <w:tcPr>
                  <w:tcW w:w="3127" w:type="dxa"/>
                  <w:tcBorders>
                    <w:tl2br w:val="nil"/>
                    <w:tr2bl w:val="nil"/>
                  </w:tcBorders>
                  <w:vAlign w:val="center"/>
                </w:tcPr>
                <w:p>
                  <w:pPr>
                    <w:spacing w:line="280" w:lineRule="exact"/>
                    <w:jc w:val="center"/>
                    <w:rPr>
                      <w:rFonts w:hint="eastAsia"/>
                      <w:color w:val="auto"/>
                      <w:szCs w:val="21"/>
                      <w:highlight w:val="none"/>
                      <w:u w:val="none"/>
                      <w:lang w:eastAsia="zh-CN"/>
                    </w:rPr>
                  </w:pPr>
                  <w:r>
                    <w:rPr>
                      <w:rFonts w:hint="eastAsia"/>
                      <w:color w:val="auto"/>
                      <w:szCs w:val="21"/>
                      <w:highlight w:val="none"/>
                      <w:u w:val="none"/>
                      <w:lang w:eastAsia="zh-CN"/>
                    </w:rPr>
                    <w:t>废紫外灯管暂存</w:t>
                  </w:r>
                </w:p>
              </w:tc>
              <w:tc>
                <w:tcPr>
                  <w:tcW w:w="1366" w:type="dxa"/>
                  <w:tcBorders>
                    <w:tl2br w:val="nil"/>
                    <w:tr2bl w:val="nil"/>
                  </w:tcBorders>
                  <w:vAlign w:val="center"/>
                </w:tcPr>
                <w:p>
                  <w:pPr>
                    <w:spacing w:line="280" w:lineRule="exact"/>
                    <w:jc w:val="center"/>
                    <w:rPr>
                      <w:rFonts w:hint="default"/>
                      <w:color w:val="auto"/>
                      <w:szCs w:val="21"/>
                      <w:highlight w:val="none"/>
                      <w:u w:val="none"/>
                      <w:lang w:val="en-US" w:eastAsia="zh-CN"/>
                    </w:rPr>
                  </w:pPr>
                  <w:r>
                    <w:rPr>
                      <w:rFonts w:hint="eastAsia"/>
                      <w:color w:val="auto"/>
                      <w:szCs w:val="21"/>
                      <w:highlight w:val="none"/>
                      <w:u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Borders>
                    <w:tl2br w:val="nil"/>
                    <w:tr2bl w:val="nil"/>
                  </w:tcBorders>
                  <w:vAlign w:val="center"/>
                </w:tcPr>
                <w:p>
                  <w:pPr>
                    <w:spacing w:line="280" w:lineRule="exact"/>
                    <w:jc w:val="center"/>
                    <w:rPr>
                      <w:color w:val="auto"/>
                      <w:szCs w:val="21"/>
                      <w:highlight w:val="none"/>
                      <w:u w:val="none"/>
                    </w:rPr>
                  </w:pPr>
                  <w:r>
                    <w:rPr>
                      <w:rFonts w:hint="eastAsia"/>
                      <w:color w:val="auto"/>
                      <w:szCs w:val="21"/>
                      <w:highlight w:val="none"/>
                      <w:u w:val="none"/>
                    </w:rPr>
                    <w:t>环境风险</w:t>
                  </w:r>
                </w:p>
              </w:tc>
              <w:tc>
                <w:tcPr>
                  <w:tcW w:w="2711" w:type="dxa"/>
                  <w:tcBorders>
                    <w:tl2br w:val="nil"/>
                    <w:tr2bl w:val="nil"/>
                  </w:tcBorders>
                  <w:vAlign w:val="center"/>
                </w:tcPr>
                <w:p>
                  <w:pPr>
                    <w:spacing w:line="280" w:lineRule="exact"/>
                    <w:jc w:val="center"/>
                    <w:rPr>
                      <w:color w:val="auto"/>
                      <w:szCs w:val="21"/>
                      <w:highlight w:val="none"/>
                      <w:u w:val="none"/>
                    </w:rPr>
                  </w:pPr>
                  <w:r>
                    <w:rPr>
                      <w:rFonts w:hint="eastAsia"/>
                      <w:color w:val="auto"/>
                      <w:szCs w:val="21"/>
                      <w:highlight w:val="none"/>
                      <w:u w:val="none"/>
                    </w:rPr>
                    <w:t>应急物资</w:t>
                  </w:r>
                </w:p>
              </w:tc>
              <w:tc>
                <w:tcPr>
                  <w:tcW w:w="3127" w:type="dxa"/>
                  <w:tcBorders>
                    <w:tl2br w:val="nil"/>
                    <w:tr2bl w:val="nil"/>
                  </w:tcBorders>
                  <w:vAlign w:val="center"/>
                </w:tcPr>
                <w:p>
                  <w:pPr>
                    <w:spacing w:line="280" w:lineRule="exact"/>
                    <w:jc w:val="center"/>
                    <w:rPr>
                      <w:color w:val="auto"/>
                      <w:szCs w:val="21"/>
                      <w:highlight w:val="none"/>
                      <w:u w:val="none"/>
                    </w:rPr>
                  </w:pPr>
                  <w:r>
                    <w:rPr>
                      <w:rFonts w:hint="eastAsia"/>
                      <w:color w:val="auto"/>
                      <w:szCs w:val="21"/>
                      <w:highlight w:val="none"/>
                      <w:u w:val="none"/>
                    </w:rPr>
                    <w:t>针对原料特性配备应急物资</w:t>
                  </w:r>
                </w:p>
              </w:tc>
              <w:tc>
                <w:tcPr>
                  <w:tcW w:w="1366" w:type="dxa"/>
                  <w:tcBorders>
                    <w:tl2br w:val="nil"/>
                    <w:tr2bl w:val="nil"/>
                  </w:tcBorders>
                  <w:vAlign w:val="center"/>
                </w:tcPr>
                <w:p>
                  <w:pPr>
                    <w:spacing w:line="280" w:lineRule="exact"/>
                    <w:jc w:val="center"/>
                    <w:rPr>
                      <w:color w:val="auto"/>
                      <w:szCs w:val="21"/>
                      <w:highlight w:val="none"/>
                      <w:u w:val="none"/>
                    </w:rPr>
                  </w:pPr>
                  <w:r>
                    <w:rPr>
                      <w:rFonts w:hint="eastAsia"/>
                      <w:color w:val="auto"/>
                      <w:szCs w:val="21"/>
                      <w:highlight w:val="none"/>
                      <w:u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936" w:type="dxa"/>
                  <w:gridSpan w:val="3"/>
                  <w:tcBorders>
                    <w:tl2br w:val="nil"/>
                    <w:tr2bl w:val="nil"/>
                  </w:tcBorders>
                  <w:vAlign w:val="center"/>
                </w:tcPr>
                <w:p>
                  <w:pPr>
                    <w:spacing w:line="280" w:lineRule="exact"/>
                    <w:jc w:val="center"/>
                    <w:rPr>
                      <w:color w:val="auto"/>
                      <w:szCs w:val="21"/>
                      <w:highlight w:val="none"/>
                      <w:u w:val="none"/>
                    </w:rPr>
                  </w:pPr>
                  <w:r>
                    <w:rPr>
                      <w:color w:val="auto"/>
                      <w:szCs w:val="21"/>
                      <w:highlight w:val="none"/>
                      <w:u w:val="none"/>
                    </w:rPr>
                    <w:t>合计</w:t>
                  </w:r>
                </w:p>
              </w:tc>
              <w:tc>
                <w:tcPr>
                  <w:tcW w:w="1366" w:type="dxa"/>
                  <w:tcBorders>
                    <w:tl2br w:val="nil"/>
                    <w:tr2bl w:val="nil"/>
                  </w:tcBorders>
                  <w:vAlign w:val="center"/>
                </w:tcPr>
                <w:p>
                  <w:pPr>
                    <w:spacing w:line="280" w:lineRule="exact"/>
                    <w:jc w:val="center"/>
                    <w:rPr>
                      <w:rFonts w:hint="default" w:eastAsia="宋体"/>
                      <w:color w:val="auto"/>
                      <w:szCs w:val="21"/>
                      <w:highlight w:val="none"/>
                      <w:u w:val="none"/>
                      <w:lang w:val="en-US" w:eastAsia="zh-CN"/>
                    </w:rPr>
                  </w:pPr>
                  <w:r>
                    <w:rPr>
                      <w:rFonts w:hint="eastAsia"/>
                      <w:color w:val="auto"/>
                      <w:szCs w:val="21"/>
                      <w:highlight w:val="none"/>
                      <w:u w:val="none"/>
                      <w:lang w:val="en-US" w:eastAsia="zh-CN"/>
                    </w:rPr>
                    <w:t>52</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460" w:lineRule="exact"/>
              <w:ind w:firstLine="482" w:firstLineChars="200"/>
              <w:textAlignment w:val="auto"/>
              <w:rPr>
                <w:rFonts w:hint="eastAsia" w:ascii="Times New Roman" w:hAnsi="Times New Roman" w:eastAsia="宋体" w:cs="Times New Roman"/>
                <w:b/>
                <w:bCs/>
                <w:color w:val="auto"/>
                <w:sz w:val="24"/>
                <w:szCs w:val="24"/>
                <w:u w:val="none"/>
                <w:lang w:eastAsia="zh-CN"/>
              </w:rPr>
            </w:pPr>
            <w:r>
              <w:rPr>
                <w:rFonts w:hint="eastAsia" w:ascii="Times New Roman" w:hAnsi="Times New Roman" w:eastAsia="宋体" w:cs="Times New Roman"/>
                <w:b/>
                <w:bCs/>
                <w:color w:val="auto"/>
                <w:sz w:val="24"/>
                <w:szCs w:val="24"/>
                <w:u w:val="none"/>
              </w:rPr>
              <w:t>项目</w:t>
            </w:r>
            <w:r>
              <w:rPr>
                <w:rFonts w:hint="eastAsia" w:ascii="Times New Roman" w:hAnsi="Times New Roman" w:eastAsia="宋体" w:cs="Times New Roman"/>
                <w:b/>
                <w:bCs/>
                <w:color w:val="auto"/>
                <w:sz w:val="24"/>
                <w:szCs w:val="24"/>
                <w:u w:val="none"/>
                <w:lang w:eastAsia="zh-CN"/>
              </w:rPr>
              <w:t>总进度与工期</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eastAsia="宋体"/>
                <w:color w:val="auto"/>
                <w:u w:val="none"/>
                <w:lang w:val="en-US" w:eastAsia="zh-CN"/>
              </w:rPr>
            </w:pPr>
            <w:r>
              <w:rPr>
                <w:rFonts w:hint="default" w:ascii="Times New Roman" w:hAnsi="Times New Roman" w:cs="Times New Roman"/>
                <w:color w:val="FF0000"/>
                <w:sz w:val="24"/>
                <w:szCs w:val="32"/>
                <w:u w:val="wave"/>
              </w:rPr>
              <w:t>本</w:t>
            </w:r>
            <w:r>
              <w:rPr>
                <w:rFonts w:hint="eastAsia" w:cs="Times New Roman"/>
                <w:color w:val="FF0000"/>
                <w:sz w:val="24"/>
                <w:szCs w:val="32"/>
                <w:u w:val="wave"/>
                <w:lang w:eastAsia="zh-CN"/>
              </w:rPr>
              <w:t>项目近期</w:t>
            </w:r>
            <w:r>
              <w:rPr>
                <w:rFonts w:hint="default" w:ascii="Times New Roman" w:hAnsi="Times New Roman" w:cs="Times New Roman"/>
                <w:color w:val="FF0000"/>
                <w:sz w:val="24"/>
                <w:szCs w:val="32"/>
                <w:u w:val="wave"/>
              </w:rPr>
              <w:t>工程建设</w:t>
            </w:r>
            <w:r>
              <w:rPr>
                <w:rFonts w:hint="eastAsia"/>
                <w:color w:val="FF0000"/>
                <w:sz w:val="24"/>
                <w:szCs w:val="22"/>
                <w:u w:val="wave"/>
                <w:lang w:eastAsia="zh-CN"/>
              </w:rPr>
              <w:t>周期</w:t>
            </w:r>
            <w:r>
              <w:rPr>
                <w:rFonts w:hint="default" w:ascii="Times New Roman" w:hAnsi="Times New Roman" w:cs="Times New Roman"/>
                <w:color w:val="FF0000"/>
                <w:sz w:val="24"/>
                <w:szCs w:val="32"/>
                <w:u w:val="wave"/>
              </w:rPr>
              <w:t>为</w:t>
            </w:r>
            <w:r>
              <w:rPr>
                <w:rFonts w:hint="eastAsia" w:cs="Times New Roman"/>
                <w:color w:val="FF0000"/>
                <w:sz w:val="24"/>
                <w:szCs w:val="32"/>
                <w:u w:val="wave"/>
                <w:lang w:val="en-US" w:eastAsia="zh-CN"/>
              </w:rPr>
              <w:t>4个月</w:t>
            </w:r>
            <w:r>
              <w:rPr>
                <w:rFonts w:hint="default" w:ascii="Times New Roman" w:hAnsi="Times New Roman" w:cs="Times New Roman"/>
                <w:color w:val="FF0000"/>
                <w:sz w:val="24"/>
                <w:szCs w:val="32"/>
                <w:u w:val="wave"/>
              </w:rPr>
              <w:t>，初步确定本工程</w:t>
            </w:r>
            <w:r>
              <w:rPr>
                <w:rFonts w:hint="eastAsia" w:cs="Times New Roman"/>
                <w:color w:val="FF0000"/>
                <w:sz w:val="24"/>
                <w:szCs w:val="32"/>
                <w:u w:val="wave"/>
                <w:lang w:eastAsia="zh-CN"/>
              </w:rPr>
              <w:t>于</w:t>
            </w:r>
            <w:r>
              <w:rPr>
                <w:rFonts w:hint="default" w:ascii="Times New Roman" w:hAnsi="Times New Roman" w:cs="Times New Roman"/>
                <w:color w:val="FF0000"/>
                <w:sz w:val="24"/>
                <w:szCs w:val="32"/>
                <w:u w:val="wave"/>
              </w:rPr>
              <w:t>20</w:t>
            </w:r>
            <w:r>
              <w:rPr>
                <w:rFonts w:hint="eastAsia" w:ascii="Times New Roman" w:hAnsi="Times New Roman" w:cs="Times New Roman"/>
                <w:color w:val="FF0000"/>
                <w:sz w:val="24"/>
                <w:szCs w:val="32"/>
                <w:u w:val="wave"/>
                <w:lang w:val="en-US" w:eastAsia="zh-CN"/>
              </w:rPr>
              <w:t>20</w:t>
            </w:r>
            <w:r>
              <w:rPr>
                <w:rFonts w:hint="default" w:ascii="Times New Roman" w:hAnsi="Times New Roman" w:cs="Times New Roman"/>
                <w:color w:val="FF0000"/>
                <w:sz w:val="24"/>
                <w:szCs w:val="32"/>
                <w:u w:val="wave"/>
              </w:rPr>
              <w:t>年</w:t>
            </w:r>
            <w:r>
              <w:rPr>
                <w:rFonts w:hint="eastAsia" w:cs="Times New Roman"/>
                <w:color w:val="FF0000"/>
                <w:sz w:val="24"/>
                <w:szCs w:val="32"/>
                <w:u w:val="wave"/>
                <w:lang w:val="en-US" w:eastAsia="zh-CN"/>
              </w:rPr>
              <w:t>10</w:t>
            </w:r>
            <w:r>
              <w:rPr>
                <w:rFonts w:hint="default" w:ascii="Times New Roman" w:hAnsi="Times New Roman" w:cs="Times New Roman"/>
                <w:color w:val="FF0000"/>
                <w:sz w:val="24"/>
                <w:szCs w:val="32"/>
                <w:u w:val="wave"/>
              </w:rPr>
              <w:t>月初开工建设，</w:t>
            </w:r>
            <w:r>
              <w:rPr>
                <w:rFonts w:hint="default" w:ascii="Times New Roman" w:hAnsi="Times New Roman" w:cs="Times New Roman"/>
                <w:color w:val="FF0000"/>
                <w:sz w:val="24"/>
                <w:szCs w:val="32"/>
                <w:u w:val="wave"/>
                <w:lang w:eastAsia="zh-CN"/>
              </w:rPr>
              <w:t>20</w:t>
            </w:r>
            <w:r>
              <w:rPr>
                <w:rFonts w:hint="eastAsia" w:ascii="Times New Roman" w:hAnsi="Times New Roman" w:cs="Times New Roman"/>
                <w:color w:val="FF0000"/>
                <w:sz w:val="24"/>
                <w:szCs w:val="32"/>
                <w:u w:val="wave"/>
                <w:lang w:val="en-US" w:eastAsia="zh-CN"/>
              </w:rPr>
              <w:t>2</w:t>
            </w:r>
            <w:r>
              <w:rPr>
                <w:rFonts w:hint="eastAsia" w:cs="Times New Roman"/>
                <w:color w:val="FF0000"/>
                <w:sz w:val="24"/>
                <w:szCs w:val="32"/>
                <w:u w:val="wave"/>
                <w:lang w:val="en-US" w:eastAsia="zh-CN"/>
              </w:rPr>
              <w:t>1</w:t>
            </w:r>
            <w:r>
              <w:rPr>
                <w:rFonts w:hint="default" w:ascii="Times New Roman" w:hAnsi="Times New Roman" w:cs="Times New Roman"/>
                <w:color w:val="FF0000"/>
                <w:sz w:val="24"/>
                <w:szCs w:val="32"/>
                <w:u w:val="wave"/>
                <w:lang w:eastAsia="zh-CN"/>
              </w:rPr>
              <w:t>年</w:t>
            </w:r>
            <w:r>
              <w:rPr>
                <w:rFonts w:hint="eastAsia" w:cs="Times New Roman"/>
                <w:color w:val="FF0000"/>
                <w:sz w:val="24"/>
                <w:szCs w:val="32"/>
                <w:u w:val="wave"/>
                <w:lang w:val="en-US" w:eastAsia="zh-CN"/>
              </w:rPr>
              <w:t>2</w:t>
            </w:r>
            <w:r>
              <w:rPr>
                <w:rFonts w:hint="default" w:ascii="Times New Roman" w:hAnsi="Times New Roman" w:cs="Times New Roman"/>
                <w:color w:val="FF0000"/>
                <w:sz w:val="24"/>
                <w:szCs w:val="32"/>
                <w:u w:val="wave"/>
                <w:lang w:eastAsia="zh-CN"/>
              </w:rPr>
              <w:t>月</w:t>
            </w:r>
            <w:r>
              <w:rPr>
                <w:rFonts w:hint="default" w:ascii="Times New Roman" w:hAnsi="Times New Roman" w:cs="Times New Roman"/>
                <w:color w:val="FF0000"/>
                <w:sz w:val="24"/>
                <w:szCs w:val="32"/>
                <w:u w:val="wave"/>
              </w:rPr>
              <w:t>正式投入运行</w:t>
            </w:r>
            <w:r>
              <w:rPr>
                <w:rFonts w:hint="eastAsia" w:cs="Times New Roman"/>
                <w:color w:val="FF0000"/>
                <w:sz w:val="24"/>
                <w:szCs w:val="32"/>
                <w:u w:val="wav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2" w:space="0"/>
          </w:tblBorders>
          <w:tblCellMar>
            <w:top w:w="0" w:type="dxa"/>
            <w:left w:w="85" w:type="dxa"/>
            <w:bottom w:w="0" w:type="dxa"/>
            <w:right w:w="85" w:type="dxa"/>
          </w:tblCellMar>
        </w:tblPrEx>
        <w:trPr>
          <w:trHeight w:val="90" w:hRule="atLeast"/>
          <w:jc w:val="center"/>
        </w:trPr>
        <w:tc>
          <w:tcPr>
            <w:tcW w:w="9342"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b/>
                <w:color w:val="auto"/>
                <w:sz w:val="28"/>
                <w:szCs w:val="28"/>
                <w:u w:val="none"/>
              </w:rPr>
            </w:pPr>
            <w:r>
              <w:rPr>
                <w:rFonts w:hint="eastAsia"/>
                <w:b/>
                <w:color w:val="auto"/>
                <w:sz w:val="28"/>
                <w:szCs w:val="28"/>
                <w:u w:val="none"/>
              </w:rPr>
              <w:t>1.2与本项目有关的原有污染情况及主要环境问题：</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color w:val="auto"/>
                <w:sz w:val="24"/>
                <w:u w:val="none"/>
              </w:rPr>
            </w:pPr>
            <w:r>
              <w:rPr>
                <w:rFonts w:hint="eastAsia"/>
                <w:color w:val="auto"/>
                <w:sz w:val="24"/>
                <w:u w:val="none"/>
              </w:rPr>
              <w:t>本项目为新建项目，不存在与本项目有关的原有污染情况或环境问题。</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color w:val="auto"/>
                <w:sz w:val="24"/>
                <w:u w:val="none"/>
              </w:rPr>
            </w:pPr>
            <w:r>
              <w:rPr>
                <w:rFonts w:hint="eastAsia"/>
                <w:color w:val="auto"/>
                <w:sz w:val="24"/>
                <w:u w:val="none"/>
              </w:rPr>
              <w:t>区域主要环境问题如下：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eastAsia="宋体"/>
                <w:color w:val="auto"/>
                <w:sz w:val="24"/>
                <w:u w:val="none"/>
                <w:lang w:eastAsia="zh-CN"/>
              </w:rPr>
            </w:pPr>
            <w:r>
              <w:rPr>
                <w:rFonts w:hint="eastAsia"/>
                <w:color w:val="auto"/>
                <w:sz w:val="24"/>
                <w:u w:val="none"/>
              </w:rPr>
              <w:t>（1）</w:t>
            </w:r>
            <w:r>
              <w:rPr>
                <w:rFonts w:hint="eastAsia"/>
                <w:color w:val="auto"/>
                <w:sz w:val="24"/>
                <w:u w:val="none"/>
                <w:lang w:eastAsia="zh-CN"/>
              </w:rPr>
              <w:t>排水体系不完善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imes New Roman" w:hAnsi="Times New Roman"/>
                <w:color w:val="auto"/>
                <w:sz w:val="24"/>
                <w:szCs w:val="24"/>
                <w:u w:val="none"/>
              </w:rPr>
            </w:pPr>
            <w:r>
              <w:rPr>
                <w:rFonts w:hint="eastAsia" w:ascii="Times New Roman" w:hAnsi="Times New Roman"/>
                <w:color w:val="auto"/>
                <w:sz w:val="24"/>
                <w:szCs w:val="24"/>
                <w:u w:val="none"/>
              </w:rPr>
              <w:t>渡头桥镇位于双清区东南方，镇政府驻地渡头社区，距市区10公里。</w:t>
            </w:r>
            <w:r>
              <w:rPr>
                <w:rFonts w:hint="eastAsia" w:ascii="Times New Roman" w:hAnsi="Times New Roman"/>
                <w:color w:val="auto"/>
                <w:sz w:val="24"/>
                <w:szCs w:val="24"/>
                <w:u w:val="none"/>
                <w:lang w:eastAsia="zh-CN"/>
              </w:rPr>
              <w:t>虽然临近市区，但市政污水管网还未延伸到该区域，目前区域内</w:t>
            </w:r>
            <w:r>
              <w:rPr>
                <w:rFonts w:ascii="宋体" w:hAnsi="宋体" w:eastAsia="宋体" w:cs="宋体"/>
                <w:color w:val="auto"/>
                <w:sz w:val="24"/>
                <w:szCs w:val="24"/>
                <w:u w:val="none"/>
              </w:rPr>
              <w:t>尚无完善的污水管网系统及污水处理设施，使得</w:t>
            </w:r>
            <w:r>
              <w:rPr>
                <w:rFonts w:ascii="Times New Roman" w:hAnsi="Times New Roman"/>
                <w:color w:val="auto"/>
                <w:sz w:val="24"/>
                <w:szCs w:val="24"/>
                <w:u w:val="none"/>
              </w:rPr>
              <w:t>大部分生活污水没有得到处理就直接排放，污水乱排现象严重。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eastAsia="宋体"/>
                <w:color w:val="auto"/>
                <w:sz w:val="24"/>
                <w:u w:val="none"/>
                <w:lang w:eastAsia="zh-CN"/>
              </w:rPr>
            </w:pPr>
            <w:r>
              <w:rPr>
                <w:rFonts w:hint="eastAsia"/>
                <w:color w:val="auto"/>
                <w:sz w:val="24"/>
                <w:u w:val="none"/>
              </w:rPr>
              <w:t>（2）</w:t>
            </w:r>
            <w:r>
              <w:rPr>
                <w:rFonts w:hint="eastAsia"/>
                <w:color w:val="auto"/>
                <w:sz w:val="24"/>
                <w:u w:val="none"/>
                <w:lang w:eastAsia="zh-CN"/>
              </w:rPr>
              <w:t>水环境的污染</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imes New Roman" w:hAnsi="Times New Roman"/>
                <w:color w:val="auto"/>
                <w:sz w:val="24"/>
                <w:szCs w:val="24"/>
                <w:u w:val="none"/>
              </w:rPr>
            </w:pPr>
            <w:r>
              <w:rPr>
                <w:rFonts w:hint="eastAsia"/>
                <w:color w:val="auto"/>
                <w:sz w:val="24"/>
                <w:u w:val="none"/>
              </w:rPr>
              <w:t>目前</w:t>
            </w:r>
            <w:r>
              <w:rPr>
                <w:rFonts w:hint="eastAsia"/>
                <w:color w:val="auto"/>
                <w:sz w:val="24"/>
                <w:u w:val="none"/>
                <w:lang w:eastAsia="zh-CN"/>
              </w:rPr>
              <w:t>镇内</w:t>
            </w:r>
            <w:r>
              <w:rPr>
                <w:rFonts w:hint="eastAsia"/>
                <w:color w:val="auto"/>
                <w:sz w:val="24"/>
                <w:u w:val="none"/>
              </w:rPr>
              <w:t>的污水尚未得到治理，</w:t>
            </w:r>
            <w:r>
              <w:rPr>
                <w:rFonts w:hint="eastAsia"/>
                <w:color w:val="auto"/>
                <w:sz w:val="24"/>
                <w:u w:val="none"/>
                <w:lang w:eastAsia="zh-CN"/>
              </w:rPr>
              <w:t>大</w:t>
            </w:r>
            <w:r>
              <w:rPr>
                <w:rFonts w:hint="eastAsia"/>
                <w:color w:val="auto"/>
                <w:sz w:val="24"/>
                <w:u w:val="none"/>
              </w:rPr>
              <w:t>部分居民生活污水与雨水合流排至</w:t>
            </w:r>
            <w:r>
              <w:rPr>
                <w:rFonts w:ascii="宋体" w:hAnsi="宋体" w:eastAsia="宋体" w:cs="宋体"/>
                <w:color w:val="auto"/>
                <w:sz w:val="24"/>
                <w:szCs w:val="24"/>
                <w:u w:val="none"/>
              </w:rPr>
              <w:t>当地河流，对受纳水体造成污染，同时对河流下游也产生较大影响</w:t>
            </w:r>
            <w:r>
              <w:rPr>
                <w:rFonts w:hint="eastAsia"/>
                <w:color w:val="auto"/>
                <w:sz w:val="24"/>
                <w:u w:val="none"/>
              </w:rPr>
              <w:t>。这些污水</w:t>
            </w:r>
            <w:r>
              <w:rPr>
                <w:rFonts w:hint="eastAsia"/>
                <w:color w:val="auto"/>
                <w:sz w:val="24"/>
                <w:u w:val="none"/>
                <w:lang w:eastAsia="zh-CN"/>
              </w:rPr>
              <w:t>主要</w:t>
            </w:r>
            <w:r>
              <w:rPr>
                <w:rFonts w:hint="eastAsia"/>
                <w:color w:val="auto"/>
                <w:sz w:val="24"/>
                <w:u w:val="none"/>
              </w:rPr>
              <w:t>包括厨房炊事用水、沐浴、洗涤用水等，含有大量的有机物，病原微生物及无机物。</w:t>
            </w:r>
            <w:r>
              <w:rPr>
                <w:rFonts w:hint="default" w:ascii="Times New Roman" w:hAnsi="Times New Roman" w:cs="Times New Roman"/>
                <w:color w:val="auto"/>
                <w:kern w:val="0"/>
                <w:sz w:val="24"/>
                <w:szCs w:val="24"/>
                <w:u w:val="none"/>
              </w:rPr>
              <w:t>夏季气味难闻，滋生蚊蝇，对城镇环境造成污染，影响城镇的环境卫生及镇容镇貌</w:t>
            </w:r>
            <w:r>
              <w:rPr>
                <w:rFonts w:hint="eastAsia"/>
                <w:color w:val="auto"/>
                <w:sz w:val="24"/>
                <w:u w:val="none"/>
              </w:rPr>
              <w:t>。</w:t>
            </w:r>
            <w:r>
              <w:rPr>
                <w:rFonts w:ascii="Times New Roman" w:hAnsi="Times New Roman"/>
                <w:color w:val="auto"/>
                <w:sz w:val="24"/>
                <w:szCs w:val="24"/>
                <w:u w:val="none"/>
              </w:rPr>
              <w:t>随着</w:t>
            </w:r>
            <w:r>
              <w:rPr>
                <w:rFonts w:hint="eastAsia" w:ascii="Times New Roman" w:hAnsi="Times New Roman"/>
                <w:color w:val="auto"/>
                <w:sz w:val="24"/>
                <w:szCs w:val="24"/>
                <w:u w:val="none"/>
                <w:lang w:eastAsia="zh-CN"/>
              </w:rPr>
              <w:t>城镇建设的发展，镇区面积不断扩张，农村涌入人口日益增多，该镇</w:t>
            </w:r>
            <w:r>
              <w:rPr>
                <w:rFonts w:ascii="Times New Roman" w:hAnsi="Times New Roman"/>
                <w:color w:val="auto"/>
                <w:sz w:val="24"/>
                <w:szCs w:val="24"/>
                <w:u w:val="none"/>
              </w:rPr>
              <w:t>污废水量也不断增加，未经处理的生活污水直接排入自然水体，严重污染当地水质，对生态环境及人们身体健康产生严重影响。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imes New Roman" w:hAnsi="Times New Roman"/>
                <w:color w:val="auto"/>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eastAsia="宋体"/>
                <w:color w:val="auto"/>
                <w:u w:val="none"/>
                <w:lang w:val="en-US" w:eastAsia="zh-CN"/>
              </w:rPr>
            </w:pPr>
          </w:p>
        </w:tc>
      </w:tr>
    </w:tbl>
    <w:p>
      <w:pPr>
        <w:snapToGrid w:val="0"/>
        <w:spacing w:before="120"/>
        <w:outlineLvl w:val="0"/>
        <w:rPr>
          <w:rFonts w:eastAsia="黑体"/>
          <w:sz w:val="32"/>
        </w:rPr>
        <w:sectPr>
          <w:headerReference r:id="rId6" w:type="default"/>
          <w:footerReference r:id="rId7" w:type="default"/>
          <w:pgSz w:w="11906" w:h="16838"/>
          <w:pgMar w:top="1418" w:right="1134" w:bottom="1418" w:left="1474" w:header="851" w:footer="992" w:gutter="0"/>
          <w:pgBorders>
            <w:top w:val="none" w:sz="0" w:space="0"/>
            <w:left w:val="none" w:sz="0" w:space="0"/>
            <w:bottom w:val="none" w:sz="0" w:space="0"/>
            <w:right w:val="none" w:sz="0" w:space="0"/>
          </w:pgBorders>
          <w:pgNumType w:start="1"/>
          <w:cols w:space="720" w:num="1"/>
          <w:docGrid w:linePitch="312" w:charSpace="55034"/>
        </w:sectPr>
      </w:pPr>
    </w:p>
    <w:p>
      <w:pPr>
        <w:snapToGrid w:val="0"/>
        <w:outlineLvl w:val="0"/>
        <w:rPr>
          <w:rFonts w:eastAsia="黑体"/>
          <w:kern w:val="24"/>
          <w:sz w:val="32"/>
        </w:rPr>
      </w:pPr>
      <w:bookmarkStart w:id="4" w:name="_Toc25850"/>
      <w:r>
        <w:rPr>
          <w:rFonts w:hint="eastAsia" w:eastAsia="黑体"/>
          <w:sz w:val="32"/>
        </w:rPr>
        <w:t>二、</w:t>
      </w:r>
      <w:r>
        <w:rPr>
          <w:rFonts w:eastAsia="黑体"/>
          <w:sz w:val="32"/>
        </w:rPr>
        <w:t>建设项目所在地自然环境简况</w:t>
      </w:r>
      <w:bookmarkEnd w:id="4"/>
    </w:p>
    <w:tbl>
      <w:tblPr>
        <w:tblStyle w:val="27"/>
        <w:tblW w:w="934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
      <w:tblGrid>
        <w:gridCol w:w="934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85" w:type="dxa"/>
            <w:bottom w:w="0" w:type="dxa"/>
            <w:right w:w="85" w:type="dxa"/>
          </w:tblCellMar>
        </w:tblPrEx>
        <w:trPr>
          <w:trHeight w:val="13447" w:hRule="atLeast"/>
          <w:jc w:val="center"/>
        </w:trPr>
        <w:tc>
          <w:tcPr>
            <w:tcW w:w="9342"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color w:val="auto"/>
                <w:sz w:val="28"/>
                <w:szCs w:val="28"/>
                <w:u w:val="none"/>
              </w:rPr>
            </w:pPr>
            <w:r>
              <w:rPr>
                <w:rFonts w:hint="eastAsia"/>
                <w:b/>
                <w:color w:val="auto"/>
                <w:sz w:val="28"/>
                <w:szCs w:val="28"/>
                <w:u w:val="none"/>
              </w:rPr>
              <w:t>2.1 地理位置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2"/>
                <w:u w:val="none"/>
                <w:lang w:eastAsia="zh-CN"/>
              </w:rPr>
            </w:pPr>
            <w:r>
              <w:rPr>
                <w:rFonts w:hint="eastAsia" w:ascii="Times New Roman" w:hAnsi="Times New Roman" w:cs="Times New Roman"/>
                <w:color w:val="auto"/>
                <w:sz w:val="24"/>
                <w:szCs w:val="22"/>
                <w:u w:val="none"/>
                <w:lang w:eastAsia="zh-CN"/>
              </w:rPr>
              <w:t>邵阳市位于湘中偏西南，资江上游。东与衡阳市为邻，南与零陵地区和广西壮族自治区桂荒地区接壤，西与怀化地区交界，北与娄底地区毗连。地处北纬25°58'～27°40'，东经109°49'～112°57'之间，总面积20876平方公里，占湖南省总面积的9.8%。其幅员在全省14个地州市中位列第三，居省辖8市之首。邵阳市城区位于市境东北，邵水与资江汇流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2"/>
                <w:u w:val="none"/>
                <w:lang w:eastAsia="zh-CN"/>
              </w:rPr>
            </w:pPr>
            <w:r>
              <w:rPr>
                <w:rFonts w:hint="eastAsia" w:ascii="Times New Roman" w:hAnsi="Times New Roman" w:cs="Times New Roman"/>
                <w:color w:val="auto"/>
                <w:sz w:val="24"/>
                <w:szCs w:val="22"/>
                <w:u w:val="none"/>
                <w:lang w:eastAsia="zh-CN"/>
              </w:rPr>
              <w:t>双清区位于邵阳市区东南部，东邻邵东县、东北部接新邵县、西南与大祥区隔河相望、西北与北塔区隔江相望。双清区是邵阳市区的东大门，基础设施完善，配套功能齐全，区内交通发达。</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2"/>
                <w:highlight w:val="none"/>
                <w:u w:val="none"/>
                <w:lang w:eastAsia="zh-CN"/>
              </w:rPr>
            </w:pPr>
            <w:r>
              <w:rPr>
                <w:rFonts w:hint="eastAsia" w:ascii="Times New Roman" w:hAnsi="Times New Roman" w:cs="Times New Roman"/>
                <w:color w:val="auto"/>
                <w:sz w:val="24"/>
                <w:szCs w:val="22"/>
                <w:highlight w:val="none"/>
                <w:u w:val="none"/>
                <w:lang w:eastAsia="zh-CN"/>
              </w:rPr>
              <w:t>本工程污水处理厂拟建厂址位于筹划建设的邵阳市汽车小镇建设用地的西南侧，</w:t>
            </w:r>
            <w:r>
              <w:rPr>
                <w:rFonts w:hint="eastAsia" w:cs="Times New Roman"/>
                <w:color w:val="auto"/>
                <w:sz w:val="24"/>
                <w:szCs w:val="22"/>
                <w:highlight w:val="none"/>
                <w:u w:val="none"/>
                <w:lang w:eastAsia="zh-CN"/>
              </w:rPr>
              <w:t>地</w:t>
            </w:r>
            <w:r>
              <w:rPr>
                <w:rFonts w:hint="eastAsia" w:ascii="Times New Roman" w:hAnsi="Times New Roman" w:cs="Times New Roman"/>
                <w:color w:val="auto"/>
                <w:sz w:val="24"/>
                <w:szCs w:val="22"/>
                <w:highlight w:val="none"/>
                <w:u w:val="none"/>
                <w:lang w:eastAsia="zh-CN"/>
              </w:rPr>
              <w:t>邵水河西岸，X019县道南侧</w:t>
            </w:r>
            <w:r>
              <w:rPr>
                <w:rFonts w:hint="eastAsia" w:cs="Times New Roman"/>
                <w:color w:val="auto"/>
                <w:sz w:val="24"/>
                <w:szCs w:val="22"/>
                <w:highlight w:val="none"/>
                <w:u w:val="none"/>
                <w:lang w:eastAsia="zh-CN"/>
              </w:rPr>
              <w:t>，理</w:t>
            </w:r>
            <w:r>
              <w:rPr>
                <w:rFonts w:hint="default" w:ascii="Times New Roman" w:hAnsi="Times New Roman" w:cs="Times New Roman"/>
                <w:color w:val="auto"/>
                <w:sz w:val="24"/>
                <w:szCs w:val="22"/>
                <w:highlight w:val="none"/>
                <w:u w:val="none"/>
                <w:lang w:eastAsia="zh-CN"/>
              </w:rPr>
              <w:t>坐标为：E111°54′</w:t>
            </w:r>
            <w:r>
              <w:rPr>
                <w:rFonts w:hint="default" w:ascii="Times New Roman" w:hAnsi="Times New Roman" w:cs="Times New Roman"/>
                <w:color w:val="auto"/>
                <w:sz w:val="24"/>
                <w:szCs w:val="22"/>
                <w:highlight w:val="none"/>
                <w:u w:val="none"/>
                <w:lang w:val="en-US" w:eastAsia="zh-CN"/>
              </w:rPr>
              <w:t>77</w:t>
            </w:r>
            <w:r>
              <w:rPr>
                <w:rFonts w:hint="default" w:ascii="Times New Roman" w:hAnsi="Times New Roman" w:cs="Times New Roman"/>
                <w:color w:val="auto"/>
                <w:sz w:val="24"/>
                <w:szCs w:val="22"/>
                <w:highlight w:val="none"/>
                <w:u w:val="none"/>
                <w:lang w:eastAsia="zh-CN"/>
              </w:rPr>
              <w:t>.</w:t>
            </w:r>
            <w:r>
              <w:rPr>
                <w:rFonts w:hint="default" w:ascii="Times New Roman" w:hAnsi="Times New Roman" w:cs="Times New Roman"/>
                <w:color w:val="auto"/>
                <w:sz w:val="24"/>
                <w:szCs w:val="22"/>
                <w:highlight w:val="none"/>
                <w:u w:val="none"/>
                <w:lang w:val="en-US" w:eastAsia="zh-CN"/>
              </w:rPr>
              <w:t>81</w:t>
            </w:r>
            <w:r>
              <w:rPr>
                <w:rFonts w:hint="default" w:ascii="Times New Roman" w:hAnsi="Times New Roman" w:cs="Times New Roman"/>
                <w:color w:val="auto"/>
                <w:sz w:val="24"/>
                <w:szCs w:val="22"/>
                <w:highlight w:val="none"/>
                <w:u w:val="none"/>
                <w:lang w:eastAsia="zh-CN"/>
              </w:rPr>
              <w:t>"，N27°19′4</w:t>
            </w:r>
            <w:r>
              <w:rPr>
                <w:rFonts w:hint="default" w:ascii="Times New Roman" w:hAnsi="Times New Roman" w:cs="Times New Roman"/>
                <w:color w:val="auto"/>
                <w:sz w:val="24"/>
                <w:szCs w:val="22"/>
                <w:highlight w:val="none"/>
                <w:u w:val="none"/>
                <w:lang w:val="en-US" w:eastAsia="zh-CN"/>
              </w:rPr>
              <w:t>0</w:t>
            </w:r>
            <w:r>
              <w:rPr>
                <w:rFonts w:hint="default" w:ascii="Times New Roman" w:hAnsi="Times New Roman" w:cs="Times New Roman"/>
                <w:color w:val="auto"/>
                <w:sz w:val="24"/>
                <w:szCs w:val="22"/>
                <w:highlight w:val="none"/>
                <w:u w:val="none"/>
                <w:lang w:eastAsia="zh-CN"/>
              </w:rPr>
              <w:t>.</w:t>
            </w:r>
            <w:r>
              <w:rPr>
                <w:rFonts w:hint="default" w:ascii="Times New Roman" w:hAnsi="Times New Roman" w:cs="Times New Roman"/>
                <w:color w:val="auto"/>
                <w:sz w:val="24"/>
                <w:szCs w:val="22"/>
                <w:highlight w:val="none"/>
                <w:u w:val="none"/>
                <w:lang w:val="en-US" w:eastAsia="zh-CN"/>
              </w:rPr>
              <w:t>23</w:t>
            </w:r>
            <w:r>
              <w:rPr>
                <w:rFonts w:hint="default" w:ascii="Times New Roman" w:hAnsi="Times New Roman" w:cs="Times New Roman"/>
                <w:color w:val="auto"/>
                <w:sz w:val="24"/>
                <w:szCs w:val="22"/>
                <w:highlight w:val="none"/>
                <w:u w:val="none"/>
                <w:lang w:eastAsia="zh-CN"/>
              </w:rPr>
              <w:t>"</w:t>
            </w:r>
            <w:r>
              <w:rPr>
                <w:rFonts w:hint="eastAsia" w:cs="Times New Roman"/>
                <w:color w:val="auto"/>
                <w:sz w:val="24"/>
                <w:szCs w:val="22"/>
                <w:highlight w:val="none"/>
                <w:u w:val="none"/>
                <w:lang w:eastAsia="zh-CN"/>
              </w:rPr>
              <w:t>。</w:t>
            </w:r>
            <w:r>
              <w:rPr>
                <w:rFonts w:hint="eastAsia" w:ascii="Times New Roman" w:hAnsi="Times New Roman" w:cs="Times New Roman"/>
                <w:color w:val="auto"/>
                <w:sz w:val="24"/>
                <w:szCs w:val="22"/>
                <w:highlight w:val="none"/>
                <w:u w:val="none"/>
                <w:lang w:eastAsia="zh-CN"/>
              </w:rPr>
              <w:t>厂址目前地势相对于周边地块较低，地势较为平坦，现状地面标高约为221m，目前厂外距厂址约150m处的村道道路标高为223m。施工、生产用电、用水有保障，交通较为便捷。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2"/>
                <w:highlight w:val="none"/>
                <w:u w:val="none"/>
                <w:lang w:val="en-US" w:eastAsia="zh-CN"/>
              </w:rPr>
            </w:pPr>
            <w:r>
              <w:rPr>
                <w:rFonts w:hint="default" w:ascii="Times New Roman" w:hAnsi="Times New Roman" w:cs="Times New Roman"/>
                <w:color w:val="auto"/>
                <w:sz w:val="24"/>
                <w:szCs w:val="22"/>
                <w:highlight w:val="none"/>
                <w:u w:val="none"/>
                <w:lang w:eastAsia="zh-CN"/>
              </w:rPr>
              <w:t>项目配套管网覆盖渡头桥镇及爱莲社区。</w:t>
            </w:r>
            <w:r>
              <w:rPr>
                <w:rFonts w:hint="eastAsia" w:cs="Times New Roman"/>
                <w:color w:val="auto"/>
                <w:sz w:val="24"/>
                <w:szCs w:val="22"/>
                <w:highlight w:val="none"/>
                <w:u w:val="none"/>
                <w:lang w:eastAsia="zh-CN"/>
              </w:rPr>
              <w:t>一期</w:t>
            </w:r>
            <w:r>
              <w:rPr>
                <w:rFonts w:hint="default" w:ascii="Times New Roman" w:hAnsi="Times New Roman" w:cs="Times New Roman"/>
                <w:color w:val="auto"/>
                <w:sz w:val="24"/>
                <w:szCs w:val="22"/>
                <w:highlight w:val="none"/>
                <w:u w:val="none"/>
                <w:lang w:eastAsia="zh-CN"/>
              </w:rPr>
              <w:t>集水范围</w:t>
            </w:r>
            <w:r>
              <w:rPr>
                <w:rFonts w:hint="eastAsia" w:cs="Times New Roman"/>
                <w:color w:val="auto"/>
                <w:sz w:val="24"/>
                <w:szCs w:val="22"/>
                <w:highlight w:val="none"/>
                <w:u w:val="none"/>
                <w:lang w:eastAsia="zh-CN"/>
              </w:rPr>
              <w:t>为</w:t>
            </w:r>
            <w:r>
              <w:rPr>
                <w:rFonts w:hint="default" w:ascii="Times New Roman" w:hAnsi="Times New Roman" w:cs="Times New Roman"/>
                <w:color w:val="auto"/>
                <w:sz w:val="24"/>
                <w:szCs w:val="22"/>
                <w:highlight w:val="none"/>
                <w:u w:val="none"/>
                <w:lang w:eastAsia="zh-CN"/>
              </w:rPr>
              <w:t>渡头桥社区、爱莲街道及周边数座村庄居民聚集区及其污水处理厂周边广大农村片区；纳污范围内共有学校约 5 所（云水中心完小、姚吉中学、好苗苗幼儿园、新渡中心小学、江口学校中英文幼儿园），共有医院2家（云水中心医院、渡头桥镇卫生院）。</w:t>
            </w:r>
            <w:r>
              <w:rPr>
                <w:rFonts w:hint="eastAsia" w:ascii="Times New Roman" w:hAnsi="Times New Roman" w:cs="Times New Roman"/>
                <w:color w:val="auto"/>
                <w:sz w:val="24"/>
                <w:szCs w:val="22"/>
                <w:highlight w:val="none"/>
                <w:u w:val="none"/>
                <w:lang w:eastAsia="zh-CN"/>
              </w:rPr>
              <w:t>项目详细地理位置见附图1</w:t>
            </w:r>
            <w:r>
              <w:rPr>
                <w:rFonts w:hint="eastAsia" w:cs="Times New Roman"/>
                <w:color w:val="auto"/>
                <w:sz w:val="24"/>
                <w:szCs w:val="22"/>
                <w:highlight w:val="none"/>
                <w:u w:val="none"/>
                <w:lang w:eastAsia="zh-CN"/>
              </w:rPr>
              <w:t>，纳污范围详见附图</w:t>
            </w:r>
            <w:r>
              <w:rPr>
                <w:rFonts w:hint="eastAsia" w:cs="Times New Roman"/>
                <w:color w:val="auto"/>
                <w:sz w:val="24"/>
                <w:szCs w:val="22"/>
                <w:highlight w:val="none"/>
                <w:u w:val="none"/>
                <w:lang w:val="en-US" w:eastAsia="zh-CN"/>
              </w:rPr>
              <w:t>6。</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color w:val="auto"/>
                <w:sz w:val="28"/>
                <w:szCs w:val="28"/>
                <w:u w:val="none"/>
              </w:rPr>
            </w:pPr>
            <w:r>
              <w:rPr>
                <w:rFonts w:hint="eastAsia"/>
                <w:b/>
                <w:color w:val="auto"/>
                <w:sz w:val="28"/>
                <w:szCs w:val="28"/>
                <w:u w:val="none"/>
              </w:rPr>
              <w:t>2.2 地形、地貌</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2"/>
                <w:u w:val="none"/>
                <w:lang w:eastAsia="zh-CN"/>
              </w:rPr>
            </w:pPr>
            <w:r>
              <w:rPr>
                <w:rFonts w:hint="eastAsia" w:ascii="Times New Roman" w:hAnsi="Times New Roman" w:cs="Times New Roman"/>
                <w:color w:val="auto"/>
                <w:sz w:val="24"/>
                <w:szCs w:val="22"/>
                <w:u w:val="none"/>
                <w:lang w:eastAsia="zh-CN"/>
              </w:rPr>
              <w:t>邵阳市境内系江南丘陵向云贵高原过渡地带，南岭山脉绵亘南境，雪峰山脉耸峙西、北，衡邵丘陵盆地展布中、东部。整个地势西南高而东北低，顺势向中、东部倾斜，呈东北向敞口的筲箕形。最高峰为城步苗族自治县东部二宝顶，海拔2021米；最低处是邵东县崇山铺乡珍龙村测水岸边，海拔仅125米，地势比降为10.25％。</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2"/>
                <w:u w:val="none"/>
                <w:lang w:eastAsia="zh-CN"/>
              </w:rPr>
            </w:pPr>
            <w:r>
              <w:rPr>
                <w:rFonts w:hint="eastAsia" w:ascii="Times New Roman" w:hAnsi="Times New Roman" w:cs="Times New Roman"/>
                <w:color w:val="auto"/>
                <w:sz w:val="24"/>
                <w:szCs w:val="22"/>
                <w:u w:val="none"/>
                <w:lang w:eastAsia="zh-CN"/>
              </w:rPr>
              <w:t>邵阳市境内主要由沉积岩、沉积变质岩、花岗岩及第四系松散物组成，以碳酸盐类为多。沉积岩及第四系松散物的分布面积为11900km</w:t>
            </w:r>
            <w:r>
              <w:rPr>
                <w:rFonts w:hint="eastAsia" w:ascii="Times New Roman" w:hAnsi="Times New Roman" w:cs="Times New Roman"/>
                <w:color w:val="auto"/>
                <w:sz w:val="24"/>
                <w:szCs w:val="22"/>
                <w:u w:val="none"/>
                <w:vertAlign w:val="superscript"/>
                <w:lang w:eastAsia="zh-CN"/>
              </w:rPr>
              <w:t>2</w:t>
            </w:r>
            <w:r>
              <w:rPr>
                <w:rFonts w:hint="eastAsia" w:ascii="Times New Roman" w:hAnsi="Times New Roman" w:cs="Times New Roman"/>
                <w:color w:val="auto"/>
                <w:sz w:val="24"/>
                <w:szCs w:val="22"/>
                <w:u w:val="none"/>
                <w:lang w:eastAsia="zh-CN"/>
              </w:rPr>
              <w:t>，沉积变质岩为6220km</w:t>
            </w:r>
            <w:r>
              <w:rPr>
                <w:rFonts w:hint="eastAsia" w:ascii="Times New Roman" w:hAnsi="Times New Roman" w:cs="Times New Roman"/>
                <w:color w:val="auto"/>
                <w:sz w:val="24"/>
                <w:szCs w:val="22"/>
                <w:u w:val="none"/>
                <w:vertAlign w:val="superscript"/>
                <w:lang w:eastAsia="zh-CN"/>
              </w:rPr>
              <w:t>2</w:t>
            </w:r>
            <w:r>
              <w:rPr>
                <w:rFonts w:hint="eastAsia" w:ascii="Times New Roman" w:hAnsi="Times New Roman" w:cs="Times New Roman"/>
                <w:color w:val="auto"/>
                <w:sz w:val="24"/>
                <w:szCs w:val="22"/>
                <w:u w:val="none"/>
                <w:lang w:eastAsia="zh-CN"/>
              </w:rPr>
              <w:t>，花岗岩为2600km</w:t>
            </w:r>
            <w:r>
              <w:rPr>
                <w:rFonts w:hint="eastAsia" w:ascii="Times New Roman" w:hAnsi="Times New Roman" w:cs="Times New Roman"/>
                <w:color w:val="auto"/>
                <w:sz w:val="24"/>
                <w:szCs w:val="22"/>
                <w:u w:val="none"/>
                <w:vertAlign w:val="superscript"/>
                <w:lang w:eastAsia="zh-CN"/>
              </w:rPr>
              <w:t>2</w:t>
            </w:r>
            <w:r>
              <w:rPr>
                <w:rFonts w:hint="eastAsia" w:ascii="Times New Roman" w:hAnsi="Times New Roman" w:cs="Times New Roman"/>
                <w:color w:val="auto"/>
                <w:sz w:val="24"/>
                <w:szCs w:val="22"/>
                <w:u w:val="none"/>
                <w:lang w:eastAsia="zh-CN"/>
              </w:rPr>
              <w:t>，分别占全市总面积的</w:t>
            </w:r>
            <w:r>
              <w:rPr>
                <w:rFonts w:hint="eastAsia" w:cs="Times New Roman"/>
                <w:color w:val="auto"/>
                <w:sz w:val="24"/>
                <w:szCs w:val="22"/>
                <w:u w:val="none"/>
                <w:lang w:eastAsia="zh-CN"/>
              </w:rPr>
              <w:t>28.8</w:t>
            </w:r>
            <w:r>
              <w:rPr>
                <w:rFonts w:hint="eastAsia" w:cs="Times New Roman"/>
                <w:color w:val="auto"/>
                <w:sz w:val="24"/>
                <w:szCs w:val="22"/>
                <w:u w:val="none"/>
                <w:lang w:val="en-US" w:eastAsia="zh-CN"/>
              </w:rPr>
              <w:t>%</w:t>
            </w:r>
            <w:r>
              <w:rPr>
                <w:rFonts w:hint="eastAsia" w:ascii="Times New Roman" w:hAnsi="Times New Roman" w:cs="Times New Roman"/>
                <w:color w:val="auto"/>
                <w:sz w:val="24"/>
                <w:szCs w:val="22"/>
                <w:u w:val="none"/>
                <w:lang w:eastAsia="zh-CN"/>
              </w:rPr>
              <w:t>、29.9</w:t>
            </w:r>
            <w:r>
              <w:rPr>
                <w:rFonts w:hint="eastAsia" w:cs="Times New Roman"/>
                <w:color w:val="auto"/>
                <w:sz w:val="24"/>
                <w:szCs w:val="22"/>
                <w:u w:val="none"/>
                <w:lang w:val="en-US" w:eastAsia="zh-CN"/>
              </w:rPr>
              <w:t>%</w:t>
            </w:r>
            <w:r>
              <w:rPr>
                <w:rFonts w:hint="eastAsia" w:ascii="Times New Roman" w:hAnsi="Times New Roman" w:cs="Times New Roman"/>
                <w:color w:val="auto"/>
                <w:sz w:val="24"/>
                <w:szCs w:val="22"/>
                <w:u w:val="none"/>
                <w:lang w:eastAsia="zh-CN"/>
              </w:rPr>
              <w:t>、12.2</w:t>
            </w:r>
            <w:r>
              <w:rPr>
                <w:rFonts w:hint="eastAsia" w:cs="Times New Roman"/>
                <w:color w:val="auto"/>
                <w:sz w:val="24"/>
                <w:szCs w:val="22"/>
                <w:u w:val="none"/>
                <w:lang w:val="en-US" w:eastAsia="zh-CN"/>
              </w:rPr>
              <w:t>%</w:t>
            </w:r>
            <w:r>
              <w:rPr>
                <w:rFonts w:hint="eastAsia" w:ascii="Times New Roman" w:hAnsi="Times New Roman" w:cs="Times New Roman"/>
                <w:color w:val="auto"/>
                <w:sz w:val="24"/>
                <w:szCs w:val="22"/>
                <w:u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2"/>
                <w:u w:val="none"/>
                <w:lang w:eastAsia="zh-CN"/>
              </w:rPr>
            </w:pPr>
            <w:r>
              <w:rPr>
                <w:rFonts w:hint="eastAsia" w:ascii="Times New Roman" w:hAnsi="Times New Roman" w:cs="Times New Roman"/>
                <w:color w:val="auto"/>
                <w:sz w:val="24"/>
                <w:szCs w:val="22"/>
                <w:u w:val="none"/>
                <w:lang w:eastAsia="zh-CN"/>
              </w:rPr>
              <w:t>项目所在地北高南低、东高西低，东面为小山坡，周边地形以山地丘陵为主。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color w:val="auto"/>
                <w:sz w:val="28"/>
                <w:szCs w:val="28"/>
                <w:u w:val="none"/>
              </w:rPr>
            </w:pPr>
            <w:r>
              <w:rPr>
                <w:rFonts w:hint="eastAsia"/>
                <w:b/>
                <w:color w:val="auto"/>
                <w:sz w:val="28"/>
                <w:szCs w:val="28"/>
                <w:u w:val="none"/>
              </w:rPr>
              <w:t>2.3 气候气象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eastAsia="宋体"/>
                <w:color w:val="auto"/>
                <w:sz w:val="24"/>
                <w:szCs w:val="24"/>
                <w:u w:val="none"/>
                <w:lang w:eastAsia="zh-CN"/>
              </w:rPr>
            </w:pPr>
            <w:r>
              <w:rPr>
                <w:rFonts w:ascii="Times New Roman" w:hAnsi="Times New Roman"/>
                <w:color w:val="auto"/>
                <w:sz w:val="24"/>
                <w:szCs w:val="24"/>
              </w:rPr>
              <w:t>邵阳市地处亚热带季风湿润气候区，光照充足，雨量充沛，热量丰富，四季分明，春秋季短，冬夏季长，春季多阴雨水少光照，夏季气温较高，无霜期长等特点。境内年平均气温16.1~17.7</w:t>
            </w:r>
            <w:r>
              <w:rPr>
                <w:rFonts w:hint="eastAsia" w:ascii="宋体" w:hAnsi="宋体" w:cs="宋体"/>
                <w:color w:val="auto"/>
                <w:sz w:val="24"/>
                <w:szCs w:val="24"/>
              </w:rPr>
              <w:t>℃</w:t>
            </w:r>
            <w:r>
              <w:rPr>
                <w:rFonts w:ascii="Times New Roman" w:hAnsi="Times New Roman"/>
                <w:color w:val="auto"/>
                <w:sz w:val="24"/>
                <w:szCs w:val="24"/>
              </w:rPr>
              <w:t>，极端最高气温39.4</w:t>
            </w:r>
            <w:r>
              <w:rPr>
                <w:rFonts w:hint="eastAsia" w:ascii="宋体" w:hAnsi="宋体" w:cs="宋体"/>
                <w:color w:val="auto"/>
                <w:sz w:val="24"/>
                <w:szCs w:val="24"/>
              </w:rPr>
              <w:t>℃</w:t>
            </w:r>
            <w:r>
              <w:rPr>
                <w:rFonts w:ascii="Times New Roman" w:hAnsi="Times New Roman"/>
                <w:color w:val="auto"/>
                <w:sz w:val="24"/>
                <w:szCs w:val="24"/>
              </w:rPr>
              <w:t>，极端最低气温</w:t>
            </w:r>
            <w:r>
              <w:rPr>
                <w:rFonts w:hint="eastAsia"/>
                <w:color w:val="auto"/>
                <w:sz w:val="24"/>
                <w:szCs w:val="24"/>
                <w:lang w:val="en-US" w:eastAsia="zh-CN"/>
              </w:rPr>
              <w:t>-</w:t>
            </w:r>
            <w:r>
              <w:rPr>
                <w:rFonts w:ascii="Times New Roman" w:hAnsi="Times New Roman"/>
                <w:color w:val="auto"/>
                <w:sz w:val="24"/>
                <w:szCs w:val="24"/>
              </w:rPr>
              <w:t>4.8</w:t>
            </w:r>
            <w:r>
              <w:rPr>
                <w:rFonts w:hint="eastAsia" w:ascii="宋体" w:hAnsi="宋体" w:cs="宋体"/>
                <w:color w:val="auto"/>
                <w:sz w:val="24"/>
                <w:szCs w:val="24"/>
              </w:rPr>
              <w:t>℃</w:t>
            </w:r>
            <w:r>
              <w:rPr>
                <w:rFonts w:ascii="Times New Roman" w:hAnsi="Times New Roman"/>
                <w:color w:val="auto"/>
                <w:sz w:val="24"/>
                <w:szCs w:val="24"/>
              </w:rPr>
              <w:t>；无霜期272~304天，日照时数1347.3-1615.3小时，年平均相对湿度77％，年降水量918.9mm；年蒸发量781.4mm；年平均风速1.8m/s。常年主导风为NE风，年出现频率为11%。冬季（1月）以ENE风为主，出现频率11%；春季（4月）以E风为主，出现频率9.3%；夏季（7月）以SE风为主，出现频率10.9%；秋季（10月）以NNE风为主，出现频率9.7%。全年静风频率28.4%，夏季静风频率较低为22.7%，其它季节为30%左右（风向频率玫瑰图详见下图）</w:t>
            </w:r>
            <w:r>
              <w:rPr>
                <w:rFonts w:hint="eastAsia"/>
                <w:color w:val="auto"/>
                <w:sz w:val="24"/>
                <w:szCs w:val="28"/>
                <w:lang w:eastAsia="zh-CN"/>
              </w:rPr>
              <w:t>。</w:t>
            </w:r>
          </w:p>
          <w:p>
            <w:pPr>
              <w:pStyle w:val="48"/>
              <w:ind w:firstLineChars="0"/>
              <w:jc w:val="center"/>
              <w:rPr>
                <w:color w:val="auto"/>
                <w:u w:val="none"/>
              </w:rPr>
            </w:pPr>
            <w:r>
              <w:rPr>
                <w:rFonts w:ascii="Times New Roman" w:hAnsi="Times New Roman"/>
                <w:b/>
                <w:bCs/>
                <w:color w:val="auto"/>
                <w:spacing w:val="-6"/>
                <w:sz w:val="28"/>
                <w:szCs w:val="28"/>
              </w:rPr>
              <w:drawing>
                <wp:anchor distT="0" distB="0" distL="114300" distR="114300" simplePos="0" relativeHeight="251663360" behindDoc="0" locked="0" layoutInCell="1" allowOverlap="1">
                  <wp:simplePos x="0" y="0"/>
                  <wp:positionH relativeFrom="column">
                    <wp:posOffset>658495</wp:posOffset>
                  </wp:positionH>
                  <wp:positionV relativeFrom="paragraph">
                    <wp:posOffset>1905</wp:posOffset>
                  </wp:positionV>
                  <wp:extent cx="4160520" cy="5420360"/>
                  <wp:effectExtent l="9525" t="9525" r="20955" b="18415"/>
                  <wp:wrapNone/>
                  <wp:docPr id="1" name="图片 359" descr="说明: 说明: 风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59" descr="说明: 说明: 风向图"/>
                          <pic:cNvPicPr>
                            <a:picLocks noChangeAspect="1"/>
                          </pic:cNvPicPr>
                        </pic:nvPicPr>
                        <pic:blipFill>
                          <a:blip r:embed="rId11"/>
                          <a:stretch>
                            <a:fillRect/>
                          </a:stretch>
                        </pic:blipFill>
                        <pic:spPr>
                          <a:xfrm>
                            <a:off x="0" y="0"/>
                            <a:ext cx="4160520" cy="5420360"/>
                          </a:xfrm>
                          <a:prstGeom prst="rect">
                            <a:avLst/>
                          </a:prstGeom>
                          <a:noFill/>
                          <a:ln w="6350" cap="flat" cmpd="sng">
                            <a:solidFill>
                              <a:srgbClr val="000000"/>
                            </a:solidFill>
                            <a:prstDash val="solid"/>
                            <a:miter/>
                            <a:headEnd type="none" w="med" len="med"/>
                            <a:tailEnd type="none" w="med" len="med"/>
                          </a:ln>
                        </pic:spPr>
                      </pic:pic>
                    </a:graphicData>
                  </a:graphic>
                </wp:anchor>
              </w:drawing>
            </w:r>
          </w:p>
          <w:p>
            <w:pPr>
              <w:pStyle w:val="48"/>
              <w:ind w:firstLineChars="0"/>
              <w:jc w:val="center"/>
              <w:rPr>
                <w:color w:val="auto"/>
                <w:u w:val="none"/>
              </w:rPr>
            </w:pPr>
          </w:p>
          <w:p>
            <w:pPr>
              <w:pStyle w:val="48"/>
              <w:ind w:firstLineChars="0"/>
              <w:jc w:val="center"/>
              <w:rPr>
                <w:color w:val="auto"/>
                <w:u w:val="none"/>
              </w:rPr>
            </w:pPr>
          </w:p>
          <w:p>
            <w:pPr>
              <w:pStyle w:val="48"/>
              <w:ind w:firstLineChars="0"/>
              <w:jc w:val="center"/>
              <w:rPr>
                <w:color w:val="auto"/>
                <w:u w:val="none"/>
              </w:rPr>
            </w:pPr>
          </w:p>
          <w:p>
            <w:pPr>
              <w:pStyle w:val="48"/>
              <w:ind w:firstLineChars="0"/>
              <w:jc w:val="center"/>
              <w:rPr>
                <w:color w:val="auto"/>
                <w:u w:val="none"/>
              </w:rPr>
            </w:pPr>
          </w:p>
          <w:p>
            <w:pPr>
              <w:pStyle w:val="48"/>
              <w:ind w:firstLineChars="0"/>
              <w:jc w:val="center"/>
              <w:rPr>
                <w:color w:val="auto"/>
                <w:u w:val="none"/>
              </w:rPr>
            </w:pPr>
          </w:p>
          <w:p>
            <w:pPr>
              <w:pStyle w:val="48"/>
              <w:ind w:firstLineChars="0"/>
              <w:jc w:val="center"/>
              <w:rPr>
                <w:color w:val="auto"/>
                <w:u w:val="none"/>
              </w:rPr>
            </w:pPr>
          </w:p>
          <w:p>
            <w:pPr>
              <w:pStyle w:val="48"/>
              <w:ind w:firstLineChars="0"/>
              <w:jc w:val="center"/>
              <w:rPr>
                <w:color w:val="auto"/>
                <w:u w:val="none"/>
              </w:rPr>
            </w:pPr>
          </w:p>
          <w:p>
            <w:pPr>
              <w:pStyle w:val="48"/>
              <w:ind w:firstLineChars="0"/>
              <w:jc w:val="center"/>
              <w:rPr>
                <w:color w:val="auto"/>
                <w:u w:val="none"/>
              </w:rPr>
            </w:pPr>
          </w:p>
          <w:p>
            <w:pPr>
              <w:pStyle w:val="48"/>
              <w:ind w:firstLineChars="0"/>
              <w:jc w:val="center"/>
              <w:rPr>
                <w:color w:val="auto"/>
                <w:u w:val="none"/>
              </w:rPr>
            </w:pPr>
          </w:p>
          <w:p>
            <w:pPr>
              <w:pStyle w:val="48"/>
              <w:ind w:firstLineChars="0"/>
              <w:jc w:val="center"/>
              <w:rPr>
                <w:color w:val="auto"/>
                <w:u w:val="none"/>
              </w:rPr>
            </w:pPr>
          </w:p>
          <w:p>
            <w:pPr>
              <w:pStyle w:val="48"/>
              <w:ind w:firstLineChars="0"/>
              <w:jc w:val="center"/>
              <w:rPr>
                <w:color w:val="auto"/>
                <w:u w:val="none"/>
              </w:rPr>
            </w:pPr>
          </w:p>
          <w:p>
            <w:pPr>
              <w:pStyle w:val="48"/>
              <w:ind w:firstLineChars="0"/>
              <w:jc w:val="center"/>
              <w:rPr>
                <w:color w:val="auto"/>
                <w:u w:val="none"/>
              </w:rPr>
            </w:pPr>
          </w:p>
          <w:p>
            <w:pPr>
              <w:pStyle w:val="48"/>
              <w:ind w:firstLineChars="0"/>
              <w:jc w:val="center"/>
              <w:rPr>
                <w:color w:val="auto"/>
                <w:u w:val="none"/>
              </w:rPr>
            </w:pPr>
          </w:p>
          <w:p>
            <w:pPr>
              <w:pStyle w:val="48"/>
              <w:ind w:firstLineChars="0"/>
              <w:jc w:val="center"/>
              <w:rPr>
                <w:color w:val="auto"/>
                <w:u w:val="none"/>
              </w:rPr>
            </w:pPr>
          </w:p>
          <w:p>
            <w:pPr>
              <w:pStyle w:val="48"/>
              <w:ind w:firstLineChars="0"/>
              <w:jc w:val="center"/>
              <w:rPr>
                <w:color w:val="auto"/>
                <w:u w:val="none"/>
              </w:rPr>
            </w:pPr>
          </w:p>
          <w:p>
            <w:pPr>
              <w:pStyle w:val="48"/>
              <w:ind w:firstLineChars="0"/>
              <w:jc w:val="center"/>
              <w:rPr>
                <w:color w:val="auto"/>
                <w:u w:val="none"/>
              </w:rPr>
            </w:pPr>
          </w:p>
          <w:p>
            <w:pPr>
              <w:pStyle w:val="48"/>
              <w:ind w:firstLineChars="0"/>
              <w:jc w:val="center"/>
              <w:rPr>
                <w:color w:val="auto"/>
                <w:u w:val="none"/>
              </w:rPr>
            </w:pPr>
          </w:p>
          <w:p>
            <w:pPr>
              <w:pStyle w:val="46"/>
              <w:spacing w:before="0" w:after="0" w:line="460" w:lineRule="exact"/>
              <w:rPr>
                <w:rFonts w:eastAsia="宋体"/>
                <w:color w:val="auto"/>
                <w:kern w:val="0"/>
                <w:sz w:val="21"/>
                <w:szCs w:val="21"/>
                <w:u w:val="none"/>
              </w:rPr>
            </w:pPr>
          </w:p>
          <w:p>
            <w:pPr>
              <w:pStyle w:val="46"/>
              <w:spacing w:before="0" w:after="0" w:line="460" w:lineRule="exact"/>
              <w:rPr>
                <w:color w:val="auto"/>
                <w:u w:val="none"/>
              </w:rPr>
            </w:pPr>
            <w:r>
              <w:rPr>
                <w:rFonts w:eastAsia="宋体"/>
                <w:color w:val="auto"/>
                <w:kern w:val="0"/>
                <w:sz w:val="21"/>
                <w:szCs w:val="21"/>
                <w:u w:val="none"/>
              </w:rPr>
              <w:t>图2-1</w:t>
            </w:r>
            <w:r>
              <w:rPr>
                <w:rFonts w:hint="eastAsia" w:eastAsia="宋体"/>
                <w:color w:val="auto"/>
                <w:kern w:val="0"/>
                <w:sz w:val="21"/>
                <w:szCs w:val="21"/>
                <w:u w:val="none"/>
              </w:rPr>
              <w:t xml:space="preserve">  </w:t>
            </w:r>
            <w:r>
              <w:rPr>
                <w:rFonts w:eastAsia="宋体"/>
                <w:color w:val="auto"/>
                <w:sz w:val="21"/>
                <w:szCs w:val="21"/>
                <w:u w:val="none"/>
              </w:rPr>
              <w:t>风向频率玫瑰图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color w:val="auto"/>
                <w:sz w:val="28"/>
                <w:szCs w:val="28"/>
                <w:u w:val="none"/>
              </w:rPr>
            </w:pPr>
            <w:r>
              <w:rPr>
                <w:rFonts w:hint="eastAsia"/>
                <w:b/>
                <w:color w:val="auto"/>
                <w:sz w:val="28"/>
                <w:szCs w:val="28"/>
                <w:u w:val="none"/>
              </w:rPr>
              <w:t>2.4 水文特征</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2"/>
                <w:u w:val="none"/>
                <w:lang w:eastAsia="zh-CN"/>
              </w:rPr>
            </w:pPr>
            <w:r>
              <w:rPr>
                <w:rFonts w:hint="eastAsia" w:ascii="Times New Roman" w:hAnsi="Times New Roman" w:cs="Times New Roman"/>
                <w:color w:val="auto"/>
                <w:sz w:val="24"/>
                <w:szCs w:val="22"/>
                <w:u w:val="none"/>
                <w:lang w:eastAsia="zh-CN"/>
              </w:rPr>
              <w:t>（1）地表水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2"/>
                <w:u w:val="none"/>
                <w:lang w:eastAsia="zh-CN"/>
              </w:rPr>
            </w:pPr>
            <w:r>
              <w:rPr>
                <w:rFonts w:hint="eastAsia" w:ascii="Times New Roman" w:hAnsi="Times New Roman" w:cs="Times New Roman"/>
                <w:color w:val="auto"/>
                <w:sz w:val="24"/>
                <w:szCs w:val="22"/>
                <w:u w:val="none"/>
                <w:lang w:eastAsia="zh-CN"/>
              </w:rPr>
              <w:t>邵阳市境内溪河密布，有5公里以上的大小河流595条，分属资江、沅江、湘江与西江四大水系。资江干流两源逶迤，支派纵横，自西南向东北呈“Y”字型流贯全境，流域面积遍及市辖9县3区。巫水源出城步，横贯绥宁，西入沅江，为境内西南部的主要水道。</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2"/>
                <w:u w:val="none"/>
                <w:lang w:eastAsia="zh-CN"/>
              </w:rPr>
            </w:pPr>
            <w:r>
              <w:rPr>
                <w:rFonts w:hint="eastAsia" w:ascii="Times New Roman" w:hAnsi="Times New Roman" w:cs="Times New Roman"/>
                <w:color w:val="auto"/>
                <w:sz w:val="24"/>
                <w:szCs w:val="22"/>
                <w:u w:val="none"/>
                <w:lang w:eastAsia="zh-CN"/>
              </w:rPr>
              <w:t>资江是湖南四大河流之一。资水流域位于湖南省中部，自邵阳市双江口以上分为两支，西源为赧水，南源为夫夷水。资水全长653公里，流域面积28038平方公里，干流自双江口起算全长464公里，平均坡降千分之0.44。邵水在邵阳市区沿江桥从右岸汇入资江，使该段资江流量大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FF0000"/>
                <w:sz w:val="24"/>
                <w:highlight w:val="none"/>
                <w:u w:val="wave"/>
                <w:lang w:eastAsia="zh-CN"/>
              </w:rPr>
            </w:pPr>
            <w:r>
              <w:rPr>
                <w:rFonts w:hint="eastAsia" w:ascii="宋体" w:hAnsi="宋体" w:cs="宋体"/>
                <w:color w:val="auto"/>
                <w:sz w:val="24"/>
                <w:u w:val="none"/>
              </w:rPr>
              <w:t>本项目</w:t>
            </w:r>
            <w:r>
              <w:rPr>
                <w:rFonts w:hint="eastAsia" w:ascii="宋体" w:hAnsi="宋体" w:cs="宋体"/>
                <w:color w:val="auto"/>
                <w:sz w:val="24"/>
                <w:u w:val="none"/>
                <w:lang w:eastAsia="zh-CN"/>
              </w:rPr>
              <w:t>纳污水体为邵水</w:t>
            </w:r>
            <w:r>
              <w:rPr>
                <w:rFonts w:hint="eastAsia" w:ascii="宋体" w:hAnsi="宋体" w:cs="宋体"/>
                <w:color w:val="auto"/>
                <w:sz w:val="24"/>
                <w:u w:val="none"/>
              </w:rPr>
              <w:t>。邵水多年平均径流量为</w:t>
            </w:r>
            <w:r>
              <w:rPr>
                <w:color w:val="auto"/>
                <w:sz w:val="24"/>
                <w:u w:val="none"/>
              </w:rPr>
              <w:t>11.479</w:t>
            </w:r>
            <w:r>
              <w:rPr>
                <w:rFonts w:hint="eastAsia" w:ascii="宋体" w:hAnsi="宋体" w:cs="宋体"/>
                <w:color w:val="auto"/>
                <w:sz w:val="24"/>
                <w:u w:val="none"/>
              </w:rPr>
              <w:t>亿</w:t>
            </w:r>
            <w:r>
              <w:rPr>
                <w:color w:val="auto"/>
                <w:sz w:val="24"/>
                <w:u w:val="none"/>
              </w:rPr>
              <w:t>m</w:t>
            </w:r>
            <w:r>
              <w:rPr>
                <w:color w:val="auto"/>
                <w:sz w:val="24"/>
                <w:u w:val="none"/>
                <w:vertAlign w:val="superscript"/>
              </w:rPr>
              <w:t>3</w:t>
            </w:r>
            <w:r>
              <w:rPr>
                <w:rFonts w:hint="eastAsia" w:ascii="宋体" w:hAnsi="宋体" w:cs="宋体"/>
                <w:color w:val="auto"/>
                <w:sz w:val="24"/>
                <w:u w:val="none"/>
              </w:rPr>
              <w:t>，年平均流量</w:t>
            </w:r>
            <w:r>
              <w:rPr>
                <w:color w:val="auto"/>
                <w:sz w:val="24"/>
                <w:u w:val="none"/>
              </w:rPr>
              <w:t>36.4m</w:t>
            </w:r>
            <w:r>
              <w:rPr>
                <w:color w:val="auto"/>
                <w:sz w:val="24"/>
                <w:u w:val="none"/>
                <w:vertAlign w:val="superscript"/>
              </w:rPr>
              <w:t>3</w:t>
            </w:r>
            <w:r>
              <w:rPr>
                <w:color w:val="auto"/>
                <w:sz w:val="24"/>
                <w:u w:val="none"/>
              </w:rPr>
              <w:t>/s</w:t>
            </w:r>
            <w:r>
              <w:rPr>
                <w:rFonts w:hint="eastAsia" w:ascii="宋体" w:hAnsi="宋体" w:cs="宋体"/>
                <w:color w:val="auto"/>
                <w:sz w:val="24"/>
                <w:u w:val="none"/>
              </w:rPr>
              <w:t>，最大洪峰流量</w:t>
            </w:r>
            <w:r>
              <w:rPr>
                <w:color w:val="auto"/>
                <w:sz w:val="24"/>
                <w:u w:val="none"/>
              </w:rPr>
              <w:t>1350m</w:t>
            </w:r>
            <w:r>
              <w:rPr>
                <w:color w:val="auto"/>
                <w:sz w:val="24"/>
                <w:u w:val="none"/>
                <w:vertAlign w:val="superscript"/>
              </w:rPr>
              <w:t>3</w:t>
            </w:r>
            <w:r>
              <w:rPr>
                <w:color w:val="auto"/>
                <w:sz w:val="24"/>
                <w:u w:val="none"/>
              </w:rPr>
              <w:t>/s</w:t>
            </w:r>
            <w:r>
              <w:rPr>
                <w:rFonts w:hint="eastAsia" w:ascii="宋体" w:hAnsi="宋体" w:cs="宋体"/>
                <w:color w:val="auto"/>
                <w:sz w:val="24"/>
                <w:u w:val="none"/>
              </w:rPr>
              <w:t>，枯水期平均流量</w:t>
            </w:r>
            <w:r>
              <w:rPr>
                <w:color w:val="auto"/>
                <w:sz w:val="24"/>
                <w:u w:val="none"/>
              </w:rPr>
              <w:t>5.5m</w:t>
            </w:r>
            <w:r>
              <w:rPr>
                <w:color w:val="auto"/>
                <w:sz w:val="24"/>
                <w:u w:val="none"/>
                <w:vertAlign w:val="superscript"/>
              </w:rPr>
              <w:t>3</w:t>
            </w:r>
            <w:r>
              <w:rPr>
                <w:color w:val="auto"/>
                <w:sz w:val="24"/>
                <w:u w:val="none"/>
              </w:rPr>
              <w:t>/s</w:t>
            </w:r>
            <w:r>
              <w:rPr>
                <w:rFonts w:hint="eastAsia" w:ascii="宋体" w:hAnsi="宋体" w:cs="宋体"/>
                <w:color w:val="auto"/>
                <w:sz w:val="24"/>
                <w:u w:val="none"/>
              </w:rPr>
              <w:t>，平均流速</w:t>
            </w:r>
            <w:r>
              <w:rPr>
                <w:color w:val="auto"/>
                <w:sz w:val="24"/>
                <w:u w:val="none"/>
              </w:rPr>
              <w:t>0.15m/s</w:t>
            </w:r>
            <w:r>
              <w:rPr>
                <w:rFonts w:hint="eastAsia" w:ascii="宋体" w:hAnsi="宋体" w:cs="宋体"/>
                <w:color w:val="auto"/>
                <w:sz w:val="24"/>
                <w:u w:val="none"/>
              </w:rPr>
              <w:t>。邵水河床坡降</w:t>
            </w:r>
            <w:r>
              <w:rPr>
                <w:color w:val="auto"/>
                <w:sz w:val="24"/>
                <w:u w:val="none"/>
              </w:rPr>
              <w:t>0.79‰</w:t>
            </w:r>
            <w:r>
              <w:rPr>
                <w:rFonts w:hint="eastAsia" w:ascii="宋体" w:hAnsi="宋体" w:cs="宋体"/>
                <w:color w:val="auto"/>
                <w:sz w:val="24"/>
                <w:u w:val="none"/>
              </w:rPr>
              <w:t>，中下游干流河床宽</w:t>
            </w:r>
            <w:r>
              <w:rPr>
                <w:color w:val="auto"/>
                <w:sz w:val="24"/>
                <w:u w:val="none"/>
              </w:rPr>
              <w:t>80</w:t>
            </w:r>
            <w:r>
              <w:rPr>
                <w:rFonts w:hint="eastAsia" w:ascii="宋体" w:hAnsi="宋体" w:cs="宋体"/>
                <w:color w:val="auto"/>
                <w:sz w:val="24"/>
                <w:u w:val="none"/>
              </w:rPr>
              <w:t>～</w:t>
            </w:r>
            <w:r>
              <w:rPr>
                <w:color w:val="auto"/>
                <w:sz w:val="24"/>
                <w:u w:val="none"/>
              </w:rPr>
              <w:t>150m</w:t>
            </w:r>
            <w:r>
              <w:rPr>
                <w:rFonts w:hint="eastAsia" w:ascii="宋体" w:hAnsi="宋体" w:cs="宋体"/>
                <w:color w:val="auto"/>
                <w:sz w:val="24"/>
                <w:u w:val="none"/>
              </w:rPr>
              <w:t>，平均水深</w:t>
            </w:r>
            <w:r>
              <w:rPr>
                <w:color w:val="auto"/>
                <w:sz w:val="24"/>
                <w:u w:val="none"/>
              </w:rPr>
              <w:t>3.5m</w:t>
            </w:r>
            <w:r>
              <w:rPr>
                <w:rFonts w:hint="eastAsia" w:ascii="宋体" w:hAnsi="宋体" w:cs="宋体"/>
                <w:color w:val="auto"/>
                <w:sz w:val="24"/>
                <w:u w:val="none"/>
              </w:rPr>
              <w:t>。邵水有大小支流近</w:t>
            </w:r>
            <w:r>
              <w:rPr>
                <w:color w:val="auto"/>
                <w:sz w:val="24"/>
                <w:u w:val="none"/>
              </w:rPr>
              <w:t>100</w:t>
            </w:r>
            <w:r>
              <w:rPr>
                <w:rFonts w:hint="eastAsia" w:ascii="宋体" w:hAnsi="宋体" w:cs="宋体"/>
                <w:color w:val="auto"/>
                <w:sz w:val="24"/>
                <w:u w:val="none"/>
              </w:rPr>
              <w:t>条，其中邵东县境内有支流</w:t>
            </w:r>
            <w:r>
              <w:rPr>
                <w:color w:val="auto"/>
                <w:sz w:val="24"/>
                <w:u w:val="none"/>
              </w:rPr>
              <w:t>81</w:t>
            </w:r>
            <w:r>
              <w:rPr>
                <w:rFonts w:hint="eastAsia" w:ascii="宋体" w:hAnsi="宋体" w:cs="宋体"/>
                <w:color w:val="auto"/>
                <w:sz w:val="24"/>
                <w:u w:val="none"/>
              </w:rPr>
              <w:t>条。邵水最终汇入资江。邵阳水文水资源勘测局提供的资料显示，项目地位于邵水</w:t>
            </w:r>
            <w:r>
              <w:rPr>
                <w:color w:val="auto"/>
                <w:sz w:val="24"/>
                <w:u w:val="none"/>
              </w:rPr>
              <w:t>10</w:t>
            </w:r>
            <w:r>
              <w:rPr>
                <w:rFonts w:hint="default" w:ascii="Times New Roman" w:hAnsi="Times New Roman" w:cs="Times New Roman"/>
                <w:color w:val="auto"/>
                <w:sz w:val="24"/>
                <w:u w:val="none"/>
              </w:rPr>
              <w:t>0年一遇洪水位下，下游50年一遇洪水位高程为222.01m，100年一遇洪水位高程为222.85 m，上游50年一遇洪水位高程为229.33 m，100年一遇洪水位高程为229.84 m。</w:t>
            </w:r>
            <w:r>
              <w:rPr>
                <w:rFonts w:hint="default" w:ascii="Times New Roman" w:hAnsi="Times New Roman" w:cs="Times New Roman"/>
                <w:color w:val="FF0000"/>
                <w:sz w:val="24"/>
                <w:highlight w:val="none"/>
                <w:u w:val="wave"/>
              </w:rPr>
              <w:t>本项目西面邵水评价河段执行《地表水环境质量标准》（GB3838-2002）中的Ⅲ类标准，其</w:t>
            </w:r>
            <w:r>
              <w:rPr>
                <w:rFonts w:hint="eastAsia" w:ascii="Times New Roman" w:hAnsi="Times New Roman" w:cs="Times New Roman"/>
                <w:color w:val="FF0000"/>
                <w:sz w:val="24"/>
                <w:highlight w:val="none"/>
                <w:u w:val="wave"/>
                <w:lang w:eastAsia="zh-CN"/>
              </w:rPr>
              <w:t>上游</w:t>
            </w:r>
            <w:r>
              <w:rPr>
                <w:rFonts w:hint="eastAsia" w:cs="Times New Roman"/>
                <w:color w:val="FF0000"/>
                <w:sz w:val="24"/>
                <w:highlight w:val="none"/>
                <w:u w:val="wave"/>
                <w:lang w:val="en-US" w:eastAsia="zh-CN"/>
              </w:rPr>
              <w:t>1.0</w:t>
            </w:r>
            <w:r>
              <w:rPr>
                <w:rFonts w:hint="eastAsia" w:ascii="Times New Roman" w:hAnsi="Times New Roman" w:cs="Times New Roman"/>
                <w:color w:val="FF0000"/>
                <w:sz w:val="24"/>
                <w:highlight w:val="none"/>
                <w:u w:val="wave"/>
                <w:lang w:val="en-US" w:eastAsia="zh-CN"/>
              </w:rPr>
              <w:t>km处为渡头桥镇</w:t>
            </w:r>
            <w:r>
              <w:rPr>
                <w:rFonts w:hint="eastAsia" w:cs="Times New Roman"/>
                <w:color w:val="FF0000"/>
                <w:sz w:val="24"/>
                <w:highlight w:val="none"/>
                <w:u w:val="wave"/>
                <w:lang w:val="en-US" w:eastAsia="zh-CN"/>
              </w:rPr>
              <w:t>惠民</w:t>
            </w:r>
            <w:r>
              <w:rPr>
                <w:rFonts w:hint="eastAsia" w:ascii="Times New Roman" w:hAnsi="Times New Roman" w:cs="Times New Roman"/>
                <w:color w:val="FF0000"/>
                <w:sz w:val="24"/>
                <w:highlight w:val="none"/>
                <w:u w:val="wave"/>
                <w:lang w:val="en-US" w:eastAsia="zh-CN"/>
              </w:rPr>
              <w:t>水厂取水口，下游1.</w:t>
            </w:r>
            <w:r>
              <w:rPr>
                <w:rFonts w:hint="eastAsia" w:cs="Times New Roman"/>
                <w:color w:val="FF0000"/>
                <w:sz w:val="24"/>
                <w:highlight w:val="none"/>
                <w:u w:val="wave"/>
                <w:lang w:val="en-US" w:eastAsia="zh-CN"/>
              </w:rPr>
              <w:t>65</w:t>
            </w:r>
            <w:r>
              <w:rPr>
                <w:rFonts w:hint="eastAsia" w:ascii="Times New Roman" w:hAnsi="Times New Roman" w:cs="Times New Roman"/>
                <w:color w:val="FF0000"/>
                <w:sz w:val="24"/>
                <w:highlight w:val="none"/>
                <w:u w:val="wave"/>
                <w:lang w:val="en-US" w:eastAsia="zh-CN"/>
              </w:rPr>
              <w:t>km为云水电站</w:t>
            </w:r>
            <w:r>
              <w:rPr>
                <w:rFonts w:hint="eastAsia" w:cs="Times New Roman"/>
                <w:color w:val="FF0000"/>
                <w:sz w:val="24"/>
                <w:highlight w:val="none"/>
                <w:u w:val="wave"/>
                <w:lang w:val="en-US" w:eastAsia="zh-CN"/>
              </w:rPr>
              <w:t>库区</w:t>
            </w:r>
            <w:r>
              <w:rPr>
                <w:rFonts w:hint="eastAsia" w:ascii="Times New Roman" w:hAnsi="Times New Roman" w:cs="Times New Roman"/>
                <w:color w:val="FF0000"/>
                <w:sz w:val="24"/>
                <w:highlight w:val="none"/>
                <w:u w:val="wave"/>
                <w:lang w:val="en-US" w:eastAsia="zh-CN"/>
              </w:rPr>
              <w:t>，</w:t>
            </w:r>
            <w:r>
              <w:rPr>
                <w:rFonts w:hint="default" w:ascii="Times New Roman" w:hAnsi="Times New Roman" w:cs="Times New Roman"/>
                <w:color w:val="FF0000"/>
                <w:sz w:val="24"/>
                <w:highlight w:val="none"/>
                <w:u w:val="wave"/>
              </w:rPr>
              <w:t>下游8km处为工业街取水口</w:t>
            </w:r>
            <w:r>
              <w:rPr>
                <w:rFonts w:hint="eastAsia" w:cs="Times New Roman"/>
                <w:color w:val="FF0000"/>
                <w:sz w:val="24"/>
                <w:highlight w:val="none"/>
                <w:u w:val="wave"/>
                <w:lang w:eastAsia="zh-CN"/>
              </w:rPr>
              <w:t>饮用水源</w:t>
            </w:r>
            <w:r>
              <w:rPr>
                <w:rFonts w:hint="default" w:ascii="Times New Roman" w:hAnsi="Times New Roman" w:cs="Times New Roman"/>
                <w:color w:val="FF0000"/>
                <w:sz w:val="24"/>
                <w:highlight w:val="none"/>
                <w:u w:val="wave"/>
              </w:rPr>
              <w:t>二级保护区</w:t>
            </w:r>
            <w:r>
              <w:rPr>
                <w:rFonts w:hint="eastAsia" w:cs="Times New Roman"/>
                <w:color w:val="FF0000"/>
                <w:sz w:val="24"/>
                <w:highlight w:val="none"/>
                <w:u w:val="wav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FF0000"/>
                <w:sz w:val="24"/>
                <w:highlight w:val="none"/>
                <w:u w:val="wave"/>
                <w:lang w:val="en-US" w:eastAsia="zh-CN"/>
              </w:rPr>
            </w:pPr>
            <w:r>
              <w:rPr>
                <w:rFonts w:hint="eastAsia" w:cs="Times New Roman"/>
                <w:color w:val="FF0000"/>
                <w:sz w:val="24"/>
                <w:highlight w:val="none"/>
                <w:u w:val="wave"/>
                <w:lang w:val="en-US" w:eastAsia="zh-CN"/>
              </w:rPr>
              <w:t>根据调查可知，</w:t>
            </w:r>
            <w:r>
              <w:rPr>
                <w:rFonts w:hint="default" w:ascii="Times New Roman" w:hAnsi="Times New Roman" w:cs="Times New Roman"/>
                <w:color w:val="FF0000"/>
                <w:sz w:val="24"/>
                <w:highlight w:val="none"/>
                <w:u w:val="wave"/>
                <w:lang w:val="en-US" w:eastAsia="zh-CN"/>
              </w:rPr>
              <w:t>惠民水厂取水水源为邵水，属于河流水源</w:t>
            </w:r>
            <w:r>
              <w:rPr>
                <w:rFonts w:hint="eastAsia" w:ascii="Times New Roman" w:hAnsi="Times New Roman" w:cs="Times New Roman"/>
                <w:color w:val="FF0000"/>
                <w:sz w:val="24"/>
                <w:highlight w:val="none"/>
                <w:u w:val="wave"/>
                <w:lang w:val="en-US" w:eastAsia="zh-CN"/>
              </w:rPr>
              <w:t>，</w:t>
            </w:r>
            <w:r>
              <w:rPr>
                <w:rFonts w:hint="default" w:ascii="Times New Roman" w:hAnsi="Times New Roman" w:cs="Times New Roman"/>
                <w:color w:val="FF0000"/>
                <w:sz w:val="24"/>
                <w:highlight w:val="none"/>
                <w:u w:val="wave"/>
                <w:lang w:val="en-US" w:eastAsia="zh-CN"/>
              </w:rPr>
              <w:t>供水范围涉及渡头桥镇镇政府和渡头桥社区等，供水人口8000人</w:t>
            </w:r>
            <w:r>
              <w:rPr>
                <w:rFonts w:hint="eastAsia" w:ascii="Times New Roman" w:hAnsi="Times New Roman" w:cs="Times New Roman"/>
                <w:color w:val="FF0000"/>
                <w:sz w:val="24"/>
                <w:highlight w:val="none"/>
                <w:u w:val="wave"/>
                <w:lang w:val="en-US" w:eastAsia="zh-CN"/>
              </w:rPr>
              <w:t>，</w:t>
            </w:r>
            <w:r>
              <w:rPr>
                <w:rFonts w:hint="default" w:ascii="Times New Roman" w:hAnsi="Times New Roman" w:cs="Times New Roman"/>
                <w:color w:val="FF0000"/>
                <w:sz w:val="24"/>
                <w:highlight w:val="none"/>
                <w:u w:val="wave"/>
                <w:lang w:val="en-US" w:eastAsia="zh-CN"/>
              </w:rPr>
              <w:t>取水口在邵水河洲心打井，将水利用提升泵抽至惠民水厂。设计供水规模为600m</w:t>
            </w:r>
            <w:r>
              <w:rPr>
                <w:rFonts w:hint="default" w:ascii="Times New Roman" w:hAnsi="Times New Roman" w:cs="Times New Roman"/>
                <w:color w:val="FF0000"/>
                <w:sz w:val="24"/>
                <w:highlight w:val="none"/>
                <w:u w:val="wave"/>
                <w:vertAlign w:val="superscript"/>
                <w:lang w:val="en-US" w:eastAsia="zh-CN"/>
              </w:rPr>
              <w:t>3</w:t>
            </w:r>
            <w:r>
              <w:rPr>
                <w:rFonts w:hint="default" w:ascii="Times New Roman" w:hAnsi="Times New Roman" w:cs="Times New Roman"/>
                <w:color w:val="FF0000"/>
                <w:sz w:val="24"/>
                <w:highlight w:val="none"/>
                <w:u w:val="wave"/>
                <w:lang w:val="en-US" w:eastAsia="zh-CN"/>
              </w:rPr>
              <w:t>/d，日供水时间为24h。水厂净水工艺主要为沉淀、过滤、消毒和深度处理（利用膜处理）。</w:t>
            </w:r>
            <w:r>
              <w:rPr>
                <w:rFonts w:hint="eastAsia" w:ascii="Times New Roman" w:hAnsi="Times New Roman" w:cs="Times New Roman"/>
                <w:color w:val="FF0000"/>
                <w:sz w:val="24"/>
                <w:highlight w:val="none"/>
                <w:u w:val="wave"/>
                <w:lang w:val="en-US" w:eastAsia="zh-CN"/>
              </w:rPr>
              <w:t>根据《邵阳市人民政府关于公布邵阳市乡镇级千人以上集中式饮用水水源地保护区划定方案的通知》邵市政函[2020]70号可知，</w:t>
            </w:r>
            <w:r>
              <w:rPr>
                <w:rFonts w:hint="eastAsia" w:cs="Times New Roman"/>
                <w:color w:val="FF0000"/>
                <w:sz w:val="24"/>
                <w:highlight w:val="none"/>
                <w:u w:val="wave"/>
                <w:lang w:val="en-US" w:eastAsia="zh-CN"/>
              </w:rPr>
              <w:t>惠民</w:t>
            </w:r>
            <w:r>
              <w:rPr>
                <w:rFonts w:hint="eastAsia" w:ascii="Times New Roman" w:hAnsi="Times New Roman" w:cs="Times New Roman"/>
                <w:color w:val="FF0000"/>
                <w:sz w:val="24"/>
                <w:highlight w:val="none"/>
                <w:u w:val="wave"/>
                <w:lang w:val="en-US" w:eastAsia="zh-CN"/>
              </w:rPr>
              <w:t>水厂水源地（邵水）属于邵阳市乡镇级千人以上集中式饮用水源地保护区，其一级保护区范围划定为邵水X019渡头桥处至蔡家洲周尾的河道水域、二级保护区范围划定为一级保护区上边界上溯670m，下边界下延70m的河道水域。</w:t>
            </w:r>
            <w:r>
              <w:rPr>
                <w:rFonts w:hint="default" w:ascii="Times New Roman" w:hAnsi="Times New Roman" w:cs="Times New Roman"/>
                <w:color w:val="FF0000"/>
                <w:sz w:val="24"/>
                <w:highlight w:val="none"/>
                <w:u w:val="wave"/>
                <w:lang w:val="en-US" w:eastAsia="zh-CN"/>
              </w:rPr>
              <w:t>项目拟设排污口</w:t>
            </w:r>
            <w:r>
              <w:rPr>
                <w:rFonts w:hint="eastAsia" w:ascii="Times New Roman" w:hAnsi="Times New Roman" w:cs="Times New Roman"/>
                <w:color w:val="FF0000"/>
                <w:sz w:val="24"/>
                <w:highlight w:val="none"/>
                <w:u w:val="wave"/>
                <w:lang w:val="en-US" w:eastAsia="zh-CN"/>
              </w:rPr>
              <w:t>位于其取水口下游，距离其划分的饮用水源保护区约</w:t>
            </w:r>
            <w:r>
              <w:rPr>
                <w:rFonts w:hint="default" w:ascii="Times New Roman" w:hAnsi="Times New Roman" w:cs="Times New Roman"/>
                <w:color w:val="FF0000"/>
                <w:sz w:val="24"/>
                <w:highlight w:val="none"/>
                <w:u w:val="wave"/>
                <w:lang w:val="en-US" w:eastAsia="zh-CN"/>
              </w:rPr>
              <w:t>1.</w:t>
            </w:r>
            <w:r>
              <w:rPr>
                <w:rFonts w:hint="eastAsia" w:ascii="Times New Roman" w:hAnsi="Times New Roman" w:cs="Times New Roman"/>
                <w:color w:val="FF0000"/>
                <w:sz w:val="24"/>
                <w:highlight w:val="none"/>
                <w:u w:val="wave"/>
                <w:lang w:val="en-US" w:eastAsia="zh-CN"/>
              </w:rPr>
              <w:t>0</w:t>
            </w:r>
            <w:r>
              <w:rPr>
                <w:rFonts w:hint="default" w:ascii="Times New Roman" w:hAnsi="Times New Roman" w:cs="Times New Roman"/>
                <w:color w:val="FF0000"/>
                <w:sz w:val="24"/>
                <w:highlight w:val="none"/>
                <w:u w:val="wave"/>
                <w:lang w:val="en-US" w:eastAsia="zh-CN"/>
              </w:rPr>
              <w:t>km，不在其划定饮用水源保护区范围内。</w:t>
            </w:r>
            <w:r>
              <w:rPr>
                <w:rFonts w:hint="eastAsia" w:ascii="Times New Roman" w:hAnsi="Times New Roman" w:cs="Times New Roman"/>
                <w:color w:val="FF0000"/>
                <w:sz w:val="24"/>
                <w:highlight w:val="none"/>
                <w:u w:val="wave"/>
                <w:lang w:val="en-US" w:eastAsia="zh-CN"/>
              </w:rPr>
              <w:t>饮用水源划分区域详见附图7。</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default" w:ascii="Times New Roman" w:hAnsi="Times New Roman" w:eastAsia="宋体" w:cs="Times New Roman"/>
                <w:color w:val="auto"/>
                <w:sz w:val="24"/>
                <w:u w:val="single"/>
                <w:lang w:eastAsia="zh-CN"/>
              </w:rPr>
            </w:pPr>
            <w:r>
              <w:rPr>
                <w:rFonts w:hint="default" w:ascii="Times New Roman" w:hAnsi="Times New Roman" w:cs="Times New Roman"/>
                <w:color w:val="FF0000"/>
                <w:sz w:val="24"/>
                <w:highlight w:val="none"/>
                <w:u w:val="wave"/>
                <w:lang w:val="en-US" w:eastAsia="zh-CN"/>
              </w:rPr>
              <w:t>云水水电站位于云水铺乡云水村，属于30KW光伏电站。项目水库总库容为4.2万m</w:t>
            </w:r>
            <w:r>
              <w:rPr>
                <w:rFonts w:hint="default" w:ascii="Times New Roman" w:hAnsi="Times New Roman" w:cs="Times New Roman"/>
                <w:color w:val="FF0000"/>
                <w:sz w:val="24"/>
                <w:highlight w:val="none"/>
                <w:u w:val="wave"/>
                <w:vertAlign w:val="superscript"/>
                <w:lang w:val="en-US" w:eastAsia="zh-CN"/>
              </w:rPr>
              <w:t>3</w:t>
            </w:r>
            <w:r>
              <w:rPr>
                <w:rFonts w:hint="default" w:ascii="Times New Roman" w:hAnsi="Times New Roman" w:cs="Times New Roman"/>
                <w:color w:val="FF0000"/>
                <w:sz w:val="24"/>
                <w:highlight w:val="none"/>
                <w:u w:val="wave"/>
                <w:lang w:val="en-US" w:eastAsia="zh-CN"/>
              </w:rPr>
              <w:t>，水电站淹没区较小，主要还是在河道内</w:t>
            </w:r>
            <w:r>
              <w:rPr>
                <w:rFonts w:hint="default" w:ascii="Times New Roman" w:hAnsi="Times New Roman" w:cs="Times New Roman"/>
                <w:color w:val="FF0000"/>
                <w:sz w:val="24"/>
                <w:szCs w:val="22"/>
                <w:highlight w:val="none"/>
                <w:u w:val="wave"/>
                <w:lang w:val="en-US" w:eastAsia="zh-CN"/>
              </w:rPr>
              <w:t>。电站设计水头3.5m，设计引用流量6.9m</w:t>
            </w:r>
            <w:r>
              <w:rPr>
                <w:rFonts w:hint="default" w:ascii="Times New Roman" w:hAnsi="Times New Roman" w:cs="Times New Roman"/>
                <w:color w:val="FF0000"/>
                <w:sz w:val="24"/>
                <w:szCs w:val="22"/>
                <w:highlight w:val="none"/>
                <w:u w:val="wave"/>
                <w:vertAlign w:val="superscript"/>
                <w:lang w:val="en-US" w:eastAsia="zh-CN"/>
              </w:rPr>
              <w:t>3</w:t>
            </w:r>
            <w:r>
              <w:rPr>
                <w:rFonts w:hint="default" w:ascii="Times New Roman" w:hAnsi="Times New Roman" w:cs="Times New Roman"/>
                <w:color w:val="FF0000"/>
                <w:sz w:val="24"/>
                <w:szCs w:val="22"/>
                <w:highlight w:val="none"/>
                <w:u w:val="wave"/>
                <w:lang w:val="en-US" w:eastAsia="zh-CN"/>
              </w:rPr>
              <w:t>/s。电站拦河坝为重力式溢流坝，坝高6.5m，坝长145m，多年平均流量38.5m</w:t>
            </w:r>
            <w:r>
              <w:rPr>
                <w:rFonts w:hint="default" w:ascii="Times New Roman" w:hAnsi="Times New Roman" w:cs="Times New Roman"/>
                <w:color w:val="FF0000"/>
                <w:sz w:val="24"/>
                <w:szCs w:val="22"/>
                <w:highlight w:val="none"/>
                <w:u w:val="wave"/>
                <w:vertAlign w:val="superscript"/>
                <w:lang w:val="en-US" w:eastAsia="zh-CN"/>
              </w:rPr>
              <w:t>3</w:t>
            </w:r>
            <w:r>
              <w:rPr>
                <w:rFonts w:hint="default" w:ascii="Times New Roman" w:hAnsi="Times New Roman" w:cs="Times New Roman"/>
                <w:color w:val="FF0000"/>
                <w:sz w:val="24"/>
                <w:szCs w:val="22"/>
                <w:highlight w:val="none"/>
                <w:u w:val="wave"/>
                <w:lang w:val="en-US" w:eastAsia="zh-CN"/>
              </w:rPr>
              <w:t>/s。该电站是以</w:t>
            </w:r>
            <w:r>
              <w:rPr>
                <w:rFonts w:hint="eastAsia" w:ascii="Times New Roman" w:hAnsi="Times New Roman" w:cs="Times New Roman"/>
                <w:color w:val="FF0000"/>
                <w:sz w:val="24"/>
                <w:szCs w:val="22"/>
                <w:highlight w:val="none"/>
                <w:u w:val="wave"/>
                <w:lang w:val="en-US" w:eastAsia="zh-CN"/>
              </w:rPr>
              <w:t>灌溉为主、发电为辅</w:t>
            </w:r>
            <w:r>
              <w:rPr>
                <w:rFonts w:hint="default" w:ascii="Times New Roman" w:hAnsi="Times New Roman" w:cs="Times New Roman"/>
                <w:color w:val="FF0000"/>
                <w:sz w:val="24"/>
                <w:szCs w:val="22"/>
                <w:highlight w:val="none"/>
                <w:u w:val="wave"/>
                <w:lang w:val="en-US" w:eastAsia="zh-CN"/>
              </w:rPr>
              <w:t>的水利枢纽工程。</w:t>
            </w:r>
            <w:r>
              <w:rPr>
                <w:rFonts w:hint="eastAsia" w:ascii="Times New Roman" w:hAnsi="Times New Roman" w:cs="Times New Roman"/>
                <w:color w:val="FF0000"/>
                <w:sz w:val="24"/>
                <w:szCs w:val="22"/>
                <w:highlight w:val="none"/>
                <w:u w:val="wave"/>
                <w:lang w:val="en-US" w:eastAsia="zh-CN"/>
              </w:rPr>
              <w:t>本项目排污河段不在其划定库区范围内。</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u w:val="none"/>
                <w:lang w:val="en-US" w:eastAsia="zh-CN"/>
              </w:rPr>
            </w:pPr>
            <w:r>
              <w:rPr>
                <w:rFonts w:hint="eastAsia" w:ascii="Times New Roman" w:hAnsi="Times New Roman" w:cs="Times New Roman"/>
                <w:color w:val="FF0000"/>
                <w:sz w:val="24"/>
                <w:highlight w:val="none"/>
                <w:u w:val="wave"/>
                <w:lang w:val="en-US" w:eastAsia="zh-CN"/>
              </w:rPr>
              <w:t>项目拟设排污口与</w:t>
            </w:r>
            <w:r>
              <w:rPr>
                <w:rFonts w:hint="eastAsia" w:cs="Times New Roman"/>
                <w:color w:val="FF0000"/>
                <w:sz w:val="24"/>
                <w:highlight w:val="none"/>
                <w:u w:val="wave"/>
                <w:lang w:val="en-US" w:eastAsia="zh-CN"/>
              </w:rPr>
              <w:t>云水水电站、</w:t>
            </w:r>
            <w:r>
              <w:rPr>
                <w:rFonts w:hint="eastAsia" w:ascii="Times New Roman" w:hAnsi="Times New Roman" w:cs="Times New Roman"/>
                <w:color w:val="FF0000"/>
                <w:sz w:val="24"/>
                <w:highlight w:val="none"/>
                <w:u w:val="wave"/>
                <w:lang w:val="en-US" w:eastAsia="zh-CN"/>
              </w:rPr>
              <w:t>渡头桥镇</w:t>
            </w:r>
            <w:r>
              <w:rPr>
                <w:rFonts w:hint="eastAsia" w:cs="Times New Roman"/>
                <w:color w:val="FF0000"/>
                <w:sz w:val="24"/>
                <w:highlight w:val="none"/>
                <w:u w:val="wave"/>
                <w:lang w:val="en-US" w:eastAsia="zh-CN"/>
              </w:rPr>
              <w:t>惠民</w:t>
            </w:r>
            <w:r>
              <w:rPr>
                <w:rFonts w:hint="eastAsia" w:ascii="Times New Roman" w:hAnsi="Times New Roman" w:cs="Times New Roman"/>
                <w:color w:val="FF0000"/>
                <w:sz w:val="24"/>
                <w:highlight w:val="none"/>
                <w:u w:val="wave"/>
                <w:lang w:val="en-US" w:eastAsia="zh-CN"/>
              </w:rPr>
              <w:t>水厂取水口相对位置详见附图</w:t>
            </w:r>
            <w:r>
              <w:rPr>
                <w:rFonts w:hint="eastAsia" w:cs="Times New Roman"/>
                <w:color w:val="FF0000"/>
                <w:sz w:val="24"/>
                <w:highlight w:val="none"/>
                <w:u w:val="wave"/>
                <w:lang w:val="en-US" w:eastAsia="zh-CN"/>
              </w:rPr>
              <w:t>8</w:t>
            </w:r>
            <w:r>
              <w:rPr>
                <w:rFonts w:hint="eastAsia" w:ascii="Times New Roman" w:hAnsi="Times New Roman" w:cs="Times New Roman"/>
                <w:color w:val="FF0000"/>
                <w:sz w:val="24"/>
                <w:highlight w:val="none"/>
                <w:u w:val="wave"/>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color w:val="auto"/>
                <w:sz w:val="24"/>
                <w:szCs w:val="22"/>
                <w:u w:val="none"/>
              </w:rPr>
            </w:pPr>
            <w:r>
              <w:rPr>
                <w:rFonts w:hint="eastAsia"/>
                <w:color w:val="auto"/>
                <w:sz w:val="24"/>
                <w:szCs w:val="22"/>
                <w:u w:val="none"/>
              </w:rPr>
              <w:t>（2）地下水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color w:val="auto"/>
                <w:sz w:val="24"/>
                <w:szCs w:val="22"/>
                <w:u w:val="none"/>
              </w:rPr>
            </w:pPr>
            <w:r>
              <w:rPr>
                <w:rFonts w:hint="eastAsia"/>
                <w:color w:val="auto"/>
                <w:sz w:val="24"/>
                <w:szCs w:val="22"/>
                <w:u w:val="none"/>
              </w:rPr>
              <w:t xml:space="preserve">①地下水类型及富水性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color w:val="auto"/>
                <w:sz w:val="24"/>
                <w:szCs w:val="22"/>
                <w:u w:val="none"/>
              </w:rPr>
            </w:pPr>
            <w:r>
              <w:rPr>
                <w:rFonts w:hint="eastAsia"/>
                <w:color w:val="auto"/>
                <w:sz w:val="24"/>
                <w:szCs w:val="22"/>
                <w:u w:val="none"/>
              </w:rPr>
              <w:t>据地质勘察钻探揭露，场地内有一层地下水，主要赋存于卵石层中，局部略具承压性，结合场地形、地貌及地质情况预计地水位年变化幅度为</w:t>
            </w:r>
            <w:r>
              <w:rPr>
                <w:color w:val="auto"/>
                <w:sz w:val="24"/>
                <w:szCs w:val="22"/>
                <w:u w:val="none"/>
              </w:rPr>
              <w:t>1.5</w:t>
            </w:r>
            <w:r>
              <w:rPr>
                <w:rFonts w:hint="eastAsia"/>
                <w:color w:val="auto"/>
                <w:sz w:val="24"/>
                <w:szCs w:val="22"/>
                <w:u w:val="none"/>
              </w:rPr>
              <w:t>米。</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color w:val="auto"/>
                <w:sz w:val="24"/>
                <w:szCs w:val="22"/>
                <w:u w:val="none"/>
              </w:rPr>
            </w:pPr>
            <w:r>
              <w:rPr>
                <w:rFonts w:hint="eastAsia"/>
                <w:color w:val="auto"/>
                <w:sz w:val="24"/>
                <w:szCs w:val="22"/>
                <w:u w:val="none"/>
              </w:rPr>
              <w:t>②地下水补、迳、排条件及动态特征</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color w:val="auto"/>
                <w:sz w:val="24"/>
                <w:szCs w:val="22"/>
                <w:u w:val="none"/>
              </w:rPr>
            </w:pPr>
            <w:r>
              <w:rPr>
                <w:rFonts w:hint="eastAsia"/>
                <w:color w:val="auto"/>
                <w:sz w:val="24"/>
                <w:szCs w:val="22"/>
                <w:u w:val="none"/>
              </w:rPr>
              <w:t>水量补给来源主要为大气降水和河流补给，水量大小受季节气候影响，场地内地下水以居民水井取水、地下渗流及大气蒸发的形式排泄。最近的地下水井位于本项目东面110m。</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color w:val="auto"/>
                <w:sz w:val="28"/>
                <w:szCs w:val="28"/>
                <w:u w:val="none"/>
                <w:lang w:eastAsia="zh-CN"/>
              </w:rPr>
            </w:pPr>
            <w:r>
              <w:rPr>
                <w:rFonts w:hint="eastAsia"/>
                <w:b/>
                <w:color w:val="auto"/>
                <w:sz w:val="28"/>
                <w:szCs w:val="28"/>
                <w:u w:val="none"/>
              </w:rPr>
              <w:t xml:space="preserve">2.5 </w:t>
            </w:r>
            <w:r>
              <w:rPr>
                <w:rFonts w:hint="eastAsia"/>
                <w:b/>
                <w:color w:val="auto"/>
                <w:sz w:val="28"/>
                <w:szCs w:val="28"/>
                <w:u w:val="none"/>
                <w:lang w:eastAsia="zh-CN"/>
              </w:rPr>
              <w:t>生态环境</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2"/>
                <w:u w:val="none"/>
              </w:rPr>
            </w:pPr>
            <w:r>
              <w:rPr>
                <w:rFonts w:hint="eastAsia" w:ascii="Times New Roman" w:hAnsi="Times New Roman" w:cs="Times New Roman"/>
                <w:color w:val="auto"/>
                <w:sz w:val="24"/>
                <w:szCs w:val="22"/>
                <w:u w:val="none"/>
              </w:rPr>
              <w:t>邵阳市植物种类多达2826种，分属245科，792属，以杉木、马尾松和阔叶用材林为大宗，楠竹、油茶、油桐、漆树、板栗、乌桕、白蜡树、山苍子树等成片分布。受国家重点保护的珍稀树种有60种，其中一级保护的银杉，二级保护的资源冷杉、银杏、钟萼木(伯乐树)、连香树等系全国植物区系之精华。市境内已先后建立绥宁黄桑、武冈云山、新宁舜皇山和紫云、万峰山4个省级自然保护区和一批县级自然保护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2"/>
                <w:u w:val="none"/>
              </w:rPr>
            </w:pPr>
            <w:r>
              <w:rPr>
                <w:rFonts w:hint="eastAsia" w:ascii="Times New Roman" w:hAnsi="Times New Roman" w:cs="Times New Roman"/>
                <w:color w:val="auto"/>
                <w:sz w:val="24"/>
                <w:szCs w:val="22"/>
                <w:u w:val="none"/>
              </w:rPr>
              <w:t>本项目区域内野生动物分布较少，主要有野鸡、鸡兔、田鼠、蜥蜴、青蛙、山雀、八哥、黄鼠狼等，但数量不多。家畜主要有猪、牛、羊、鸡、兔、鸭、鹅等</w:t>
            </w:r>
            <w:r>
              <w:rPr>
                <w:rFonts w:hint="eastAsia" w:cs="Times New Roman"/>
                <w:color w:val="auto"/>
                <w:sz w:val="24"/>
                <w:szCs w:val="22"/>
                <w:u w:val="none"/>
                <w:lang w:eastAsia="zh-CN"/>
              </w:rPr>
              <w:t>，</w:t>
            </w:r>
            <w:r>
              <w:rPr>
                <w:rFonts w:hint="eastAsia" w:ascii="Times New Roman" w:hAnsi="Times New Roman" w:cs="Times New Roman"/>
                <w:color w:val="auto"/>
                <w:sz w:val="24"/>
                <w:szCs w:val="22"/>
                <w:u w:val="none"/>
              </w:rPr>
              <w:t>区内调查未发现野生珍稀濒危动物种类。</w:t>
            </w:r>
            <w:r>
              <w:rPr>
                <w:rFonts w:hint="eastAsia" w:cs="Times New Roman"/>
                <w:color w:val="FF0000"/>
                <w:sz w:val="24"/>
                <w:szCs w:val="22"/>
                <w:u w:val="wave"/>
                <w:lang w:eastAsia="zh-CN"/>
              </w:rPr>
              <w:t>邵水水生</w:t>
            </w:r>
            <w:r>
              <w:rPr>
                <w:rFonts w:hint="eastAsia" w:ascii="Times New Roman" w:hAnsi="Times New Roman" w:cs="Times New Roman"/>
                <w:color w:val="FF0000"/>
                <w:sz w:val="24"/>
                <w:szCs w:val="22"/>
                <w:u w:val="wave"/>
              </w:rPr>
              <w:t>鱼类资源主要有草鱼、鲤鱼、鲫鱼、青鱼、鲢鱼等</w:t>
            </w:r>
            <w:r>
              <w:rPr>
                <w:rFonts w:hint="eastAsia" w:cs="Times New Roman"/>
                <w:color w:val="FF0000"/>
                <w:sz w:val="24"/>
                <w:szCs w:val="22"/>
                <w:u w:val="wave"/>
                <w:lang w:eastAsia="zh-CN"/>
              </w:rPr>
              <w:t>，水生生物均为常见本地物种，品种较少，藻类单一，无特殊保护水生物种。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color w:val="auto"/>
                <w:sz w:val="28"/>
                <w:szCs w:val="28"/>
                <w:u w:val="none"/>
                <w:lang w:eastAsia="zh-CN"/>
              </w:rPr>
            </w:pPr>
            <w:r>
              <w:rPr>
                <w:rFonts w:hint="eastAsia"/>
                <w:b/>
                <w:color w:val="auto"/>
                <w:sz w:val="28"/>
                <w:szCs w:val="28"/>
                <w:u w:val="none"/>
              </w:rPr>
              <w:t xml:space="preserve">2.6 </w:t>
            </w:r>
            <w:r>
              <w:rPr>
                <w:rFonts w:hint="eastAsia"/>
                <w:b/>
                <w:color w:val="auto"/>
                <w:sz w:val="28"/>
                <w:szCs w:val="28"/>
                <w:u w:val="none"/>
                <w:lang w:eastAsia="zh-CN"/>
              </w:rPr>
              <w:t>地质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2"/>
                <w:u w:val="none"/>
              </w:rPr>
            </w:pPr>
            <w:r>
              <w:rPr>
                <w:rFonts w:hint="eastAsia" w:ascii="Times New Roman" w:hAnsi="Times New Roman" w:cs="Times New Roman"/>
                <w:color w:val="auto"/>
                <w:sz w:val="24"/>
                <w:szCs w:val="22"/>
                <w:u w:val="none"/>
              </w:rPr>
              <w:t>本</w:t>
            </w:r>
            <w:r>
              <w:rPr>
                <w:rFonts w:hint="eastAsia" w:ascii="Times New Roman" w:hAnsi="Times New Roman" w:cs="Times New Roman"/>
                <w:color w:val="auto"/>
                <w:sz w:val="24"/>
                <w:szCs w:val="22"/>
                <w:u w:val="none"/>
                <w:lang w:eastAsia="zh-CN"/>
              </w:rPr>
              <w:t>项目</w:t>
            </w:r>
            <w:r>
              <w:rPr>
                <w:rFonts w:hint="eastAsia" w:ascii="Times New Roman" w:hAnsi="Times New Roman" w:cs="Times New Roman"/>
                <w:color w:val="auto"/>
                <w:sz w:val="24"/>
                <w:szCs w:val="22"/>
                <w:u w:val="none"/>
              </w:rPr>
              <w:t>位于邵阳市低山丘陵区。主要由砂质页岩和碳酸盐类岩石组成。构造线总体呈南北至北北东向。地层倾角以20-30°为主，区内旋卷构造和旋扭断裂发育，离线路较近的地质构造主要有邵阳市-黄塘压扭性断裂，断裂走向为北东15～45°，断裂两侧有轴线与其近乎平行的次级褶皱，地层产状变化频繁。沿线地段褶皱明显，实测岩层走向为109～325°，倾角为21～53°。</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2"/>
                <w:u w:val="none"/>
              </w:rPr>
            </w:pPr>
            <w:r>
              <w:rPr>
                <w:rFonts w:hint="eastAsia" w:ascii="Times New Roman" w:hAnsi="Times New Roman" w:cs="Times New Roman"/>
                <w:color w:val="auto"/>
                <w:sz w:val="24"/>
                <w:szCs w:val="22"/>
                <w:u w:val="none"/>
              </w:rPr>
              <w:t>区域内地层产状变化频繁，次级褶皱发育，但是无明显的深大断裂，也未发现有新构造运动的迹象，区域内地震基本烈度为Ⅵ度，区域稳定性较好。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2"/>
                <w:u w:val="none"/>
              </w:rPr>
            </w:pPr>
            <w:r>
              <w:rPr>
                <w:rFonts w:hint="eastAsia" w:ascii="Times New Roman" w:hAnsi="Times New Roman" w:cs="Times New Roman"/>
                <w:color w:val="auto"/>
                <w:sz w:val="24"/>
                <w:szCs w:val="22"/>
                <w:u w:val="none"/>
              </w:rPr>
              <w:t>根据现场调绘揭示，隧道区地层岩性：主要为白垩系下统（K1）砂质页岩,石炭系下统（C1）炭质灰岩。现将场地各地层的主要特征简要叙述如下：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2"/>
                <w:u w:val="none"/>
              </w:rPr>
            </w:pPr>
            <w:r>
              <w:rPr>
                <w:rFonts w:hint="eastAsia" w:ascii="Times New Roman" w:hAnsi="Times New Roman" w:cs="Times New Roman"/>
                <w:color w:val="auto"/>
                <w:sz w:val="24"/>
                <w:szCs w:val="22"/>
                <w:u w:val="none"/>
              </w:rPr>
              <w:t>（1）白垩系下统（K1）</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2"/>
                <w:u w:val="none"/>
              </w:rPr>
            </w:pPr>
            <w:r>
              <w:rPr>
                <w:rFonts w:hint="eastAsia" w:ascii="Times New Roman" w:hAnsi="Times New Roman" w:cs="Times New Roman"/>
                <w:color w:val="auto"/>
                <w:sz w:val="24"/>
                <w:szCs w:val="22"/>
                <w:u w:val="none"/>
              </w:rPr>
              <w:t>砂质页岩：黄褐色，灰褐色，夹泥质粉砂岩，砂质、泥质结构，含钙质结核，层状构造。其中，全风化层，褐黄色，土状，厚度3-5m。强风化层，黄褐色夹灰褐色，局部夹中风化岩，岩体破碎，岩质一般极软，厚度0-5.0m以上。中风化层，岩体较破碎较完整，岩质软。该层与下伏石炭质地层呈不整合接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2"/>
                <w:u w:val="none"/>
              </w:rPr>
            </w:pPr>
            <w:r>
              <w:rPr>
                <w:rFonts w:hint="eastAsia" w:ascii="Times New Roman" w:hAnsi="Times New Roman" w:cs="Times New Roman"/>
                <w:color w:val="auto"/>
                <w:sz w:val="24"/>
                <w:szCs w:val="22"/>
                <w:u w:val="none"/>
              </w:rPr>
              <w:t>（2）石炭系下统（C1d1）</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2"/>
                <w:u w:val="none"/>
              </w:rPr>
            </w:pPr>
            <w:r>
              <w:rPr>
                <w:rFonts w:hint="eastAsia" w:ascii="Times New Roman" w:hAnsi="Times New Roman" w:cs="Times New Roman"/>
                <w:color w:val="auto"/>
                <w:sz w:val="24"/>
                <w:szCs w:val="22"/>
                <w:u w:val="none"/>
              </w:rPr>
              <w:t>炭质灰岩(C1d1)：灰色、灰黑色，隐微晶质结构，局部夹页岩，层状构造。强风化层，岩体破碎，岩质一般较软，厚度0-5.0m以上。中风化层，岩体较破碎较完整，岩质较硬。</w:t>
            </w:r>
          </w:p>
          <w:p>
            <w:pPr>
              <w:pStyle w:val="21"/>
              <w:ind w:left="0" w:leftChars="0"/>
              <w:rPr>
                <w:color w:val="auto"/>
                <w:u w:val="none"/>
              </w:rPr>
            </w:pPr>
          </w:p>
        </w:tc>
      </w:tr>
    </w:tbl>
    <w:p>
      <w:pPr>
        <w:snapToGrid w:val="0"/>
        <w:textAlignment w:val="baseline"/>
        <w:outlineLvl w:val="0"/>
        <w:rPr>
          <w:rFonts w:eastAsia="黑体"/>
          <w:kern w:val="24"/>
          <w:sz w:val="32"/>
        </w:rPr>
      </w:pPr>
      <w:r>
        <w:rPr>
          <w:rFonts w:eastAsia="黑体"/>
          <w:sz w:val="32"/>
        </w:rPr>
        <w:br w:type="page"/>
      </w:r>
      <w:bookmarkStart w:id="5" w:name="_Toc27400"/>
      <w:r>
        <w:rPr>
          <w:rFonts w:hint="eastAsia" w:eastAsia="黑体"/>
          <w:sz w:val="32"/>
        </w:rPr>
        <w:t>三、</w:t>
      </w:r>
      <w:r>
        <w:rPr>
          <w:rFonts w:eastAsia="黑体"/>
          <w:sz w:val="32"/>
        </w:rPr>
        <w:t>环境质量状况</w:t>
      </w:r>
      <w:bookmarkEnd w:id="5"/>
    </w:p>
    <w:tbl>
      <w:tblPr>
        <w:tblStyle w:val="27"/>
        <w:tblW w:w="934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
      <w:tblGrid>
        <w:gridCol w:w="93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85" w:type="dxa"/>
            <w:bottom w:w="0" w:type="dxa"/>
            <w:right w:w="85" w:type="dxa"/>
          </w:tblCellMar>
        </w:tblPrEx>
        <w:trPr>
          <w:trHeight w:val="13509" w:hRule="atLeast"/>
          <w:jc w:val="center"/>
        </w:trPr>
        <w:tc>
          <w:tcPr>
            <w:tcW w:w="9340" w:type="dxa"/>
          </w:tcPr>
          <w:p>
            <w:pPr>
              <w:keepNext w:val="0"/>
              <w:keepLines w:val="0"/>
              <w:pageBreakBefore w:val="0"/>
              <w:kinsoku/>
              <w:wordWrap/>
              <w:overflowPunct/>
              <w:topLinePunct w:val="0"/>
              <w:autoSpaceDE/>
              <w:autoSpaceDN/>
              <w:bidi w:val="0"/>
              <w:adjustRightInd w:val="0"/>
              <w:snapToGrid w:val="0"/>
              <w:spacing w:line="360" w:lineRule="auto"/>
              <w:textAlignment w:val="auto"/>
              <w:rPr>
                <w:b/>
                <w:color w:val="auto"/>
                <w:sz w:val="28"/>
                <w:szCs w:val="28"/>
                <w:u w:val="none"/>
              </w:rPr>
            </w:pPr>
            <w:r>
              <w:rPr>
                <w:rFonts w:hint="eastAsia"/>
                <w:b/>
                <w:color w:val="auto"/>
                <w:sz w:val="28"/>
                <w:szCs w:val="28"/>
                <w:u w:val="none"/>
              </w:rPr>
              <w:t>3.1 大气环境现状调查与评价</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宋体" w:cs="宋体"/>
                <w:color w:val="FF0000"/>
                <w:kern w:val="2"/>
                <w:sz w:val="24"/>
                <w:szCs w:val="24"/>
                <w:u w:val="wave"/>
                <w:lang w:val="en-US" w:eastAsia="zh-CN" w:bidi="ar"/>
              </w:rPr>
            </w:pPr>
            <w:r>
              <w:rPr>
                <w:rFonts w:hint="eastAsia"/>
                <w:color w:val="FF0000"/>
                <w:sz w:val="24"/>
                <w:u w:val="wave"/>
                <w:lang w:eastAsia="zh-CN"/>
              </w:rPr>
              <w:t>邵阳市双清区渡头桥污水处理厂工程项目已于</w:t>
            </w:r>
            <w:r>
              <w:rPr>
                <w:rFonts w:hint="eastAsia"/>
                <w:color w:val="FF0000"/>
                <w:sz w:val="24"/>
                <w:u w:val="wave"/>
                <w:lang w:val="en-US" w:eastAsia="zh-CN"/>
              </w:rPr>
              <w:t>2020年5月27日</w:t>
            </w:r>
            <w:r>
              <w:rPr>
                <w:rFonts w:hint="eastAsia"/>
                <w:color w:val="FF0000"/>
                <w:sz w:val="24"/>
                <w:szCs w:val="24"/>
                <w:u w:val="wave"/>
                <w:lang w:val="en-US" w:eastAsia="zh-CN"/>
              </w:rPr>
              <w:t>取得邵阳市生态环境局双清分局下达的《关于</w:t>
            </w:r>
            <w:r>
              <w:rPr>
                <w:rFonts w:hint="eastAsia"/>
                <w:color w:val="FF0000"/>
                <w:sz w:val="24"/>
                <w:u w:val="wave"/>
                <w:lang w:eastAsia="zh-CN"/>
              </w:rPr>
              <w:t>邵阳市双清区渡头桥污水处理厂工程项目环境影响报告表的批复</w:t>
            </w:r>
            <w:r>
              <w:rPr>
                <w:rFonts w:hint="eastAsia"/>
                <w:color w:val="FF0000"/>
                <w:sz w:val="24"/>
                <w:szCs w:val="24"/>
                <w:u w:val="wave"/>
                <w:lang w:val="en-US" w:eastAsia="zh-CN"/>
              </w:rPr>
              <w:t>》邵双环评[2020]8号。</w:t>
            </w:r>
            <w:r>
              <w:rPr>
                <w:rFonts w:hint="eastAsia" w:ascii="Times New Roman" w:hAnsi="Times New Roman" w:eastAsia="宋体" w:cs="宋体"/>
                <w:color w:val="FF0000"/>
                <w:kern w:val="2"/>
                <w:sz w:val="24"/>
                <w:szCs w:val="24"/>
                <w:u w:val="wave"/>
                <w:lang w:val="en-US" w:eastAsia="zh-CN" w:bidi="ar"/>
              </w:rPr>
              <w:t>项目现因原来设计的污水处理工艺运行成本高，建设单位经过专业团队重新设计后确定将原设计的废水处理工艺由兼氧FMBR工艺变更为一体化AO+生物膜设备处理工艺。项目名称由邵阳市双清区渡头桥污水处理厂工程项目变更为双清区渡头桥污水处理厂及周边配套管网工程，项目建设地点、纳污水体及排放口位置等均不改变。因此，本次评价环境监测数据引用邵阳市双清区渡头桥污水处理厂工程项目环境影响报告表中监测数据。</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color w:val="auto"/>
                <w:sz w:val="24"/>
                <w:u w:val="none"/>
              </w:rPr>
            </w:pPr>
            <w:r>
              <w:rPr>
                <w:b/>
                <w:color w:val="auto"/>
                <w:sz w:val="24"/>
                <w:u w:val="none"/>
              </w:rPr>
              <w:t>1、环境空气区域达标情况</w:t>
            </w:r>
          </w:p>
          <w:p>
            <w:pPr>
              <w:pStyle w:val="48"/>
              <w:keepNext w:val="0"/>
              <w:keepLines w:val="0"/>
              <w:pageBreakBefore w:val="0"/>
              <w:widowControl/>
              <w:kinsoku/>
              <w:wordWrap/>
              <w:overflowPunct/>
              <w:topLinePunct w:val="0"/>
              <w:autoSpaceDE/>
              <w:autoSpaceDN/>
              <w:bidi w:val="0"/>
              <w:adjustRightInd w:val="0"/>
              <w:snapToGrid w:val="0"/>
              <w:spacing w:line="360" w:lineRule="auto"/>
              <w:ind w:left="0" w:firstLine="480"/>
              <w:textAlignment w:val="auto"/>
              <w:rPr>
                <w:rFonts w:hint="eastAsia" w:cs="宋体"/>
                <w:color w:val="FF0000"/>
                <w:kern w:val="2"/>
                <w:sz w:val="24"/>
                <w:szCs w:val="24"/>
                <w:u w:val="wave"/>
                <w:lang w:val="en-US" w:eastAsia="zh-CN" w:bidi="ar"/>
              </w:rPr>
            </w:pPr>
            <w:r>
              <w:rPr>
                <w:rFonts w:hint="eastAsia" w:ascii="Times New Roman" w:hAnsi="Times New Roman" w:eastAsia="宋体" w:cs="宋体"/>
                <w:color w:val="auto"/>
                <w:kern w:val="2"/>
                <w:sz w:val="24"/>
                <w:szCs w:val="24"/>
                <w:lang w:val="en-US" w:eastAsia="zh-CN" w:bidi="ar"/>
              </w:rPr>
              <w:t>根据《环境影响评价技术导则—大气环境》（HJ2.2-2018）中“6.2.1项目所在区域达标判定，优先采用国家或地方生态环境主管部门公开发布的评价基准年环境质量公告或环境质量报告中数据或结论”。根据《环境影响评价技术导则—大气环境》（HJ 2.2-2018）要求，应调查所在区域环境质量达标情况。</w:t>
            </w:r>
            <w:r>
              <w:rPr>
                <w:rFonts w:hint="eastAsia" w:ascii="Times New Roman" w:hAnsi="Times New Roman" w:eastAsia="宋体" w:cs="宋体"/>
                <w:color w:val="FF0000"/>
                <w:kern w:val="2"/>
                <w:sz w:val="24"/>
                <w:szCs w:val="24"/>
                <w:u w:val="wave"/>
                <w:lang w:val="en-US" w:eastAsia="zh-CN" w:bidi="ar"/>
              </w:rPr>
              <w:t>本环评选择201</w:t>
            </w:r>
            <w:r>
              <w:rPr>
                <w:rFonts w:hint="eastAsia" w:cs="宋体"/>
                <w:color w:val="FF0000"/>
                <w:kern w:val="2"/>
                <w:sz w:val="24"/>
                <w:szCs w:val="24"/>
                <w:u w:val="wave"/>
                <w:lang w:val="en-US" w:eastAsia="zh-CN" w:bidi="ar"/>
              </w:rPr>
              <w:t>9</w:t>
            </w:r>
            <w:r>
              <w:rPr>
                <w:rFonts w:hint="eastAsia" w:ascii="Times New Roman" w:hAnsi="Times New Roman" w:eastAsia="宋体" w:cs="宋体"/>
                <w:color w:val="FF0000"/>
                <w:kern w:val="2"/>
                <w:sz w:val="24"/>
                <w:szCs w:val="24"/>
                <w:u w:val="wave"/>
                <w:lang w:val="en-US" w:eastAsia="zh-CN" w:bidi="ar"/>
              </w:rPr>
              <w:t>年为评价基准年，收集</w:t>
            </w:r>
            <w:r>
              <w:rPr>
                <w:rFonts w:hint="default" w:ascii="Times New Roman" w:hAnsi="Times New Roman" w:eastAsia="宋体" w:cs="Times New Roman"/>
                <w:color w:val="FF0000"/>
                <w:kern w:val="2"/>
                <w:sz w:val="24"/>
                <w:szCs w:val="22"/>
                <w:u w:val="wave"/>
                <w:lang w:val="en-US" w:eastAsia="zh-CN" w:bidi="ar-SA"/>
              </w:rPr>
              <w:t>邵阳市</w:t>
            </w:r>
            <w:r>
              <w:rPr>
                <w:rFonts w:hint="eastAsia" w:ascii="Times New Roman" w:hAnsi="Times New Roman" w:eastAsia="宋体" w:cs="宋体"/>
                <w:color w:val="FF0000"/>
                <w:kern w:val="2"/>
                <w:sz w:val="24"/>
                <w:szCs w:val="24"/>
                <w:u w:val="wave"/>
                <w:lang w:val="en-US" w:eastAsia="zh-CN" w:bidi="ar"/>
              </w:rPr>
              <w:t>化工厂</w:t>
            </w:r>
            <w:r>
              <w:rPr>
                <w:rFonts w:hint="default" w:ascii="Times New Roman" w:hAnsi="Times New Roman" w:eastAsia="宋体" w:cs="Times New Roman"/>
                <w:color w:val="FF0000"/>
                <w:kern w:val="2"/>
                <w:sz w:val="24"/>
                <w:szCs w:val="22"/>
                <w:u w:val="wave"/>
                <w:lang w:val="en-US" w:eastAsia="zh-CN" w:bidi="ar-SA"/>
              </w:rPr>
              <w:t>常规监测点201</w:t>
            </w:r>
            <w:r>
              <w:rPr>
                <w:rFonts w:hint="eastAsia" w:cs="Times New Roman"/>
                <w:color w:val="FF0000"/>
                <w:kern w:val="2"/>
                <w:sz w:val="24"/>
                <w:szCs w:val="22"/>
                <w:u w:val="wave"/>
                <w:lang w:val="en-US" w:eastAsia="zh-CN" w:bidi="ar-SA"/>
              </w:rPr>
              <w:t>9</w:t>
            </w:r>
            <w:r>
              <w:rPr>
                <w:rFonts w:hint="default" w:ascii="Times New Roman" w:hAnsi="Times New Roman" w:eastAsia="宋体" w:cs="Times New Roman"/>
                <w:color w:val="FF0000"/>
                <w:kern w:val="2"/>
                <w:sz w:val="24"/>
                <w:szCs w:val="22"/>
                <w:u w:val="wave"/>
                <w:lang w:val="en-US" w:eastAsia="zh-CN" w:bidi="ar-SA"/>
              </w:rPr>
              <w:t>年1月~201</w:t>
            </w:r>
            <w:r>
              <w:rPr>
                <w:rFonts w:hint="eastAsia" w:cs="Times New Roman"/>
                <w:color w:val="FF0000"/>
                <w:kern w:val="2"/>
                <w:sz w:val="24"/>
                <w:szCs w:val="22"/>
                <w:u w:val="wave"/>
                <w:lang w:val="en-US" w:eastAsia="zh-CN" w:bidi="ar-SA"/>
              </w:rPr>
              <w:t>9</w:t>
            </w:r>
            <w:r>
              <w:rPr>
                <w:rFonts w:hint="default" w:ascii="Times New Roman" w:hAnsi="Times New Roman" w:eastAsia="宋体" w:cs="Times New Roman"/>
                <w:color w:val="FF0000"/>
                <w:kern w:val="2"/>
                <w:sz w:val="24"/>
                <w:szCs w:val="22"/>
                <w:u w:val="wave"/>
                <w:lang w:val="en-US" w:eastAsia="zh-CN" w:bidi="ar-SA"/>
              </w:rPr>
              <w:t>年12月的</w:t>
            </w:r>
            <w:r>
              <w:rPr>
                <w:rFonts w:hint="eastAsia" w:cs="Times New Roman"/>
                <w:color w:val="FF0000"/>
                <w:kern w:val="2"/>
                <w:sz w:val="24"/>
                <w:szCs w:val="22"/>
                <w:u w:val="wave"/>
                <w:lang w:val="en-US" w:eastAsia="zh-CN" w:bidi="ar-SA"/>
              </w:rPr>
              <w:t>监测</w:t>
            </w:r>
            <w:r>
              <w:rPr>
                <w:rFonts w:hint="default" w:ascii="Times New Roman" w:hAnsi="Times New Roman" w:eastAsia="宋体" w:cs="Times New Roman"/>
                <w:color w:val="FF0000"/>
                <w:kern w:val="2"/>
                <w:sz w:val="24"/>
                <w:szCs w:val="22"/>
                <w:u w:val="wave"/>
                <w:lang w:val="en-US" w:eastAsia="zh-CN" w:bidi="ar-SA"/>
              </w:rPr>
              <w:t>数据</w:t>
            </w:r>
            <w:r>
              <w:rPr>
                <w:rFonts w:hint="eastAsia" w:ascii="Times New Roman" w:hAnsi="Times New Roman" w:eastAsia="宋体" w:cs="宋体"/>
                <w:color w:val="FF0000"/>
                <w:kern w:val="2"/>
                <w:sz w:val="24"/>
                <w:szCs w:val="24"/>
                <w:u w:val="wave"/>
                <w:lang w:val="en-US" w:eastAsia="zh-CN" w:bidi="ar"/>
              </w:rPr>
              <w:t>表征区域环境质量达标情况。邵阳城区环境空气质量自动站监测点：市化工厂，位于经开区办公楼楼顶，监测点位于本项目的西南面，距离约</w:t>
            </w:r>
            <w:r>
              <w:rPr>
                <w:rFonts w:hint="eastAsia" w:cs="宋体"/>
                <w:color w:val="FF0000"/>
                <w:kern w:val="2"/>
                <w:sz w:val="24"/>
                <w:szCs w:val="24"/>
                <w:u w:val="wave"/>
                <w:lang w:val="en-US" w:eastAsia="zh-CN" w:bidi="ar"/>
              </w:rPr>
              <w:t>6.2</w:t>
            </w:r>
            <w:r>
              <w:rPr>
                <w:rFonts w:hint="eastAsia" w:ascii="Times New Roman" w:hAnsi="Times New Roman" w:eastAsia="宋体" w:cs="宋体"/>
                <w:color w:val="FF0000"/>
                <w:kern w:val="2"/>
                <w:sz w:val="24"/>
                <w:szCs w:val="24"/>
                <w:u w:val="wave"/>
                <w:lang w:val="en-US" w:eastAsia="zh-CN" w:bidi="ar"/>
              </w:rPr>
              <w:t>km</w:t>
            </w:r>
            <w:r>
              <w:rPr>
                <w:rFonts w:hint="default" w:ascii="Times New Roman" w:hAnsi="Times New Roman" w:eastAsia="宋体" w:cs="Times New Roman"/>
                <w:color w:val="FF0000"/>
                <w:kern w:val="2"/>
                <w:sz w:val="24"/>
                <w:szCs w:val="22"/>
                <w:u w:val="wave"/>
                <w:lang w:val="en-US" w:eastAsia="zh-CN" w:bidi="ar-SA"/>
              </w:rPr>
              <w:t>。</w:t>
            </w:r>
            <w:r>
              <w:rPr>
                <w:rFonts w:hint="eastAsia" w:ascii="Times New Roman" w:hAnsi="Times New Roman" w:eastAsia="宋体" w:cs="宋体"/>
                <w:color w:val="FF0000"/>
                <w:kern w:val="2"/>
                <w:sz w:val="24"/>
                <w:szCs w:val="24"/>
                <w:u w:val="wave"/>
                <w:lang w:val="en-US" w:eastAsia="zh-CN" w:bidi="ar"/>
              </w:rPr>
              <w:t>区域环境空气质量现状评价见</w:t>
            </w:r>
            <w:r>
              <w:rPr>
                <w:rFonts w:hint="eastAsia" w:cs="宋体"/>
                <w:color w:val="FF0000"/>
                <w:kern w:val="2"/>
                <w:sz w:val="24"/>
                <w:szCs w:val="24"/>
                <w:u w:val="wave"/>
                <w:lang w:val="en-US" w:eastAsia="zh-CN" w:bidi="ar"/>
              </w:rPr>
              <w:t>表3-1。</w:t>
            </w:r>
          </w:p>
          <w:p>
            <w:pPr>
              <w:pStyle w:val="46"/>
              <w:keepNext w:val="0"/>
              <w:keepLines w:val="0"/>
              <w:pageBreakBefore w:val="0"/>
              <w:kinsoku/>
              <w:wordWrap/>
              <w:overflowPunct/>
              <w:topLinePunct w:val="0"/>
              <w:autoSpaceDE/>
              <w:autoSpaceDN/>
              <w:bidi w:val="0"/>
              <w:adjustRightInd w:val="0"/>
              <w:snapToGrid w:val="0"/>
              <w:spacing w:before="0" w:after="0" w:line="240" w:lineRule="auto"/>
              <w:textAlignment w:val="auto"/>
              <w:rPr>
                <w:rFonts w:hint="eastAsia" w:ascii="Times New Roman" w:hAnsi="Times New Roman" w:eastAsia="宋体" w:cs="Times New Roman"/>
                <w:color w:val="FF0000"/>
                <w:sz w:val="21"/>
                <w:szCs w:val="21"/>
                <w:u w:val="wave"/>
                <w:lang w:eastAsia="zh-CN"/>
              </w:rPr>
            </w:pPr>
            <w:r>
              <w:rPr>
                <w:rFonts w:hint="default" w:ascii="Times New Roman" w:hAnsi="Times New Roman" w:eastAsia="宋体" w:cs="Times New Roman"/>
                <w:color w:val="FF0000"/>
                <w:sz w:val="21"/>
                <w:szCs w:val="21"/>
                <w:u w:val="wave"/>
              </w:rPr>
              <w:t>表</w:t>
            </w:r>
            <w:r>
              <w:rPr>
                <w:rFonts w:hint="default" w:ascii="Times New Roman" w:hAnsi="Times New Roman" w:eastAsia="宋体" w:cs="Times New Roman"/>
                <w:color w:val="FF0000"/>
                <w:sz w:val="21"/>
                <w:szCs w:val="21"/>
                <w:u w:val="wave"/>
                <w:lang w:val="en-US" w:eastAsia="en-US"/>
              </w:rPr>
              <w:t xml:space="preserve">3-1 </w:t>
            </w:r>
            <w:r>
              <w:rPr>
                <w:rFonts w:hint="eastAsia" w:ascii="Times New Roman" w:hAnsi="Times New Roman" w:eastAsia="宋体" w:cs="Times New Roman"/>
                <w:color w:val="FF0000"/>
                <w:sz w:val="21"/>
                <w:szCs w:val="21"/>
                <w:u w:val="wave"/>
                <w:lang w:val="en-US" w:eastAsia="zh-CN"/>
              </w:rPr>
              <w:t xml:space="preserve">  201</w:t>
            </w:r>
            <w:r>
              <w:rPr>
                <w:rFonts w:hint="eastAsia" w:eastAsia="宋体" w:cs="Times New Roman"/>
                <w:color w:val="FF0000"/>
                <w:sz w:val="21"/>
                <w:szCs w:val="21"/>
                <w:u w:val="wave"/>
                <w:lang w:val="en-US" w:eastAsia="zh-CN"/>
              </w:rPr>
              <w:t>9</w:t>
            </w:r>
            <w:r>
              <w:rPr>
                <w:rFonts w:hint="default" w:ascii="Times New Roman" w:hAnsi="Times New Roman" w:eastAsia="宋体" w:cs="Times New Roman"/>
                <w:color w:val="FF0000"/>
                <w:sz w:val="21"/>
                <w:szCs w:val="21"/>
                <w:u w:val="wave"/>
              </w:rPr>
              <w:t>年度</w:t>
            </w:r>
            <w:r>
              <w:rPr>
                <w:rFonts w:hint="eastAsia" w:ascii="Times New Roman" w:hAnsi="Times New Roman" w:eastAsia="宋体" w:cs="Times New Roman"/>
                <w:color w:val="FF0000"/>
                <w:sz w:val="21"/>
                <w:szCs w:val="21"/>
                <w:u w:val="wave"/>
                <w:lang w:eastAsia="zh-CN"/>
              </w:rPr>
              <w:t>邵阳市</w:t>
            </w:r>
            <w:r>
              <w:rPr>
                <w:rFonts w:hint="default" w:ascii="Times New Roman" w:hAnsi="Times New Roman" w:eastAsia="宋体" w:cs="Times New Roman"/>
                <w:color w:val="FF0000"/>
                <w:sz w:val="21"/>
                <w:szCs w:val="21"/>
                <w:u w:val="wave"/>
              </w:rPr>
              <w:t>环境空气质量现状监测结果统计</w:t>
            </w:r>
          </w:p>
          <w:tbl>
            <w:tblPr>
              <w:tblStyle w:val="27"/>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22"/>
              <w:gridCol w:w="1744"/>
              <w:gridCol w:w="1834"/>
              <w:gridCol w:w="1532"/>
              <w:gridCol w:w="1369"/>
              <w:gridCol w:w="13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7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rPr>
                  </w:pPr>
                  <w:r>
                    <w:rPr>
                      <w:rFonts w:hint="default" w:ascii="Times New Roman" w:hAnsi="Times New Roman" w:eastAsia="宋体" w:cs="Times New Roman"/>
                      <w:color w:val="FF0000"/>
                      <w:spacing w:val="-10"/>
                      <w:sz w:val="21"/>
                      <w:szCs w:val="21"/>
                      <w:u w:val="wave"/>
                    </w:rPr>
                    <w:t>污染物</w:t>
                  </w:r>
                </w:p>
              </w:tc>
              <w:tc>
                <w:tcPr>
                  <w:tcW w:w="9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rPr>
                  </w:pPr>
                  <w:r>
                    <w:rPr>
                      <w:rFonts w:hint="default" w:ascii="Times New Roman" w:hAnsi="Times New Roman" w:eastAsia="宋体" w:cs="Times New Roman"/>
                      <w:color w:val="FF0000"/>
                      <w:spacing w:val="-10"/>
                      <w:sz w:val="21"/>
                      <w:szCs w:val="21"/>
                      <w:u w:val="wave"/>
                    </w:rPr>
                    <w:t>年评价指标</w:t>
                  </w:r>
                </w:p>
              </w:tc>
              <w:tc>
                <w:tcPr>
                  <w:tcW w:w="10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b w:val="0"/>
                      <w:bCs w:val="0"/>
                      <w:color w:val="FF0000"/>
                      <w:sz w:val="21"/>
                      <w:szCs w:val="21"/>
                      <w:u w:val="wave"/>
                      <w:lang w:eastAsia="zh-CN"/>
                    </w:rPr>
                  </w:pPr>
                  <w:r>
                    <w:rPr>
                      <w:rFonts w:hint="default" w:ascii="Times New Roman" w:hAnsi="Times New Roman" w:eastAsia="宋体" w:cs="Times New Roman"/>
                      <w:b w:val="0"/>
                      <w:bCs w:val="0"/>
                      <w:color w:val="FF0000"/>
                      <w:spacing w:val="-10"/>
                      <w:sz w:val="21"/>
                      <w:szCs w:val="21"/>
                      <w:u w:val="wave"/>
                    </w:rPr>
                    <w:t>现状浓度</w:t>
                  </w:r>
                </w:p>
              </w:tc>
              <w:tc>
                <w:tcPr>
                  <w:tcW w:w="8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b w:val="0"/>
                      <w:bCs w:val="0"/>
                      <w:color w:val="FF0000"/>
                      <w:sz w:val="21"/>
                      <w:szCs w:val="21"/>
                      <w:u w:val="wave"/>
                    </w:rPr>
                  </w:pPr>
                  <w:r>
                    <w:rPr>
                      <w:rFonts w:hint="default" w:ascii="Times New Roman" w:hAnsi="Times New Roman" w:eastAsia="宋体" w:cs="Times New Roman"/>
                      <w:b w:val="0"/>
                      <w:bCs w:val="0"/>
                      <w:color w:val="FF0000"/>
                      <w:spacing w:val="-10"/>
                      <w:sz w:val="21"/>
                      <w:szCs w:val="21"/>
                      <w:u w:val="wave"/>
                    </w:rPr>
                    <w:t>标准值</w:t>
                  </w:r>
                </w:p>
              </w:tc>
              <w:tc>
                <w:tcPr>
                  <w:tcW w:w="7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lang w:val="en-US" w:eastAsia="zh-CN"/>
                    </w:rPr>
                  </w:pPr>
                  <w:r>
                    <w:rPr>
                      <w:rFonts w:hint="default" w:ascii="Times New Roman" w:hAnsi="Times New Roman" w:eastAsia="宋体" w:cs="Times New Roman"/>
                      <w:color w:val="FF0000"/>
                      <w:spacing w:val="-10"/>
                      <w:sz w:val="21"/>
                      <w:szCs w:val="21"/>
                      <w:u w:val="wave"/>
                    </w:rPr>
                    <w:t>占标率</w:t>
                  </w:r>
                  <w:r>
                    <w:rPr>
                      <w:rFonts w:hint="eastAsia" w:ascii="Times New Roman" w:hAnsi="Times New Roman" w:eastAsia="宋体" w:cs="Times New Roman"/>
                      <w:color w:val="FF0000"/>
                      <w:spacing w:val="-10"/>
                      <w:sz w:val="21"/>
                      <w:szCs w:val="21"/>
                      <w:u w:val="wave"/>
                      <w:lang w:eastAsia="zh-CN"/>
                    </w:rPr>
                    <w:t>（</w:t>
                  </w:r>
                  <w:r>
                    <w:rPr>
                      <w:rFonts w:hint="eastAsia" w:ascii="Times New Roman" w:hAnsi="Times New Roman" w:eastAsia="宋体" w:cs="Times New Roman"/>
                      <w:color w:val="FF0000"/>
                      <w:spacing w:val="-10"/>
                      <w:sz w:val="21"/>
                      <w:szCs w:val="21"/>
                      <w:u w:val="wave"/>
                      <w:lang w:val="en-US" w:eastAsia="zh-CN"/>
                    </w:rPr>
                    <w:t>%）</w:t>
                  </w:r>
                </w:p>
              </w:tc>
              <w:tc>
                <w:tcPr>
                  <w:tcW w:w="7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FF0000"/>
                      <w:sz w:val="21"/>
                      <w:szCs w:val="21"/>
                      <w:u w:val="wave"/>
                      <w:lang w:eastAsia="zh-CN"/>
                    </w:rPr>
                  </w:pPr>
                  <w:r>
                    <w:rPr>
                      <w:rFonts w:hint="eastAsia" w:ascii="Times New Roman" w:hAnsi="Times New Roman" w:cs="Times New Roman"/>
                      <w:color w:val="FF0000"/>
                      <w:sz w:val="21"/>
                      <w:szCs w:val="21"/>
                      <w:u w:val="wave"/>
                      <w:lang w:eastAsia="zh-CN"/>
                    </w:rPr>
                    <w:t>达标排情况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7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vertAlign w:val="subscript"/>
                      <w:lang w:val="en-US" w:eastAsia="zh-CN"/>
                    </w:rPr>
                  </w:pPr>
                  <w:r>
                    <w:rPr>
                      <w:rFonts w:hint="default" w:ascii="Times New Roman" w:hAnsi="Times New Roman" w:eastAsia="宋体" w:cs="Times New Roman"/>
                      <w:color w:val="FF0000"/>
                      <w:sz w:val="21"/>
                      <w:szCs w:val="21"/>
                      <w:u w:val="wave"/>
                      <w:lang w:val="en-US" w:eastAsia="zh-CN"/>
                    </w:rPr>
                    <w:t>PM</w:t>
                  </w:r>
                  <w:r>
                    <w:rPr>
                      <w:rFonts w:hint="eastAsia" w:ascii="Times New Roman" w:hAnsi="Times New Roman" w:cs="Times New Roman"/>
                      <w:color w:val="FF0000"/>
                      <w:sz w:val="21"/>
                      <w:szCs w:val="21"/>
                      <w:u w:val="wave"/>
                      <w:vertAlign w:val="subscript"/>
                      <w:lang w:val="en-US" w:eastAsia="zh-CN"/>
                    </w:rPr>
                    <w:t>10</w:t>
                  </w:r>
                </w:p>
              </w:tc>
              <w:tc>
                <w:tcPr>
                  <w:tcW w:w="9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pacing w:val="-10"/>
                      <w:sz w:val="21"/>
                      <w:szCs w:val="21"/>
                      <w:u w:val="wave"/>
                    </w:rPr>
                  </w:pPr>
                  <w:r>
                    <w:rPr>
                      <w:rFonts w:hint="default" w:ascii="Times New Roman" w:hAnsi="Times New Roman" w:eastAsia="宋体" w:cs="Times New Roman"/>
                      <w:color w:val="FF0000"/>
                      <w:sz w:val="21"/>
                      <w:szCs w:val="21"/>
                      <w:u w:val="wave"/>
                    </w:rPr>
                    <w:t>年平均</w:t>
                  </w:r>
                  <w:r>
                    <w:rPr>
                      <w:rFonts w:hint="eastAsia" w:ascii="Times New Roman" w:hAnsi="Times New Roman" w:cs="Times New Roman"/>
                      <w:color w:val="FF0000"/>
                      <w:sz w:val="21"/>
                      <w:szCs w:val="21"/>
                      <w:u w:val="wave"/>
                      <w:lang w:eastAsia="zh-CN"/>
                    </w:rPr>
                    <w:t>质量</w:t>
                  </w:r>
                  <w:r>
                    <w:rPr>
                      <w:rFonts w:hint="default" w:ascii="Times New Roman" w:hAnsi="Times New Roman" w:eastAsia="宋体" w:cs="Times New Roman"/>
                      <w:color w:val="FF0000"/>
                      <w:sz w:val="21"/>
                      <w:szCs w:val="21"/>
                      <w:u w:val="wave"/>
                    </w:rPr>
                    <w:t>浓度</w:t>
                  </w:r>
                </w:p>
              </w:tc>
              <w:tc>
                <w:tcPr>
                  <w:tcW w:w="10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b w:val="0"/>
                      <w:bCs w:val="0"/>
                      <w:color w:val="FF0000"/>
                      <w:spacing w:val="-10"/>
                      <w:sz w:val="21"/>
                      <w:szCs w:val="21"/>
                      <w:u w:val="wave"/>
                      <w:lang w:val="en-US" w:eastAsia="zh-CN"/>
                    </w:rPr>
                  </w:pPr>
                  <w:r>
                    <w:rPr>
                      <w:rFonts w:hint="eastAsia" w:cs="Times New Roman"/>
                      <w:color w:val="FF0000"/>
                      <w:sz w:val="21"/>
                      <w:szCs w:val="21"/>
                      <w:u w:val="wave"/>
                      <w:lang w:val="en-US" w:eastAsia="zh-CN"/>
                    </w:rPr>
                    <w:t>61.75</w:t>
                  </w:r>
                  <w:r>
                    <w:rPr>
                      <w:rFonts w:hint="default" w:ascii="Times New Roman" w:hAnsi="Times New Roman" w:eastAsia="宋体" w:cs="Times New Roman"/>
                      <w:b w:val="0"/>
                      <w:bCs w:val="0"/>
                      <w:color w:val="FF0000"/>
                      <w:sz w:val="21"/>
                      <w:szCs w:val="21"/>
                      <w:u w:val="wave"/>
                      <w:lang w:val="en-US" w:eastAsia="en-US"/>
                    </w:rPr>
                    <w:t>μg/m</w:t>
                  </w:r>
                  <w:r>
                    <w:rPr>
                      <w:rFonts w:hint="default" w:ascii="Times New Roman" w:hAnsi="Times New Roman" w:eastAsia="宋体" w:cs="Times New Roman"/>
                      <w:b w:val="0"/>
                      <w:bCs w:val="0"/>
                      <w:color w:val="FF0000"/>
                      <w:sz w:val="21"/>
                      <w:szCs w:val="21"/>
                      <w:u w:val="wave"/>
                      <w:vertAlign w:val="superscript"/>
                      <w:lang w:val="en-US" w:eastAsia="en-US"/>
                    </w:rPr>
                    <w:t>3</w:t>
                  </w:r>
                </w:p>
              </w:tc>
              <w:tc>
                <w:tcPr>
                  <w:tcW w:w="8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b w:val="0"/>
                      <w:bCs w:val="0"/>
                      <w:color w:val="FF0000"/>
                      <w:spacing w:val="-10"/>
                      <w:sz w:val="21"/>
                      <w:szCs w:val="21"/>
                      <w:u w:val="wave"/>
                    </w:rPr>
                  </w:pPr>
                  <w:r>
                    <w:rPr>
                      <w:rFonts w:hint="default" w:ascii="Times New Roman" w:hAnsi="Times New Roman" w:eastAsia="宋体" w:cs="Times New Roman"/>
                      <w:color w:val="FF0000"/>
                      <w:sz w:val="21"/>
                      <w:szCs w:val="21"/>
                      <w:u w:val="wave"/>
                    </w:rPr>
                    <w:t>70</w:t>
                  </w:r>
                  <w:r>
                    <w:rPr>
                      <w:rFonts w:hint="default" w:ascii="Times New Roman" w:hAnsi="Times New Roman" w:eastAsia="宋体" w:cs="Times New Roman"/>
                      <w:b w:val="0"/>
                      <w:bCs w:val="0"/>
                      <w:color w:val="FF0000"/>
                      <w:sz w:val="21"/>
                      <w:szCs w:val="21"/>
                      <w:u w:val="wave"/>
                      <w:lang w:val="en-US" w:eastAsia="en-US"/>
                    </w:rPr>
                    <w:t>μg/m</w:t>
                  </w:r>
                  <w:r>
                    <w:rPr>
                      <w:rFonts w:hint="default" w:ascii="Times New Roman" w:hAnsi="Times New Roman" w:eastAsia="宋体" w:cs="Times New Roman"/>
                      <w:b w:val="0"/>
                      <w:bCs w:val="0"/>
                      <w:color w:val="FF0000"/>
                      <w:sz w:val="21"/>
                      <w:szCs w:val="21"/>
                      <w:u w:val="wave"/>
                      <w:vertAlign w:val="superscript"/>
                      <w:lang w:val="en-US" w:eastAsia="en-US"/>
                    </w:rPr>
                    <w:t>3</w:t>
                  </w:r>
                </w:p>
              </w:tc>
              <w:tc>
                <w:tcPr>
                  <w:tcW w:w="7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pacing w:val="-10"/>
                      <w:sz w:val="21"/>
                      <w:szCs w:val="21"/>
                      <w:u w:val="wave"/>
                      <w:lang w:val="en-US" w:eastAsia="zh-CN"/>
                    </w:rPr>
                  </w:pPr>
                  <w:r>
                    <w:rPr>
                      <w:rFonts w:hint="eastAsia" w:cs="Times New Roman"/>
                      <w:color w:val="FF0000"/>
                      <w:spacing w:val="-10"/>
                      <w:sz w:val="21"/>
                      <w:szCs w:val="21"/>
                      <w:u w:val="wave"/>
                      <w:lang w:val="en-US" w:eastAsia="zh-CN"/>
                    </w:rPr>
                    <w:t>88.21</w:t>
                  </w:r>
                </w:p>
              </w:tc>
              <w:tc>
                <w:tcPr>
                  <w:tcW w:w="7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cs="Times New Roman"/>
                      <w:color w:val="FF0000"/>
                      <w:sz w:val="21"/>
                      <w:szCs w:val="21"/>
                      <w:u w:val="wave"/>
                      <w:lang w:eastAsia="zh-CN"/>
                    </w:rPr>
                  </w:pPr>
                  <w:r>
                    <w:rPr>
                      <w:rFonts w:hint="default" w:ascii="Times New Roman" w:hAnsi="Times New Roman" w:eastAsia="宋体" w:cs="Times New Roman"/>
                      <w:color w:val="FF0000"/>
                      <w:sz w:val="21"/>
                      <w:szCs w:val="21"/>
                      <w:u w:val="wav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7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lang w:val="en-US" w:eastAsia="zh-CN"/>
                    </w:rPr>
                  </w:pPr>
                  <w:r>
                    <w:rPr>
                      <w:rFonts w:hint="default" w:ascii="Times New Roman" w:hAnsi="Times New Roman" w:eastAsia="宋体" w:cs="Times New Roman"/>
                      <w:smallCaps/>
                      <w:color w:val="FF0000"/>
                      <w:sz w:val="21"/>
                      <w:szCs w:val="21"/>
                      <w:u w:val="wave"/>
                      <w:lang w:val="en-US" w:eastAsia="en-US"/>
                    </w:rPr>
                    <w:t>PM</w:t>
                  </w:r>
                  <w:r>
                    <w:rPr>
                      <w:rFonts w:hint="eastAsia" w:ascii="Times New Roman" w:hAnsi="Times New Roman" w:cs="Times New Roman"/>
                      <w:smallCaps/>
                      <w:color w:val="FF0000"/>
                      <w:sz w:val="21"/>
                      <w:szCs w:val="21"/>
                      <w:u w:val="wave"/>
                      <w:vertAlign w:val="subscript"/>
                      <w:lang w:val="en-US" w:eastAsia="zh-CN"/>
                    </w:rPr>
                    <w:t>2.5</w:t>
                  </w:r>
                </w:p>
              </w:tc>
              <w:tc>
                <w:tcPr>
                  <w:tcW w:w="9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rPr>
                  </w:pPr>
                  <w:r>
                    <w:rPr>
                      <w:rFonts w:hint="default" w:ascii="Times New Roman" w:hAnsi="Times New Roman" w:eastAsia="宋体" w:cs="Times New Roman"/>
                      <w:color w:val="FF0000"/>
                      <w:sz w:val="21"/>
                      <w:szCs w:val="21"/>
                      <w:u w:val="wave"/>
                    </w:rPr>
                    <w:t>年平均</w:t>
                  </w:r>
                  <w:r>
                    <w:rPr>
                      <w:rFonts w:hint="eastAsia" w:ascii="Times New Roman" w:hAnsi="Times New Roman" w:cs="Times New Roman"/>
                      <w:color w:val="FF0000"/>
                      <w:sz w:val="21"/>
                      <w:szCs w:val="21"/>
                      <w:u w:val="wave"/>
                      <w:lang w:eastAsia="zh-CN"/>
                    </w:rPr>
                    <w:t>质量</w:t>
                  </w:r>
                  <w:r>
                    <w:rPr>
                      <w:rFonts w:hint="default" w:ascii="Times New Roman" w:hAnsi="Times New Roman" w:eastAsia="宋体" w:cs="Times New Roman"/>
                      <w:color w:val="FF0000"/>
                      <w:sz w:val="21"/>
                      <w:szCs w:val="21"/>
                      <w:u w:val="wave"/>
                    </w:rPr>
                    <w:t>浓度</w:t>
                  </w:r>
                </w:p>
              </w:tc>
              <w:tc>
                <w:tcPr>
                  <w:tcW w:w="10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rPr>
                  </w:pPr>
                  <w:r>
                    <w:rPr>
                      <w:rFonts w:hint="eastAsia" w:cs="Times New Roman"/>
                      <w:color w:val="FF0000"/>
                      <w:sz w:val="21"/>
                      <w:szCs w:val="21"/>
                      <w:u w:val="wave"/>
                      <w:lang w:val="en-US" w:eastAsia="zh-CN"/>
                    </w:rPr>
                    <w:t>44.42</w:t>
                  </w:r>
                  <w:r>
                    <w:rPr>
                      <w:rFonts w:hint="default" w:ascii="Times New Roman" w:hAnsi="Times New Roman" w:eastAsia="宋体" w:cs="Times New Roman"/>
                      <w:b w:val="0"/>
                      <w:bCs w:val="0"/>
                      <w:color w:val="FF0000"/>
                      <w:sz w:val="21"/>
                      <w:szCs w:val="21"/>
                      <w:u w:val="wave"/>
                      <w:lang w:val="en-US" w:eastAsia="en-US"/>
                    </w:rPr>
                    <w:t>μg/m</w:t>
                  </w:r>
                  <w:r>
                    <w:rPr>
                      <w:rFonts w:hint="default" w:ascii="Times New Roman" w:hAnsi="Times New Roman" w:eastAsia="宋体" w:cs="Times New Roman"/>
                      <w:b w:val="0"/>
                      <w:bCs w:val="0"/>
                      <w:color w:val="FF0000"/>
                      <w:sz w:val="21"/>
                      <w:szCs w:val="21"/>
                      <w:u w:val="wave"/>
                      <w:vertAlign w:val="superscript"/>
                      <w:lang w:val="en-US" w:eastAsia="en-US"/>
                    </w:rPr>
                    <w:t>3</w:t>
                  </w:r>
                </w:p>
              </w:tc>
              <w:tc>
                <w:tcPr>
                  <w:tcW w:w="8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rPr>
                  </w:pPr>
                  <w:r>
                    <w:rPr>
                      <w:rFonts w:hint="eastAsia" w:ascii="Times New Roman" w:hAnsi="Times New Roman" w:eastAsia="宋体" w:cs="Times New Roman"/>
                      <w:b w:val="0"/>
                      <w:bCs w:val="0"/>
                      <w:color w:val="FF0000"/>
                      <w:sz w:val="21"/>
                      <w:szCs w:val="21"/>
                      <w:u w:val="wave"/>
                      <w:lang w:val="en-US" w:eastAsia="zh-CN"/>
                    </w:rPr>
                    <w:t>35</w:t>
                  </w:r>
                  <w:r>
                    <w:rPr>
                      <w:rFonts w:hint="default" w:ascii="Times New Roman" w:hAnsi="Times New Roman" w:eastAsia="宋体" w:cs="Times New Roman"/>
                      <w:b w:val="0"/>
                      <w:bCs w:val="0"/>
                      <w:color w:val="FF0000"/>
                      <w:sz w:val="21"/>
                      <w:szCs w:val="21"/>
                      <w:u w:val="wave"/>
                      <w:lang w:val="en-US" w:eastAsia="en-US"/>
                    </w:rPr>
                    <w:t>μg/m</w:t>
                  </w:r>
                  <w:r>
                    <w:rPr>
                      <w:rFonts w:hint="default" w:ascii="Times New Roman" w:hAnsi="Times New Roman" w:eastAsia="宋体" w:cs="Times New Roman"/>
                      <w:b w:val="0"/>
                      <w:bCs w:val="0"/>
                      <w:color w:val="FF0000"/>
                      <w:sz w:val="21"/>
                      <w:szCs w:val="21"/>
                      <w:u w:val="wave"/>
                      <w:vertAlign w:val="superscript"/>
                      <w:lang w:val="en-US" w:eastAsia="en-US"/>
                    </w:rPr>
                    <w:t>3</w:t>
                  </w:r>
                </w:p>
              </w:tc>
              <w:tc>
                <w:tcPr>
                  <w:tcW w:w="7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lang w:val="en-US" w:eastAsia="zh-CN"/>
                    </w:rPr>
                  </w:pPr>
                  <w:r>
                    <w:rPr>
                      <w:rFonts w:hint="eastAsia" w:cs="Times New Roman"/>
                      <w:color w:val="FF0000"/>
                      <w:sz w:val="21"/>
                      <w:szCs w:val="21"/>
                      <w:u w:val="wave"/>
                      <w:lang w:val="en-US" w:eastAsia="zh-CN"/>
                    </w:rPr>
                    <w:t>126.91</w:t>
                  </w:r>
                </w:p>
              </w:tc>
              <w:tc>
                <w:tcPr>
                  <w:tcW w:w="7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FF0000"/>
                      <w:sz w:val="21"/>
                      <w:szCs w:val="21"/>
                      <w:u w:val="wave"/>
                      <w:lang w:val="en-US" w:eastAsia="zh-CN"/>
                    </w:rPr>
                  </w:pPr>
                  <w:r>
                    <w:rPr>
                      <w:rFonts w:hint="eastAsia" w:ascii="Times New Roman" w:hAnsi="Times New Roman" w:eastAsia="宋体" w:cs="Times New Roman"/>
                      <w:color w:val="FF0000"/>
                      <w:sz w:val="21"/>
                      <w:szCs w:val="21"/>
                      <w:u w:val="wave"/>
                      <w:lang w:val="en-US" w:eastAsia="zh-CN"/>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7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FF0000"/>
                      <w:sz w:val="21"/>
                      <w:szCs w:val="21"/>
                      <w:u w:val="wave"/>
                      <w:lang w:eastAsia="zh-CN"/>
                    </w:rPr>
                  </w:pPr>
                  <w:r>
                    <w:rPr>
                      <w:rFonts w:hint="default" w:ascii="Times New Roman" w:hAnsi="Times New Roman" w:eastAsia="宋体" w:cs="Times New Roman"/>
                      <w:color w:val="FF0000"/>
                      <w:sz w:val="21"/>
                      <w:szCs w:val="21"/>
                      <w:u w:val="wave"/>
                      <w:lang w:val="en-US" w:eastAsia="en-US"/>
                    </w:rPr>
                    <w:t>NO</w:t>
                  </w:r>
                  <w:r>
                    <w:rPr>
                      <w:rFonts w:hint="eastAsia" w:ascii="Times New Roman" w:hAnsi="Times New Roman" w:cs="Times New Roman"/>
                      <w:color w:val="FF0000"/>
                      <w:sz w:val="21"/>
                      <w:szCs w:val="21"/>
                      <w:u w:val="wave"/>
                      <w:vertAlign w:val="subscript"/>
                      <w:lang w:val="en-US" w:eastAsia="zh-CN"/>
                    </w:rPr>
                    <w:t>2</w:t>
                  </w:r>
                </w:p>
              </w:tc>
              <w:tc>
                <w:tcPr>
                  <w:tcW w:w="9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rPr>
                  </w:pPr>
                  <w:r>
                    <w:rPr>
                      <w:rFonts w:hint="default" w:ascii="Times New Roman" w:hAnsi="Times New Roman" w:eastAsia="宋体" w:cs="Times New Roman"/>
                      <w:color w:val="FF0000"/>
                      <w:sz w:val="21"/>
                      <w:szCs w:val="21"/>
                      <w:u w:val="wave"/>
                    </w:rPr>
                    <w:t>年平均</w:t>
                  </w:r>
                  <w:r>
                    <w:rPr>
                      <w:rFonts w:hint="eastAsia" w:ascii="Times New Roman" w:hAnsi="Times New Roman" w:cs="Times New Roman"/>
                      <w:color w:val="FF0000"/>
                      <w:sz w:val="21"/>
                      <w:szCs w:val="21"/>
                      <w:u w:val="wave"/>
                      <w:lang w:eastAsia="zh-CN"/>
                    </w:rPr>
                    <w:t>质量</w:t>
                  </w:r>
                  <w:r>
                    <w:rPr>
                      <w:rFonts w:hint="default" w:ascii="Times New Roman" w:hAnsi="Times New Roman" w:eastAsia="宋体" w:cs="Times New Roman"/>
                      <w:color w:val="FF0000"/>
                      <w:sz w:val="21"/>
                      <w:szCs w:val="21"/>
                      <w:u w:val="wave"/>
                    </w:rPr>
                    <w:t>浓度</w:t>
                  </w:r>
                </w:p>
              </w:tc>
              <w:tc>
                <w:tcPr>
                  <w:tcW w:w="10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rPr>
                  </w:pPr>
                  <w:r>
                    <w:rPr>
                      <w:rFonts w:hint="eastAsia" w:cs="Times New Roman"/>
                      <w:color w:val="FF0000"/>
                      <w:sz w:val="21"/>
                      <w:szCs w:val="21"/>
                      <w:u w:val="wave"/>
                      <w:lang w:val="en-US" w:eastAsia="zh-CN"/>
                    </w:rPr>
                    <w:t>24.17</w:t>
                  </w:r>
                  <w:r>
                    <w:rPr>
                      <w:rFonts w:hint="default" w:ascii="Times New Roman" w:hAnsi="Times New Roman" w:eastAsia="宋体" w:cs="Times New Roman"/>
                      <w:b w:val="0"/>
                      <w:bCs w:val="0"/>
                      <w:color w:val="FF0000"/>
                      <w:sz w:val="21"/>
                      <w:szCs w:val="21"/>
                      <w:u w:val="wave"/>
                      <w:lang w:val="en-US" w:eastAsia="en-US"/>
                    </w:rPr>
                    <w:t>μg/m</w:t>
                  </w:r>
                  <w:r>
                    <w:rPr>
                      <w:rFonts w:hint="default" w:ascii="Times New Roman" w:hAnsi="Times New Roman" w:eastAsia="宋体" w:cs="Times New Roman"/>
                      <w:b w:val="0"/>
                      <w:bCs w:val="0"/>
                      <w:color w:val="FF0000"/>
                      <w:sz w:val="21"/>
                      <w:szCs w:val="21"/>
                      <w:u w:val="wave"/>
                      <w:vertAlign w:val="superscript"/>
                      <w:lang w:val="en-US" w:eastAsia="en-US"/>
                    </w:rPr>
                    <w:t>3</w:t>
                  </w:r>
                </w:p>
              </w:tc>
              <w:tc>
                <w:tcPr>
                  <w:tcW w:w="8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rPr>
                  </w:pPr>
                  <w:r>
                    <w:rPr>
                      <w:rFonts w:hint="default" w:ascii="Times New Roman" w:hAnsi="Times New Roman" w:eastAsia="宋体" w:cs="Times New Roman"/>
                      <w:color w:val="FF0000"/>
                      <w:sz w:val="21"/>
                      <w:szCs w:val="21"/>
                      <w:u w:val="wave"/>
                    </w:rPr>
                    <w:t>40</w:t>
                  </w:r>
                  <w:r>
                    <w:rPr>
                      <w:rFonts w:hint="default" w:ascii="Times New Roman" w:hAnsi="Times New Roman" w:eastAsia="宋体" w:cs="Times New Roman"/>
                      <w:b w:val="0"/>
                      <w:bCs w:val="0"/>
                      <w:color w:val="FF0000"/>
                      <w:sz w:val="21"/>
                      <w:szCs w:val="21"/>
                      <w:u w:val="wave"/>
                      <w:lang w:val="en-US" w:eastAsia="en-US"/>
                    </w:rPr>
                    <w:t>μg/m</w:t>
                  </w:r>
                  <w:r>
                    <w:rPr>
                      <w:rFonts w:hint="default" w:ascii="Times New Roman" w:hAnsi="Times New Roman" w:eastAsia="宋体" w:cs="Times New Roman"/>
                      <w:b w:val="0"/>
                      <w:bCs w:val="0"/>
                      <w:color w:val="FF0000"/>
                      <w:sz w:val="21"/>
                      <w:szCs w:val="21"/>
                      <w:u w:val="wave"/>
                      <w:vertAlign w:val="superscript"/>
                      <w:lang w:val="en-US" w:eastAsia="en-US"/>
                    </w:rPr>
                    <w:t>3</w:t>
                  </w:r>
                </w:p>
              </w:tc>
              <w:tc>
                <w:tcPr>
                  <w:tcW w:w="7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lang w:val="en-US" w:eastAsia="zh-CN"/>
                    </w:rPr>
                  </w:pPr>
                  <w:r>
                    <w:rPr>
                      <w:rFonts w:hint="eastAsia" w:cs="Times New Roman"/>
                      <w:color w:val="FF0000"/>
                      <w:sz w:val="21"/>
                      <w:szCs w:val="21"/>
                      <w:u w:val="wave"/>
                      <w:lang w:val="en-US" w:eastAsia="zh-CN"/>
                    </w:rPr>
                    <w:t>60.43</w:t>
                  </w:r>
                </w:p>
              </w:tc>
              <w:tc>
                <w:tcPr>
                  <w:tcW w:w="7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rPr>
                  </w:pPr>
                  <w:r>
                    <w:rPr>
                      <w:rFonts w:hint="default" w:ascii="Times New Roman" w:hAnsi="Times New Roman" w:eastAsia="宋体" w:cs="Times New Roman"/>
                      <w:color w:val="FF0000"/>
                      <w:sz w:val="21"/>
                      <w:szCs w:val="21"/>
                      <w:u w:val="wav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7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FF0000"/>
                      <w:sz w:val="21"/>
                      <w:szCs w:val="21"/>
                      <w:u w:val="wave"/>
                      <w:lang w:eastAsia="zh-CN"/>
                    </w:rPr>
                  </w:pPr>
                  <w:r>
                    <w:rPr>
                      <w:rFonts w:hint="default" w:ascii="Times New Roman" w:hAnsi="Times New Roman" w:eastAsia="宋体" w:cs="Times New Roman"/>
                      <w:color w:val="FF0000"/>
                      <w:sz w:val="21"/>
                      <w:szCs w:val="21"/>
                      <w:u w:val="wave"/>
                      <w:lang w:val="en-US" w:eastAsia="en-US"/>
                    </w:rPr>
                    <w:t>SO</w:t>
                  </w:r>
                  <w:r>
                    <w:rPr>
                      <w:rFonts w:hint="eastAsia" w:ascii="Times New Roman" w:hAnsi="Times New Roman" w:cs="Times New Roman"/>
                      <w:color w:val="FF0000"/>
                      <w:sz w:val="21"/>
                      <w:szCs w:val="21"/>
                      <w:u w:val="wave"/>
                      <w:vertAlign w:val="subscript"/>
                      <w:lang w:val="en-US" w:eastAsia="zh-CN"/>
                    </w:rPr>
                    <w:t>2</w:t>
                  </w:r>
                </w:p>
              </w:tc>
              <w:tc>
                <w:tcPr>
                  <w:tcW w:w="9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rPr>
                  </w:pPr>
                  <w:r>
                    <w:rPr>
                      <w:rFonts w:hint="default" w:ascii="Times New Roman" w:hAnsi="Times New Roman" w:eastAsia="宋体" w:cs="Times New Roman"/>
                      <w:color w:val="FF0000"/>
                      <w:sz w:val="21"/>
                      <w:szCs w:val="21"/>
                      <w:u w:val="wave"/>
                    </w:rPr>
                    <w:t>年平均</w:t>
                  </w:r>
                  <w:r>
                    <w:rPr>
                      <w:rFonts w:hint="eastAsia" w:ascii="Times New Roman" w:hAnsi="Times New Roman" w:cs="Times New Roman"/>
                      <w:color w:val="FF0000"/>
                      <w:sz w:val="21"/>
                      <w:szCs w:val="21"/>
                      <w:u w:val="wave"/>
                      <w:lang w:eastAsia="zh-CN"/>
                    </w:rPr>
                    <w:t>质量</w:t>
                  </w:r>
                  <w:r>
                    <w:rPr>
                      <w:rFonts w:hint="default" w:ascii="Times New Roman" w:hAnsi="Times New Roman" w:eastAsia="宋体" w:cs="Times New Roman"/>
                      <w:color w:val="FF0000"/>
                      <w:sz w:val="21"/>
                      <w:szCs w:val="21"/>
                      <w:u w:val="wave"/>
                    </w:rPr>
                    <w:t>浓度</w:t>
                  </w:r>
                </w:p>
              </w:tc>
              <w:tc>
                <w:tcPr>
                  <w:tcW w:w="10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rPr>
                  </w:pPr>
                  <w:r>
                    <w:rPr>
                      <w:rFonts w:hint="eastAsia" w:cs="Times New Roman"/>
                      <w:color w:val="FF0000"/>
                      <w:sz w:val="21"/>
                      <w:szCs w:val="21"/>
                      <w:u w:val="wave"/>
                      <w:lang w:val="en-US" w:eastAsia="zh-CN"/>
                    </w:rPr>
                    <w:t>13.33</w:t>
                  </w:r>
                  <w:r>
                    <w:rPr>
                      <w:rFonts w:hint="default" w:ascii="Times New Roman" w:hAnsi="Times New Roman" w:eastAsia="宋体" w:cs="Times New Roman"/>
                      <w:b w:val="0"/>
                      <w:bCs w:val="0"/>
                      <w:color w:val="FF0000"/>
                      <w:sz w:val="21"/>
                      <w:szCs w:val="21"/>
                      <w:u w:val="wave"/>
                      <w:lang w:val="en-US" w:eastAsia="en-US"/>
                    </w:rPr>
                    <w:t>μg/m</w:t>
                  </w:r>
                  <w:r>
                    <w:rPr>
                      <w:rFonts w:hint="default" w:ascii="Times New Roman" w:hAnsi="Times New Roman" w:eastAsia="宋体" w:cs="Times New Roman"/>
                      <w:b w:val="0"/>
                      <w:bCs w:val="0"/>
                      <w:color w:val="FF0000"/>
                      <w:sz w:val="21"/>
                      <w:szCs w:val="21"/>
                      <w:u w:val="wave"/>
                      <w:vertAlign w:val="superscript"/>
                      <w:lang w:val="en-US" w:eastAsia="en-US"/>
                    </w:rPr>
                    <w:t>3</w:t>
                  </w:r>
                </w:p>
              </w:tc>
              <w:tc>
                <w:tcPr>
                  <w:tcW w:w="8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rPr>
                  </w:pPr>
                  <w:r>
                    <w:rPr>
                      <w:rFonts w:hint="default" w:ascii="Times New Roman" w:hAnsi="Times New Roman" w:eastAsia="宋体" w:cs="Times New Roman"/>
                      <w:color w:val="FF0000"/>
                      <w:sz w:val="21"/>
                      <w:szCs w:val="21"/>
                      <w:u w:val="wave"/>
                    </w:rPr>
                    <w:t>60</w:t>
                  </w:r>
                  <w:r>
                    <w:rPr>
                      <w:rFonts w:hint="default" w:ascii="Times New Roman" w:hAnsi="Times New Roman" w:eastAsia="宋体" w:cs="Times New Roman"/>
                      <w:b w:val="0"/>
                      <w:bCs w:val="0"/>
                      <w:color w:val="FF0000"/>
                      <w:sz w:val="21"/>
                      <w:szCs w:val="21"/>
                      <w:u w:val="wave"/>
                      <w:lang w:val="en-US" w:eastAsia="en-US"/>
                    </w:rPr>
                    <w:t>μg/m</w:t>
                  </w:r>
                  <w:r>
                    <w:rPr>
                      <w:rFonts w:hint="default" w:ascii="Times New Roman" w:hAnsi="Times New Roman" w:eastAsia="宋体" w:cs="Times New Roman"/>
                      <w:b w:val="0"/>
                      <w:bCs w:val="0"/>
                      <w:color w:val="FF0000"/>
                      <w:sz w:val="21"/>
                      <w:szCs w:val="21"/>
                      <w:u w:val="wave"/>
                      <w:vertAlign w:val="superscript"/>
                      <w:lang w:val="en-US" w:eastAsia="en-US"/>
                    </w:rPr>
                    <w:t>3</w:t>
                  </w:r>
                </w:p>
              </w:tc>
              <w:tc>
                <w:tcPr>
                  <w:tcW w:w="7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lang w:val="en-US" w:eastAsia="zh-CN"/>
                    </w:rPr>
                  </w:pPr>
                  <w:r>
                    <w:rPr>
                      <w:rFonts w:hint="eastAsia" w:cs="Times New Roman"/>
                      <w:color w:val="FF0000"/>
                      <w:sz w:val="21"/>
                      <w:szCs w:val="21"/>
                      <w:u w:val="wave"/>
                      <w:lang w:val="en-US" w:eastAsia="zh-CN"/>
                    </w:rPr>
                    <w:t>22.22</w:t>
                  </w:r>
                </w:p>
              </w:tc>
              <w:tc>
                <w:tcPr>
                  <w:tcW w:w="7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rPr>
                  </w:pPr>
                  <w:r>
                    <w:rPr>
                      <w:rFonts w:hint="default" w:ascii="Times New Roman" w:hAnsi="Times New Roman" w:eastAsia="宋体" w:cs="Times New Roman"/>
                      <w:color w:val="FF0000"/>
                      <w:sz w:val="21"/>
                      <w:szCs w:val="21"/>
                      <w:u w:val="wav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7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rPr>
                  </w:pPr>
                  <w:r>
                    <w:rPr>
                      <w:rFonts w:hint="default" w:ascii="Times New Roman" w:hAnsi="Times New Roman" w:eastAsia="宋体" w:cs="Times New Roman"/>
                      <w:color w:val="FF0000"/>
                      <w:sz w:val="21"/>
                      <w:szCs w:val="21"/>
                      <w:u w:val="wave"/>
                      <w:lang w:val="en-US" w:eastAsia="en-US"/>
                    </w:rPr>
                    <w:t>CO (mg/m</w:t>
                  </w:r>
                  <w:r>
                    <w:rPr>
                      <w:rFonts w:hint="default" w:ascii="Times New Roman" w:hAnsi="Times New Roman" w:eastAsia="宋体" w:cs="Times New Roman"/>
                      <w:color w:val="FF0000"/>
                      <w:sz w:val="21"/>
                      <w:szCs w:val="21"/>
                      <w:u w:val="wave"/>
                      <w:vertAlign w:val="superscript"/>
                      <w:lang w:val="en-US" w:eastAsia="en-US"/>
                    </w:rPr>
                    <w:t>3</w:t>
                  </w:r>
                  <w:r>
                    <w:rPr>
                      <w:rFonts w:hint="default" w:ascii="Times New Roman" w:hAnsi="Times New Roman" w:eastAsia="宋体" w:cs="Times New Roman"/>
                      <w:color w:val="FF0000"/>
                      <w:sz w:val="21"/>
                      <w:szCs w:val="21"/>
                      <w:u w:val="wave"/>
                      <w:lang w:val="en-US" w:eastAsia="en-US"/>
                    </w:rPr>
                    <w:t>)</w:t>
                  </w:r>
                </w:p>
              </w:tc>
              <w:tc>
                <w:tcPr>
                  <w:tcW w:w="9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lang w:val="en-US" w:eastAsia="zh-CN"/>
                    </w:rPr>
                  </w:pPr>
                  <w:r>
                    <w:rPr>
                      <w:rFonts w:hint="eastAsia" w:cs="Times New Roman"/>
                      <w:color w:val="FF0000"/>
                      <w:sz w:val="21"/>
                      <w:szCs w:val="21"/>
                      <w:u w:val="wave"/>
                      <w:lang w:val="en-US" w:eastAsia="zh-CN"/>
                    </w:rPr>
                    <w:t>95百分位数</w:t>
                  </w:r>
                  <w:r>
                    <w:rPr>
                      <w:rFonts w:hint="default" w:ascii="Times New Roman" w:hAnsi="Times New Roman" w:eastAsia="宋体" w:cs="Times New Roman"/>
                      <w:color w:val="FF0000"/>
                      <w:sz w:val="21"/>
                      <w:szCs w:val="21"/>
                      <w:u w:val="wave"/>
                    </w:rPr>
                    <w:t>24小时平均</w:t>
                  </w:r>
                </w:p>
              </w:tc>
              <w:tc>
                <w:tcPr>
                  <w:tcW w:w="10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rPr>
                  </w:pPr>
                  <w:r>
                    <w:rPr>
                      <w:rFonts w:hint="eastAsia" w:cs="Times New Roman"/>
                      <w:color w:val="FF0000"/>
                      <w:sz w:val="21"/>
                      <w:szCs w:val="21"/>
                      <w:u w:val="wave"/>
                      <w:lang w:val="en-US" w:eastAsia="zh-CN"/>
                    </w:rPr>
                    <w:t>1.14m</w:t>
                  </w:r>
                  <w:r>
                    <w:rPr>
                      <w:rFonts w:hint="default" w:ascii="Times New Roman" w:hAnsi="Times New Roman" w:eastAsia="宋体" w:cs="Times New Roman"/>
                      <w:b w:val="0"/>
                      <w:bCs w:val="0"/>
                      <w:color w:val="FF0000"/>
                      <w:sz w:val="21"/>
                      <w:szCs w:val="21"/>
                      <w:u w:val="wave"/>
                      <w:lang w:val="en-US" w:eastAsia="en-US"/>
                    </w:rPr>
                    <w:t>g/m</w:t>
                  </w:r>
                  <w:r>
                    <w:rPr>
                      <w:rFonts w:hint="default" w:ascii="Times New Roman" w:hAnsi="Times New Roman" w:eastAsia="宋体" w:cs="Times New Roman"/>
                      <w:b w:val="0"/>
                      <w:bCs w:val="0"/>
                      <w:color w:val="FF0000"/>
                      <w:sz w:val="21"/>
                      <w:szCs w:val="21"/>
                      <w:u w:val="wave"/>
                      <w:vertAlign w:val="superscript"/>
                      <w:lang w:val="en-US" w:eastAsia="en-US"/>
                    </w:rPr>
                    <w:t>3</w:t>
                  </w:r>
                </w:p>
              </w:tc>
              <w:tc>
                <w:tcPr>
                  <w:tcW w:w="8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rPr>
                  </w:pPr>
                  <w:r>
                    <w:rPr>
                      <w:rFonts w:hint="default" w:ascii="Times New Roman" w:hAnsi="Times New Roman" w:eastAsia="宋体" w:cs="Times New Roman"/>
                      <w:color w:val="FF0000"/>
                      <w:sz w:val="21"/>
                      <w:szCs w:val="21"/>
                      <w:u w:val="wave"/>
                    </w:rPr>
                    <w:t>4</w:t>
                  </w:r>
                  <w:r>
                    <w:rPr>
                      <w:rFonts w:hint="eastAsia" w:cs="Times New Roman"/>
                      <w:color w:val="FF0000"/>
                      <w:sz w:val="21"/>
                      <w:szCs w:val="21"/>
                      <w:u w:val="wave"/>
                      <w:lang w:val="en-US" w:eastAsia="zh-CN"/>
                    </w:rPr>
                    <w:t>m</w:t>
                  </w:r>
                  <w:r>
                    <w:rPr>
                      <w:rFonts w:hint="default" w:ascii="Times New Roman" w:hAnsi="Times New Roman" w:eastAsia="宋体" w:cs="Times New Roman"/>
                      <w:b w:val="0"/>
                      <w:bCs w:val="0"/>
                      <w:color w:val="FF0000"/>
                      <w:sz w:val="21"/>
                      <w:szCs w:val="21"/>
                      <w:u w:val="wave"/>
                      <w:lang w:val="en-US" w:eastAsia="en-US"/>
                    </w:rPr>
                    <w:t>g/m</w:t>
                  </w:r>
                  <w:r>
                    <w:rPr>
                      <w:rFonts w:hint="default" w:ascii="Times New Roman" w:hAnsi="Times New Roman" w:eastAsia="宋体" w:cs="Times New Roman"/>
                      <w:b w:val="0"/>
                      <w:bCs w:val="0"/>
                      <w:color w:val="FF0000"/>
                      <w:sz w:val="21"/>
                      <w:szCs w:val="21"/>
                      <w:u w:val="wave"/>
                      <w:vertAlign w:val="superscript"/>
                      <w:lang w:val="en-US" w:eastAsia="en-US"/>
                    </w:rPr>
                    <w:t>3</w:t>
                  </w:r>
                </w:p>
              </w:tc>
              <w:tc>
                <w:tcPr>
                  <w:tcW w:w="7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lang w:val="en-US" w:eastAsia="zh-CN"/>
                    </w:rPr>
                  </w:pPr>
                  <w:r>
                    <w:rPr>
                      <w:rFonts w:hint="eastAsia" w:cs="Times New Roman"/>
                      <w:color w:val="FF0000"/>
                      <w:sz w:val="21"/>
                      <w:szCs w:val="21"/>
                      <w:u w:val="wave"/>
                      <w:lang w:val="en-US" w:eastAsia="zh-CN"/>
                    </w:rPr>
                    <w:t>28.50</w:t>
                  </w:r>
                </w:p>
              </w:tc>
              <w:tc>
                <w:tcPr>
                  <w:tcW w:w="7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rPr>
                  </w:pPr>
                  <w:r>
                    <w:rPr>
                      <w:rFonts w:hint="default" w:ascii="Times New Roman" w:hAnsi="Times New Roman" w:eastAsia="宋体" w:cs="Times New Roman"/>
                      <w:color w:val="FF0000"/>
                      <w:sz w:val="21"/>
                      <w:szCs w:val="21"/>
                      <w:u w:val="wav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7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rPr>
                  </w:pPr>
                  <w:r>
                    <w:rPr>
                      <w:rFonts w:hint="eastAsia" w:ascii="Times New Roman" w:hAnsi="Times New Roman" w:cs="Times New Roman"/>
                      <w:color w:val="FF0000"/>
                      <w:sz w:val="21"/>
                      <w:szCs w:val="21"/>
                      <w:u w:val="wave"/>
                      <w:lang w:val="en-US" w:eastAsia="zh-CN"/>
                    </w:rPr>
                    <w:t>O</w:t>
                  </w:r>
                  <w:r>
                    <w:rPr>
                      <w:rFonts w:hint="default" w:ascii="Times New Roman" w:hAnsi="Times New Roman" w:eastAsia="宋体" w:cs="Times New Roman"/>
                      <w:color w:val="FF0000"/>
                      <w:sz w:val="21"/>
                      <w:szCs w:val="21"/>
                      <w:u w:val="wave"/>
                      <w:vertAlign w:val="subscript"/>
                      <w:lang w:val="en-US" w:eastAsia="en-US"/>
                    </w:rPr>
                    <w:t>3</w:t>
                  </w:r>
                </w:p>
              </w:tc>
              <w:tc>
                <w:tcPr>
                  <w:tcW w:w="9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lang w:val="en-US" w:eastAsia="zh-CN"/>
                    </w:rPr>
                  </w:pPr>
                  <w:r>
                    <w:rPr>
                      <w:rFonts w:hint="eastAsia" w:cs="Times New Roman"/>
                      <w:color w:val="FF0000"/>
                      <w:spacing w:val="20"/>
                      <w:sz w:val="21"/>
                      <w:szCs w:val="21"/>
                      <w:u w:val="wave"/>
                      <w:lang w:val="en-US" w:eastAsia="zh-CN"/>
                    </w:rPr>
                    <w:t>90百分位数8h平均</w:t>
                  </w:r>
                </w:p>
              </w:tc>
              <w:tc>
                <w:tcPr>
                  <w:tcW w:w="10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rPr>
                  </w:pPr>
                  <w:r>
                    <w:rPr>
                      <w:rFonts w:hint="eastAsia" w:cs="Times New Roman"/>
                      <w:color w:val="FF0000"/>
                      <w:sz w:val="21"/>
                      <w:szCs w:val="21"/>
                      <w:u w:val="wave"/>
                      <w:lang w:val="en-US" w:eastAsia="zh-CN"/>
                    </w:rPr>
                    <w:t>128.58</w:t>
                  </w:r>
                  <w:r>
                    <w:rPr>
                      <w:rFonts w:hint="default" w:ascii="Times New Roman" w:hAnsi="Times New Roman" w:eastAsia="宋体" w:cs="Times New Roman"/>
                      <w:b w:val="0"/>
                      <w:bCs w:val="0"/>
                      <w:color w:val="FF0000"/>
                      <w:sz w:val="21"/>
                      <w:szCs w:val="21"/>
                      <w:u w:val="wave"/>
                      <w:lang w:val="en-US" w:eastAsia="en-US"/>
                    </w:rPr>
                    <w:t>μg/m</w:t>
                  </w:r>
                  <w:r>
                    <w:rPr>
                      <w:rFonts w:hint="default" w:ascii="Times New Roman" w:hAnsi="Times New Roman" w:eastAsia="宋体" w:cs="Times New Roman"/>
                      <w:b w:val="0"/>
                      <w:bCs w:val="0"/>
                      <w:color w:val="FF0000"/>
                      <w:sz w:val="21"/>
                      <w:szCs w:val="21"/>
                      <w:u w:val="wave"/>
                      <w:vertAlign w:val="superscript"/>
                      <w:lang w:val="en-US" w:eastAsia="en-US"/>
                    </w:rPr>
                    <w:t>3</w:t>
                  </w:r>
                </w:p>
              </w:tc>
              <w:tc>
                <w:tcPr>
                  <w:tcW w:w="8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rPr>
                  </w:pPr>
                  <w:r>
                    <w:rPr>
                      <w:rFonts w:hint="default" w:ascii="Times New Roman" w:hAnsi="Times New Roman" w:eastAsia="宋体" w:cs="Times New Roman"/>
                      <w:color w:val="FF0000"/>
                      <w:sz w:val="21"/>
                      <w:szCs w:val="21"/>
                      <w:u w:val="wave"/>
                    </w:rPr>
                    <w:t>160</w:t>
                  </w:r>
                  <w:r>
                    <w:rPr>
                      <w:rFonts w:hint="default" w:ascii="Times New Roman" w:hAnsi="Times New Roman" w:eastAsia="宋体" w:cs="Times New Roman"/>
                      <w:b w:val="0"/>
                      <w:bCs w:val="0"/>
                      <w:color w:val="FF0000"/>
                      <w:sz w:val="21"/>
                      <w:szCs w:val="21"/>
                      <w:u w:val="wave"/>
                      <w:lang w:val="en-US" w:eastAsia="en-US"/>
                    </w:rPr>
                    <w:t>μg/m</w:t>
                  </w:r>
                  <w:r>
                    <w:rPr>
                      <w:rFonts w:hint="default" w:ascii="Times New Roman" w:hAnsi="Times New Roman" w:eastAsia="宋体" w:cs="Times New Roman"/>
                      <w:b w:val="0"/>
                      <w:bCs w:val="0"/>
                      <w:color w:val="FF0000"/>
                      <w:sz w:val="21"/>
                      <w:szCs w:val="21"/>
                      <w:u w:val="wave"/>
                      <w:vertAlign w:val="superscript"/>
                      <w:lang w:val="en-US" w:eastAsia="en-US"/>
                    </w:rPr>
                    <w:t>3</w:t>
                  </w:r>
                </w:p>
              </w:tc>
              <w:tc>
                <w:tcPr>
                  <w:tcW w:w="7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color w:val="FF0000"/>
                      <w:sz w:val="21"/>
                      <w:szCs w:val="21"/>
                      <w:u w:val="wave"/>
                      <w:lang w:val="en-US" w:eastAsia="zh-CN"/>
                    </w:rPr>
                  </w:pPr>
                  <w:r>
                    <w:rPr>
                      <w:rFonts w:hint="eastAsia" w:cs="Times New Roman"/>
                      <w:color w:val="FF0000"/>
                      <w:sz w:val="21"/>
                      <w:szCs w:val="21"/>
                      <w:u w:val="wave"/>
                      <w:lang w:val="en-US" w:eastAsia="zh-CN"/>
                    </w:rPr>
                    <w:t>80.36</w:t>
                  </w:r>
                </w:p>
              </w:tc>
              <w:tc>
                <w:tcPr>
                  <w:tcW w:w="7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宋体" w:cs="Times New Roman"/>
                      <w:color w:val="FF0000"/>
                      <w:sz w:val="21"/>
                      <w:szCs w:val="21"/>
                      <w:u w:val="wave"/>
                      <w:lang w:eastAsia="zh-CN"/>
                    </w:rPr>
                  </w:pPr>
                  <w:r>
                    <w:rPr>
                      <w:rFonts w:hint="eastAsia" w:ascii="Times New Roman" w:hAnsi="Times New Roman" w:eastAsia="宋体" w:cs="Times New Roman"/>
                      <w:color w:val="FF0000"/>
                      <w:spacing w:val="-10"/>
                      <w:sz w:val="21"/>
                      <w:szCs w:val="21"/>
                      <w:u w:val="wave"/>
                      <w:lang w:eastAsia="zh-CN"/>
                    </w:rPr>
                    <w:t>超标</w:t>
                  </w:r>
                </w:p>
              </w:tc>
            </w:tr>
          </w:tbl>
          <w:p>
            <w:pPr>
              <w:pStyle w:val="48"/>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根据</w:t>
            </w:r>
            <w:r>
              <w:rPr>
                <w:rFonts w:hint="eastAsia" w:ascii="Times New Roman" w:hAnsi="Times New Roman" w:eastAsia="宋体" w:cs="Times New Roman"/>
                <w:color w:val="auto"/>
                <w:sz w:val="24"/>
                <w:szCs w:val="24"/>
                <w:u w:val="none"/>
                <w:lang w:eastAsia="zh-CN"/>
              </w:rPr>
              <w:t>表</w:t>
            </w:r>
            <w:r>
              <w:rPr>
                <w:rFonts w:hint="eastAsia" w:ascii="Times New Roman" w:hAnsi="Times New Roman" w:eastAsia="宋体" w:cs="Times New Roman"/>
                <w:color w:val="auto"/>
                <w:sz w:val="24"/>
                <w:szCs w:val="24"/>
                <w:u w:val="none"/>
                <w:lang w:val="en-US" w:eastAsia="zh-CN"/>
              </w:rPr>
              <w:t>3-1</w:t>
            </w:r>
            <w:r>
              <w:rPr>
                <w:rFonts w:hint="default" w:ascii="Times New Roman" w:hAnsi="Times New Roman" w:eastAsia="宋体" w:cs="Times New Roman"/>
                <w:color w:val="auto"/>
                <w:sz w:val="24"/>
                <w:szCs w:val="24"/>
                <w:u w:val="none"/>
              </w:rPr>
              <w:t>数据显示，本项目所在区域的环境空气中PM</w:t>
            </w:r>
            <w:r>
              <w:rPr>
                <w:rFonts w:hint="default" w:ascii="Times New Roman" w:hAnsi="Times New Roman" w:eastAsia="宋体" w:cs="Times New Roman"/>
                <w:color w:val="auto"/>
                <w:sz w:val="24"/>
                <w:szCs w:val="24"/>
                <w:u w:val="none"/>
                <w:vertAlign w:val="subscript"/>
              </w:rPr>
              <w:t>10</w:t>
            </w:r>
            <w:r>
              <w:rPr>
                <w:rFonts w:hint="default" w:ascii="Times New Roman" w:hAnsi="Times New Roman" w:eastAsia="宋体" w:cs="Times New Roman"/>
                <w:color w:val="auto"/>
                <w:sz w:val="24"/>
                <w:szCs w:val="24"/>
                <w:u w:val="none"/>
              </w:rPr>
              <w:t>、NO</w:t>
            </w:r>
            <w:r>
              <w:rPr>
                <w:rFonts w:hint="default" w:ascii="Times New Roman" w:hAnsi="Times New Roman" w:eastAsia="宋体" w:cs="Times New Roman"/>
                <w:color w:val="auto"/>
                <w:sz w:val="24"/>
                <w:szCs w:val="24"/>
                <w:u w:val="none"/>
                <w:vertAlign w:val="subscript"/>
              </w:rPr>
              <w:t>2</w:t>
            </w:r>
            <w:r>
              <w:rPr>
                <w:rFonts w:hint="default" w:ascii="Times New Roman" w:hAnsi="Times New Roman" w:eastAsia="宋体" w:cs="Times New Roman"/>
                <w:color w:val="auto"/>
                <w:sz w:val="24"/>
                <w:szCs w:val="24"/>
                <w:u w:val="none"/>
              </w:rPr>
              <w:t>、SO</w:t>
            </w:r>
            <w:r>
              <w:rPr>
                <w:rFonts w:hint="default" w:ascii="Times New Roman" w:hAnsi="Times New Roman" w:eastAsia="宋体" w:cs="Times New Roman"/>
                <w:color w:val="auto"/>
                <w:sz w:val="24"/>
                <w:szCs w:val="24"/>
                <w:u w:val="none"/>
                <w:vertAlign w:val="subscript"/>
              </w:rPr>
              <w:t>2</w:t>
            </w:r>
            <w:r>
              <w:rPr>
                <w:rFonts w:hint="default" w:ascii="Times New Roman" w:hAnsi="Times New Roman" w:eastAsia="宋体" w:cs="Times New Roman"/>
                <w:color w:val="auto"/>
                <w:sz w:val="24"/>
                <w:szCs w:val="24"/>
                <w:u w:val="none"/>
              </w:rPr>
              <w:t>年平均质量浓度、CO</w:t>
            </w:r>
            <w:r>
              <w:rPr>
                <w:rFonts w:hint="eastAsia"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vertAlign w:val="baseline"/>
              </w:rPr>
              <w:t>24</w:t>
            </w:r>
            <w:r>
              <w:rPr>
                <w:rFonts w:hint="default" w:ascii="Times New Roman" w:hAnsi="Times New Roman" w:eastAsia="宋体" w:cs="Times New Roman"/>
                <w:color w:val="auto"/>
                <w:sz w:val="24"/>
                <w:szCs w:val="24"/>
                <w:u w:val="none"/>
              </w:rPr>
              <w:t>小时平均值满足《环境空气质量标准》（GB3095-2012）中二级标准要求，PM</w:t>
            </w:r>
            <w:r>
              <w:rPr>
                <w:rFonts w:hint="default" w:ascii="Times New Roman" w:hAnsi="Times New Roman" w:eastAsia="宋体" w:cs="Times New Roman"/>
                <w:color w:val="auto"/>
                <w:sz w:val="24"/>
                <w:szCs w:val="24"/>
                <w:u w:val="none"/>
                <w:vertAlign w:val="subscript"/>
              </w:rPr>
              <w:t>2.5</w:t>
            </w:r>
            <w:r>
              <w:rPr>
                <w:rFonts w:hint="default" w:ascii="Times New Roman" w:hAnsi="Times New Roman" w:eastAsia="宋体" w:cs="Times New Roman"/>
                <w:color w:val="auto"/>
                <w:sz w:val="24"/>
                <w:szCs w:val="24"/>
                <w:u w:val="none"/>
              </w:rPr>
              <w:t>存在超标情况。根据“6.4.1.1城市环境空气质量达标情况评价指标为二氧化硫、二氧化氮、可吸入颗粒物、细颗粒物、一氧化碳和臭氧，六项污染物全部达标即为城市环境空气质量达标”可判定，本项目所在区域属于非达标区。</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造成超标原因可能是：</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①近年来邵阳市城市建设过多、过快，施工场地扬尘较多，城市扬尘污染的主要源头之一，而此过程中相应的环保措施未能严格执行；</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cs="Times New Roman"/>
                <w:color w:val="auto"/>
                <w:sz w:val="24"/>
                <w:u w:val="none"/>
              </w:rPr>
            </w:pPr>
            <w:r>
              <w:rPr>
                <w:rFonts w:hint="default" w:ascii="Times New Roman" w:hAnsi="Times New Roman" w:cs="Times New Roman"/>
                <w:color w:val="auto"/>
                <w:sz w:val="24"/>
                <w:u w:val="none"/>
              </w:rPr>
              <w:t>②根据统计，扬尘超标期均为冬季，这可能与该季节气象原因不利于空气扩散有关。</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③近年来，机动车保有量成加速上升趋势，机动车尾气中颗粒物对大气影响甚大。</w:t>
            </w:r>
          </w:p>
          <w:p>
            <w:pPr>
              <w:keepNext w:val="0"/>
              <w:keepLines w:val="0"/>
              <w:pageBreakBefore w:val="0"/>
              <w:widowControl w:val="0"/>
              <w:tabs>
                <w:tab w:val="left" w:pos="2323"/>
              </w:tabs>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cs="Times New Roman"/>
              </w:rPr>
            </w:pPr>
            <w:r>
              <w:rPr>
                <w:rFonts w:hint="default" w:ascii="Times New Roman" w:hAnsi="Times New Roman" w:cs="Times New Roman"/>
                <w:sz w:val="24"/>
              </w:rPr>
              <w:t>改善措施：</w:t>
            </w: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各建设单位应按照《绿色施工导则》（建质[2007]223）、《建筑施工企业安全生产管理规范》（GB50656-2011）、《防治城市扬尘污染技术规范》（HJ/T393-2007）、《邵阳市蓝天保卫战实施方案》（邵市办字〔2018〕1号）以及《邵阳市污染防治攻坚战三年行动计划（2018—2020年）》（邵市政发〔2018〕17号）的相关规定实行“绿色施工”，制定施工扬尘污染防治方案，根据施工工序编制施工期内扬尘污染防治任务书，报环保局、建设局相关部门备案，实施扬尘防治全过程管理，责任到每个施工工序；</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②做好寒冷、干燥季节的路面清扫、洒水抑尘等工作，且建议全市以清洁能源代替燃煤锅炉，减少燃煤排放的颗粒物；</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③加强运输车辆管理，逐步实施尾气排放检查制度，限制尾气排放超标的运输车辆通行，控制汽车尾气排放总量。</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2" w:firstLineChars="200"/>
              <w:textAlignment w:val="auto"/>
              <w:rPr>
                <w:b/>
                <w:color w:val="auto"/>
                <w:sz w:val="24"/>
                <w:szCs w:val="22"/>
                <w:u w:val="none"/>
              </w:rPr>
            </w:pPr>
            <w:r>
              <w:rPr>
                <w:rFonts w:hint="eastAsia"/>
                <w:b/>
                <w:color w:val="auto"/>
                <w:sz w:val="24"/>
                <w:szCs w:val="22"/>
                <w:u w:val="none"/>
                <w:lang w:val="en-US" w:eastAsia="zh-CN"/>
              </w:rPr>
              <w:t>2</w:t>
            </w:r>
            <w:r>
              <w:rPr>
                <w:rFonts w:hint="eastAsia"/>
                <w:b/>
                <w:color w:val="auto"/>
                <w:sz w:val="24"/>
                <w:szCs w:val="22"/>
                <w:u w:val="none"/>
              </w:rPr>
              <w:t>、补充监测</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Times New Roman" w:hAnsi="Times New Roman" w:eastAsia="宋体" w:cs="Times New Roman"/>
                <w:color w:val="auto"/>
                <w:sz w:val="24"/>
                <w:szCs w:val="22"/>
                <w:u w:val="none"/>
                <w:lang w:eastAsia="zh-CN"/>
              </w:rPr>
            </w:pPr>
            <w:r>
              <w:rPr>
                <w:rFonts w:hint="eastAsia" w:cs="Times New Roman"/>
                <w:color w:val="auto"/>
                <w:sz w:val="24"/>
                <w:u w:val="none"/>
                <w:lang w:eastAsia="zh-CN"/>
              </w:rPr>
              <w:t>（</w:t>
            </w:r>
            <w:r>
              <w:rPr>
                <w:rFonts w:hint="eastAsia" w:cs="Times New Roman"/>
                <w:color w:val="auto"/>
                <w:sz w:val="24"/>
                <w:u w:val="none"/>
                <w:lang w:val="en-US" w:eastAsia="zh-CN"/>
              </w:rPr>
              <w:t>1</w:t>
            </w:r>
            <w:r>
              <w:rPr>
                <w:rFonts w:hint="eastAsia" w:cs="Times New Roman"/>
                <w:color w:val="auto"/>
                <w:sz w:val="24"/>
                <w:u w:val="none"/>
                <w:lang w:eastAsia="zh-CN"/>
              </w:rPr>
              <w:t>）</w:t>
            </w:r>
            <w:r>
              <w:rPr>
                <w:rFonts w:hint="default" w:ascii="Times New Roman" w:hAnsi="Times New Roman" w:cs="Times New Roman"/>
                <w:color w:val="auto"/>
                <w:sz w:val="24"/>
                <w:u w:val="none"/>
              </w:rPr>
              <w:t>监</w:t>
            </w:r>
            <w:r>
              <w:rPr>
                <w:rFonts w:hint="default" w:ascii="Times New Roman" w:hAnsi="Times New Roman" w:cs="Times New Roman"/>
                <w:color w:val="auto"/>
                <w:sz w:val="24"/>
                <w:szCs w:val="22"/>
                <w:u w:val="none"/>
              </w:rPr>
              <w:t>测单位：</w:t>
            </w:r>
            <w:r>
              <w:rPr>
                <w:rFonts w:hint="eastAsia" w:cs="Times New Roman"/>
                <w:color w:val="auto"/>
                <w:sz w:val="24"/>
                <w:szCs w:val="22"/>
                <w:u w:val="none"/>
                <w:lang w:eastAsia="zh-CN"/>
              </w:rPr>
              <w:t>湖南中石检测有限公司；</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default" w:ascii="Times New Roman" w:hAnsi="Times New Roman" w:cs="Times New Roman"/>
                <w:color w:val="auto"/>
                <w:sz w:val="24"/>
                <w:szCs w:val="22"/>
                <w:u w:val="none"/>
                <w:lang w:val="en-US" w:eastAsia="zh-CN"/>
              </w:rPr>
            </w:pPr>
            <w:r>
              <w:rPr>
                <w:rFonts w:hint="eastAsia" w:cs="Times New Roman"/>
                <w:color w:val="auto"/>
                <w:sz w:val="24"/>
                <w:szCs w:val="22"/>
                <w:u w:val="none"/>
                <w:lang w:eastAsia="zh-CN"/>
              </w:rPr>
              <w:t>（</w:t>
            </w:r>
            <w:r>
              <w:rPr>
                <w:rFonts w:hint="eastAsia" w:cs="Times New Roman"/>
                <w:color w:val="auto"/>
                <w:sz w:val="24"/>
                <w:szCs w:val="22"/>
                <w:u w:val="none"/>
                <w:lang w:val="en-US" w:eastAsia="zh-CN"/>
              </w:rPr>
              <w:t>2</w:t>
            </w:r>
            <w:r>
              <w:rPr>
                <w:rFonts w:hint="eastAsia" w:cs="Times New Roman"/>
                <w:color w:val="auto"/>
                <w:sz w:val="24"/>
                <w:szCs w:val="22"/>
                <w:u w:val="none"/>
                <w:lang w:eastAsia="zh-CN"/>
              </w:rPr>
              <w:t>）</w:t>
            </w:r>
            <w:r>
              <w:rPr>
                <w:rFonts w:hint="eastAsia" w:ascii="Times New Roman" w:hAnsi="Times New Roman" w:cs="Times New Roman"/>
                <w:color w:val="auto"/>
                <w:sz w:val="24"/>
                <w:szCs w:val="22"/>
                <w:u w:val="none"/>
                <w:lang w:eastAsia="zh-CN"/>
              </w:rPr>
              <w:t>监测时间：</w:t>
            </w:r>
            <w:r>
              <w:rPr>
                <w:rFonts w:hint="eastAsia" w:ascii="Times New Roman" w:hAnsi="Times New Roman" w:cs="Times New Roman"/>
                <w:color w:val="auto"/>
                <w:sz w:val="24"/>
                <w:szCs w:val="22"/>
                <w:u w:val="none"/>
                <w:lang w:val="en-US" w:eastAsia="zh-CN"/>
              </w:rPr>
              <w:t>2019年12月18日-2019年12月24日</w:t>
            </w:r>
            <w:r>
              <w:rPr>
                <w:rFonts w:hint="eastAsia" w:cs="Times New Roman"/>
                <w:color w:val="auto"/>
                <w:sz w:val="24"/>
                <w:szCs w:val="2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rFonts w:hint="default" w:ascii="Times New Roman" w:hAnsi="Times New Roman" w:cs="Times New Roman"/>
                <w:color w:val="auto"/>
                <w:u w:val="none"/>
              </w:rPr>
            </w:pPr>
            <w:r>
              <w:rPr>
                <w:rFonts w:hint="eastAsia" w:cs="Times New Roman"/>
                <w:color w:val="auto"/>
                <w:sz w:val="24"/>
                <w:szCs w:val="22"/>
                <w:u w:val="none"/>
                <w:lang w:eastAsia="zh-CN"/>
              </w:rPr>
              <w:t>（</w:t>
            </w:r>
            <w:r>
              <w:rPr>
                <w:rFonts w:hint="eastAsia" w:cs="Times New Roman"/>
                <w:color w:val="auto"/>
                <w:sz w:val="24"/>
                <w:szCs w:val="22"/>
                <w:u w:val="none"/>
                <w:lang w:val="en-US" w:eastAsia="zh-CN"/>
              </w:rPr>
              <w:t>3</w:t>
            </w:r>
            <w:r>
              <w:rPr>
                <w:rFonts w:hint="eastAsia" w:cs="Times New Roman"/>
                <w:color w:val="auto"/>
                <w:sz w:val="24"/>
                <w:szCs w:val="22"/>
                <w:u w:val="none"/>
                <w:lang w:eastAsia="zh-CN"/>
              </w:rPr>
              <w:t>）</w:t>
            </w:r>
            <w:r>
              <w:rPr>
                <w:rFonts w:hint="default" w:ascii="Times New Roman" w:hAnsi="Times New Roman" w:cs="Times New Roman"/>
                <w:color w:val="auto"/>
                <w:sz w:val="24"/>
                <w:szCs w:val="22"/>
                <w:u w:val="none"/>
              </w:rPr>
              <w:t>监测</w:t>
            </w:r>
            <w:r>
              <w:rPr>
                <w:rFonts w:hint="eastAsia" w:ascii="Times New Roman" w:hAnsi="Times New Roman" w:cs="Times New Roman"/>
                <w:color w:val="auto"/>
                <w:sz w:val="24"/>
                <w:szCs w:val="22"/>
                <w:u w:val="none"/>
                <w:lang w:eastAsia="zh-CN"/>
              </w:rPr>
              <w:t>点位</w:t>
            </w:r>
            <w:r>
              <w:rPr>
                <w:rFonts w:hint="default" w:ascii="Times New Roman" w:hAnsi="Times New Roman" w:cs="Times New Roman"/>
                <w:color w:val="auto"/>
                <w:sz w:val="24"/>
                <w:u w:val="none"/>
              </w:rPr>
              <w:t>：点位布置情况详见表3-2。</w:t>
            </w:r>
          </w:p>
          <w:p>
            <w:pPr>
              <w:pStyle w:val="46"/>
              <w:spacing w:before="10" w:after="0"/>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表3-2  大气现状监测点布置情况</w:t>
            </w:r>
          </w:p>
          <w:tbl>
            <w:tblPr>
              <w:tblStyle w:val="27"/>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Layout w:type="fixed"/>
              <w:tblCellMar>
                <w:top w:w="0" w:type="dxa"/>
                <w:left w:w="0" w:type="dxa"/>
                <w:bottom w:w="0" w:type="dxa"/>
                <w:right w:w="0" w:type="dxa"/>
              </w:tblCellMar>
            </w:tblPr>
            <w:tblGrid>
              <w:gridCol w:w="1620"/>
              <w:gridCol w:w="1165"/>
              <w:gridCol w:w="1167"/>
              <w:gridCol w:w="1308"/>
              <w:gridCol w:w="1355"/>
              <w:gridCol w:w="152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267" w:hRule="atLeast"/>
                <w:jc w:val="center"/>
              </w:trPr>
              <w:tc>
                <w:tcPr>
                  <w:tcW w:w="1620" w:type="dxa"/>
                  <w:vMerge w:val="restart"/>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监测点名称</w:t>
                  </w:r>
                </w:p>
              </w:tc>
              <w:tc>
                <w:tcPr>
                  <w:tcW w:w="2332" w:type="dxa"/>
                  <w:gridSpan w:val="2"/>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Times New Roman" w:cs="Times New Roman"/>
                      <w:szCs w:val="21"/>
                    </w:rPr>
                  </w:pPr>
                  <w:r>
                    <w:rPr>
                      <w:rFonts w:hint="default" w:ascii="Times New Roman" w:hAnsi="Times New Roman" w:cs="Times New Roman"/>
                      <w:szCs w:val="21"/>
                    </w:rPr>
                    <w:t>监测点坐标</w:t>
                  </w:r>
                  <w:r>
                    <w:rPr>
                      <w:rFonts w:hint="default" w:ascii="Times New Roman" w:hAnsi="Times New Roman" w:eastAsia="Times New Roman" w:cs="Times New Roman"/>
                      <w:szCs w:val="21"/>
                    </w:rPr>
                    <w:t>/m</w:t>
                  </w:r>
                </w:p>
              </w:tc>
              <w:tc>
                <w:tcPr>
                  <w:tcW w:w="1308" w:type="dxa"/>
                  <w:vMerge w:val="restart"/>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监测因子</w:t>
                  </w:r>
                </w:p>
              </w:tc>
              <w:tc>
                <w:tcPr>
                  <w:tcW w:w="1355" w:type="dxa"/>
                  <w:vMerge w:val="restart"/>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相对厂址方位</w:t>
                  </w:r>
                </w:p>
              </w:tc>
              <w:tc>
                <w:tcPr>
                  <w:tcW w:w="1528" w:type="dxa"/>
                  <w:vMerge w:val="restart"/>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Times New Roman" w:cs="Times New Roman"/>
                      <w:szCs w:val="21"/>
                    </w:rPr>
                  </w:pPr>
                  <w:r>
                    <w:rPr>
                      <w:rFonts w:hint="default" w:ascii="Times New Roman" w:hAnsi="Times New Roman" w:cs="Times New Roman"/>
                      <w:szCs w:val="21"/>
                    </w:rPr>
                    <w:t>相对厂界距离</w:t>
                  </w:r>
                  <w:r>
                    <w:rPr>
                      <w:rFonts w:hint="default" w:ascii="Times New Roman" w:hAnsi="Times New Roman" w:eastAsia="Times New Roman" w:cs="Times New Roman"/>
                      <w:szCs w:val="21"/>
                    </w:rPr>
                    <w:t>/m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232" w:hRule="atLeast"/>
                <w:jc w:val="center"/>
              </w:trPr>
              <w:tc>
                <w:tcPr>
                  <w:tcW w:w="162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cs="Times New Roman"/>
                      <w:szCs w:val="21"/>
                    </w:rPr>
                  </w:pPr>
                </w:p>
              </w:tc>
              <w:tc>
                <w:tcPr>
                  <w:tcW w:w="1165" w:type="dxa"/>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cs="Times New Roman"/>
                      <w:i/>
                      <w:szCs w:val="21"/>
                    </w:rPr>
                  </w:pPr>
                  <w:r>
                    <w:rPr>
                      <w:rFonts w:hint="default" w:ascii="Times New Roman" w:hAnsi="Times New Roman" w:cs="Times New Roman"/>
                      <w:i/>
                      <w:szCs w:val="21"/>
                    </w:rPr>
                    <w:t>X</w:t>
                  </w:r>
                </w:p>
              </w:tc>
              <w:tc>
                <w:tcPr>
                  <w:tcW w:w="1167" w:type="dxa"/>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cs="Times New Roman"/>
                      <w:i/>
                      <w:szCs w:val="21"/>
                    </w:rPr>
                  </w:pPr>
                  <w:r>
                    <w:rPr>
                      <w:rFonts w:hint="default" w:ascii="Times New Roman" w:hAnsi="Times New Roman" w:cs="Times New Roman"/>
                      <w:i/>
                      <w:szCs w:val="21"/>
                    </w:rPr>
                    <w:t>Y</w:t>
                  </w:r>
                </w:p>
              </w:tc>
              <w:tc>
                <w:tcPr>
                  <w:tcW w:w="130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cs="Times New Roman"/>
                      <w:szCs w:val="21"/>
                    </w:rPr>
                  </w:pPr>
                </w:p>
              </w:tc>
              <w:tc>
                <w:tcPr>
                  <w:tcW w:w="13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cs="Times New Roman"/>
                      <w:szCs w:val="21"/>
                    </w:rPr>
                  </w:pPr>
                </w:p>
              </w:tc>
              <w:tc>
                <w:tcPr>
                  <w:tcW w:w="152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436" w:hRule="atLeast"/>
                <w:jc w:val="center"/>
              </w:trPr>
              <w:tc>
                <w:tcPr>
                  <w:tcW w:w="16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zCs w:val="21"/>
                      <w:lang w:val="en-US"/>
                    </w:rPr>
                  </w:pPr>
                  <w:r>
                    <w:rPr>
                      <w:rFonts w:hint="default" w:ascii="Times New Roman" w:hAnsi="Times New Roman" w:cs="Times New Roman"/>
                      <w:snapToGrid w:val="0"/>
                      <w:color w:val="auto"/>
                      <w:kern w:val="0"/>
                      <w:szCs w:val="21"/>
                      <w:u w:val="none"/>
                    </w:rPr>
                    <w:t>G1：</w:t>
                  </w:r>
                  <w:r>
                    <w:rPr>
                      <w:rFonts w:hint="eastAsia" w:ascii="Times New Roman" w:hAnsi="Times New Roman" w:cs="Times New Roman"/>
                      <w:snapToGrid w:val="0"/>
                      <w:color w:val="auto"/>
                      <w:kern w:val="0"/>
                      <w:szCs w:val="21"/>
                      <w:u w:val="none"/>
                      <w:lang w:eastAsia="zh-CN"/>
                    </w:rPr>
                    <w:t>项目</w:t>
                  </w:r>
                  <w:r>
                    <w:rPr>
                      <w:rFonts w:hint="eastAsia" w:ascii="Times New Roman" w:hAnsi="Times New Roman" w:cs="Times New Roman"/>
                      <w:snapToGrid w:val="0"/>
                      <w:color w:val="auto"/>
                      <w:kern w:val="0"/>
                      <w:szCs w:val="21"/>
                      <w:u w:val="none"/>
                      <w:lang w:val="en-US" w:eastAsia="zh-CN"/>
                    </w:rPr>
                    <w:t>拟建厂址中心</w:t>
                  </w:r>
                </w:p>
              </w:tc>
              <w:tc>
                <w:tcPr>
                  <w:tcW w:w="1165" w:type="dxa"/>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554244.894</w:t>
                  </w:r>
                </w:p>
              </w:tc>
              <w:tc>
                <w:tcPr>
                  <w:tcW w:w="1167" w:type="dxa"/>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3008039.196</w:t>
                  </w:r>
                </w:p>
              </w:tc>
              <w:tc>
                <w:tcPr>
                  <w:tcW w:w="1308" w:type="dxa"/>
                  <w:vMerge w:val="restart"/>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cs="Times New Roman"/>
                      <w:szCs w:val="21"/>
                      <w:lang w:val="en-US"/>
                    </w:rPr>
                  </w:pPr>
                  <w:r>
                    <w:rPr>
                      <w:rFonts w:hint="default" w:ascii="Times New Roman" w:hAnsi="Times New Roman" w:cs="Times New Roman"/>
                      <w:szCs w:val="21"/>
                      <w:lang w:val="en-US"/>
                    </w:rPr>
                    <w:t>NH</w:t>
                  </w:r>
                  <w:r>
                    <w:rPr>
                      <w:rFonts w:hint="default" w:ascii="Times New Roman" w:hAnsi="Times New Roman" w:cs="Times New Roman"/>
                      <w:szCs w:val="21"/>
                      <w:vertAlign w:val="subscript"/>
                      <w:lang w:val="en-US"/>
                    </w:rPr>
                    <w:t>3</w:t>
                  </w:r>
                  <w:r>
                    <w:rPr>
                      <w:rFonts w:hint="default" w:ascii="Times New Roman" w:hAnsi="Times New Roman" w:cs="Times New Roman"/>
                      <w:szCs w:val="21"/>
                    </w:rPr>
                    <w:t>、</w:t>
                  </w:r>
                  <w:r>
                    <w:rPr>
                      <w:rFonts w:hint="default" w:ascii="Times New Roman" w:hAnsi="Times New Roman" w:cs="Times New Roman"/>
                      <w:szCs w:val="21"/>
                      <w:lang w:val="en-US"/>
                    </w:rPr>
                    <w:t>H</w:t>
                  </w:r>
                  <w:r>
                    <w:rPr>
                      <w:rFonts w:hint="default" w:ascii="Times New Roman" w:hAnsi="Times New Roman" w:cs="Times New Roman"/>
                      <w:szCs w:val="21"/>
                      <w:vertAlign w:val="subscript"/>
                      <w:lang w:val="en-US"/>
                    </w:rPr>
                    <w:t>2</w:t>
                  </w:r>
                  <w:r>
                    <w:rPr>
                      <w:rFonts w:hint="default" w:ascii="Times New Roman" w:hAnsi="Times New Roman" w:cs="Times New Roman"/>
                      <w:szCs w:val="21"/>
                      <w:lang w:val="en-US"/>
                    </w:rPr>
                    <w:t>S</w:t>
                  </w:r>
                </w:p>
              </w:tc>
              <w:tc>
                <w:tcPr>
                  <w:tcW w:w="1355" w:type="dxa"/>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w:t>
                  </w:r>
                </w:p>
              </w:tc>
              <w:tc>
                <w:tcPr>
                  <w:tcW w:w="1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Cs w:val="21"/>
                      <w:lang w:eastAsia="zh-CN"/>
                    </w:rPr>
                  </w:pPr>
                  <w:r>
                    <w:rPr>
                      <w:rFonts w:hint="eastAsia" w:ascii="Times New Roman" w:hAnsi="Times New Roman" w:cs="Times New Roman"/>
                      <w:bCs/>
                      <w:color w:val="000000"/>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315" w:hRule="atLeast"/>
                <w:jc w:val="center"/>
              </w:trPr>
              <w:tc>
                <w:tcPr>
                  <w:tcW w:w="16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rPr>
                  </w:pPr>
                  <w:r>
                    <w:rPr>
                      <w:rFonts w:hint="default" w:ascii="Times New Roman" w:hAnsi="Times New Roman" w:cs="Times New Roman"/>
                      <w:snapToGrid w:val="0"/>
                      <w:color w:val="auto"/>
                      <w:kern w:val="0"/>
                      <w:szCs w:val="21"/>
                      <w:u w:val="none"/>
                    </w:rPr>
                    <w:t>G1：</w:t>
                  </w:r>
                  <w:r>
                    <w:rPr>
                      <w:rFonts w:hint="eastAsia" w:ascii="Times New Roman" w:hAnsi="Times New Roman" w:cs="Times New Roman"/>
                      <w:snapToGrid w:val="0"/>
                      <w:color w:val="auto"/>
                      <w:kern w:val="0"/>
                      <w:szCs w:val="21"/>
                      <w:u w:val="none"/>
                      <w:lang w:val="en-US" w:eastAsia="zh-CN"/>
                    </w:rPr>
                    <w:t>板桥冲</w:t>
                  </w:r>
                  <w:r>
                    <w:rPr>
                      <w:rFonts w:hint="default" w:ascii="Times New Roman" w:hAnsi="Times New Roman" w:cs="Times New Roman"/>
                      <w:snapToGrid w:val="0"/>
                      <w:color w:val="auto"/>
                      <w:kern w:val="0"/>
                      <w:szCs w:val="21"/>
                      <w:u w:val="none"/>
                      <w:lang w:val="en-US" w:eastAsia="zh-CN"/>
                    </w:rPr>
                    <w:t>居民点</w:t>
                  </w:r>
                </w:p>
              </w:tc>
              <w:tc>
                <w:tcPr>
                  <w:tcW w:w="1165" w:type="dxa"/>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554027.388</w:t>
                  </w:r>
                </w:p>
              </w:tc>
              <w:tc>
                <w:tcPr>
                  <w:tcW w:w="1167" w:type="dxa"/>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3007654.987</w:t>
                  </w:r>
                </w:p>
              </w:tc>
              <w:tc>
                <w:tcPr>
                  <w:tcW w:w="1308" w:type="dxa"/>
                  <w:vMerge w:val="continue"/>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cs="Times New Roman"/>
                      <w:szCs w:val="21"/>
                    </w:rPr>
                  </w:pPr>
                </w:p>
              </w:tc>
              <w:tc>
                <w:tcPr>
                  <w:tcW w:w="1355" w:type="dxa"/>
                  <w:tcBorders>
                    <w:tl2br w:val="nil"/>
                    <w:tr2bl w:val="nil"/>
                  </w:tcBorders>
                  <w:noWrap w:val="0"/>
                  <w:vAlign w:val="center"/>
                </w:tcPr>
                <w:p>
                  <w:pPr>
                    <w:pStyle w:val="47"/>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cs="Times New Roman"/>
                      <w:szCs w:val="21"/>
                      <w:lang w:val="en-US"/>
                    </w:rPr>
                  </w:pPr>
                  <w:r>
                    <w:rPr>
                      <w:rFonts w:hint="default" w:ascii="Times New Roman" w:hAnsi="Times New Roman" w:cs="Times New Roman"/>
                      <w:szCs w:val="21"/>
                      <w:lang w:val="en-US" w:eastAsia="zh-CN"/>
                    </w:rPr>
                    <w:t>S</w:t>
                  </w:r>
                  <w:r>
                    <w:rPr>
                      <w:rFonts w:hint="default" w:ascii="Times New Roman" w:hAnsi="Times New Roman" w:cs="Times New Roman"/>
                      <w:szCs w:val="21"/>
                      <w:lang w:val="en-US"/>
                    </w:rPr>
                    <w:t>W</w:t>
                  </w:r>
                </w:p>
              </w:tc>
              <w:tc>
                <w:tcPr>
                  <w:tcW w:w="1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bCs/>
                      <w:color w:val="000000"/>
                      <w:szCs w:val="21"/>
                      <w:lang w:val="en-US" w:eastAsia="zh-CN"/>
                    </w:rPr>
                    <w:t>365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2"/>
                <w:u w:val="none"/>
              </w:rPr>
            </w:pPr>
            <w:r>
              <w:rPr>
                <w:rFonts w:hint="eastAsia" w:cs="Times New Roman"/>
                <w:color w:val="auto"/>
                <w:sz w:val="24"/>
                <w:szCs w:val="22"/>
                <w:u w:val="none"/>
                <w:lang w:eastAsia="zh-CN"/>
              </w:rPr>
              <w:t>（</w:t>
            </w:r>
            <w:r>
              <w:rPr>
                <w:rFonts w:hint="eastAsia" w:cs="Times New Roman"/>
                <w:color w:val="auto"/>
                <w:sz w:val="24"/>
                <w:szCs w:val="22"/>
                <w:u w:val="none"/>
                <w:lang w:val="en-US" w:eastAsia="zh-CN"/>
              </w:rPr>
              <w:t>4</w:t>
            </w:r>
            <w:r>
              <w:rPr>
                <w:rFonts w:hint="eastAsia" w:cs="Times New Roman"/>
                <w:color w:val="auto"/>
                <w:sz w:val="24"/>
                <w:szCs w:val="22"/>
                <w:u w:val="none"/>
                <w:lang w:eastAsia="zh-CN"/>
              </w:rPr>
              <w:t>）</w:t>
            </w:r>
            <w:r>
              <w:rPr>
                <w:rFonts w:hint="default" w:ascii="Times New Roman" w:hAnsi="Times New Roman" w:eastAsia="宋体" w:cs="Times New Roman"/>
                <w:color w:val="auto"/>
                <w:sz w:val="24"/>
                <w:szCs w:val="22"/>
                <w:u w:val="none"/>
              </w:rPr>
              <w:t>评价标准：</w:t>
            </w:r>
            <w:r>
              <w:rPr>
                <w:rFonts w:hint="default" w:ascii="Times New Roman" w:hAnsi="Times New Roman" w:eastAsia="宋体" w:cs="Times New Roman"/>
                <w:color w:val="auto"/>
                <w:sz w:val="24"/>
                <w:u w:val="none"/>
              </w:rPr>
              <w:t>硫化氢、氨参照</w:t>
            </w:r>
            <w:r>
              <w:rPr>
                <w:rFonts w:hint="default" w:ascii="Times New Roman" w:hAnsi="Times New Roman" w:eastAsia="宋体" w:cs="Times New Roman"/>
                <w:color w:val="auto"/>
                <w:kern w:val="0"/>
                <w:sz w:val="24"/>
                <w:u w:val="none"/>
              </w:rPr>
              <w:t>《环境影响评价技术导则—大气环境》（HJ2.2-2018）附录D表D.1中其他污染物空气质量浓度参考限值相关标准。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2"/>
                <w:u w:val="none"/>
              </w:rPr>
            </w:pPr>
            <w:r>
              <w:rPr>
                <w:rFonts w:hint="eastAsia" w:cs="Times New Roman"/>
                <w:color w:val="auto"/>
                <w:sz w:val="24"/>
                <w:szCs w:val="22"/>
                <w:u w:val="none"/>
                <w:lang w:eastAsia="zh-CN"/>
              </w:rPr>
              <w:t>（</w:t>
            </w:r>
            <w:r>
              <w:rPr>
                <w:rFonts w:hint="eastAsia" w:cs="Times New Roman"/>
                <w:color w:val="auto"/>
                <w:sz w:val="24"/>
                <w:szCs w:val="22"/>
                <w:u w:val="none"/>
                <w:lang w:val="en-US" w:eastAsia="zh-CN"/>
              </w:rPr>
              <w:t>5</w:t>
            </w:r>
            <w:r>
              <w:rPr>
                <w:rFonts w:hint="eastAsia" w:cs="Times New Roman"/>
                <w:color w:val="auto"/>
                <w:sz w:val="24"/>
                <w:szCs w:val="22"/>
                <w:u w:val="none"/>
                <w:lang w:eastAsia="zh-CN"/>
              </w:rPr>
              <w:t>）</w:t>
            </w:r>
            <w:r>
              <w:rPr>
                <w:rFonts w:hint="default" w:ascii="Times New Roman" w:hAnsi="Times New Roman" w:eastAsia="宋体" w:cs="Times New Roman"/>
                <w:color w:val="auto"/>
                <w:sz w:val="24"/>
                <w:szCs w:val="22"/>
                <w:u w:val="none"/>
              </w:rPr>
              <w:t>评价方法：采用超标率、超标倍数法进行评价。</w:t>
            </w:r>
          </w:p>
          <w:p>
            <w:pPr>
              <w:pStyle w:val="25"/>
              <w:keepNext w:val="0"/>
              <w:keepLines w:val="0"/>
              <w:pageBreakBefore w:val="0"/>
              <w:widowControl w:val="0"/>
              <w:kinsoku/>
              <w:wordWrap/>
              <w:overflowPunct/>
              <w:topLinePunct w:val="0"/>
              <w:autoSpaceDE/>
              <w:autoSpaceDN/>
              <w:bidi w:val="0"/>
              <w:adjustRightInd w:val="0"/>
              <w:snapToGrid w:val="0"/>
              <w:spacing w:beforeLines="0" w:line="360" w:lineRule="auto"/>
              <w:ind w:firstLine="480"/>
              <w:textAlignment w:val="auto"/>
              <w:rPr>
                <w:rFonts w:hint="default" w:ascii="Times New Roman" w:hAnsi="Times New Roman" w:eastAsia="宋体" w:cs="Times New Roman"/>
                <w:color w:val="auto"/>
                <w:szCs w:val="22"/>
                <w:u w:val="none"/>
              </w:rPr>
            </w:pPr>
            <w:r>
              <w:rPr>
                <w:rFonts w:hint="eastAsia" w:cs="Times New Roman"/>
                <w:color w:val="auto"/>
                <w:szCs w:val="22"/>
                <w:u w:val="none"/>
                <w:lang w:eastAsia="zh-CN"/>
              </w:rPr>
              <w:t>（</w:t>
            </w:r>
            <w:r>
              <w:rPr>
                <w:rFonts w:hint="eastAsia" w:cs="Times New Roman"/>
                <w:color w:val="auto"/>
                <w:szCs w:val="22"/>
                <w:u w:val="none"/>
                <w:lang w:val="en-US" w:eastAsia="zh-CN"/>
              </w:rPr>
              <w:t>6</w:t>
            </w:r>
            <w:r>
              <w:rPr>
                <w:rFonts w:hint="eastAsia" w:cs="Times New Roman"/>
                <w:color w:val="auto"/>
                <w:szCs w:val="22"/>
                <w:u w:val="none"/>
                <w:lang w:eastAsia="zh-CN"/>
              </w:rPr>
              <w:t>）</w:t>
            </w:r>
            <w:r>
              <w:rPr>
                <w:rFonts w:hint="default" w:ascii="Times New Roman" w:hAnsi="Times New Roman" w:eastAsia="宋体" w:cs="Times New Roman"/>
                <w:color w:val="auto"/>
                <w:szCs w:val="22"/>
                <w:u w:val="none"/>
              </w:rPr>
              <w:t>监测结果：环境空气质量监测气象参数记录见表</w:t>
            </w:r>
            <w:r>
              <w:rPr>
                <w:rFonts w:hint="eastAsia" w:cs="Times New Roman"/>
                <w:color w:val="auto"/>
                <w:szCs w:val="22"/>
                <w:u w:val="none"/>
                <w:lang w:val="en-US" w:eastAsia="zh-CN"/>
              </w:rPr>
              <w:t>3-3</w:t>
            </w:r>
            <w:r>
              <w:rPr>
                <w:rFonts w:hint="default" w:ascii="Times New Roman" w:hAnsi="Times New Roman" w:eastAsia="宋体" w:cs="Times New Roman"/>
                <w:color w:val="auto"/>
                <w:szCs w:val="22"/>
                <w:u w:val="none"/>
              </w:rPr>
              <w:t>。监测结果统计见表3-</w:t>
            </w:r>
            <w:r>
              <w:rPr>
                <w:rFonts w:hint="eastAsia" w:cs="Times New Roman"/>
                <w:color w:val="auto"/>
                <w:szCs w:val="22"/>
                <w:u w:val="none"/>
                <w:lang w:val="en-US" w:eastAsia="zh-CN"/>
              </w:rPr>
              <w:t>4</w:t>
            </w:r>
            <w:r>
              <w:rPr>
                <w:rFonts w:hint="default" w:ascii="Times New Roman" w:hAnsi="Times New Roman" w:eastAsia="宋体" w:cs="Times New Roman"/>
                <w:color w:val="auto"/>
                <w:szCs w:val="22"/>
                <w:u w:val="none"/>
              </w:rPr>
              <w:t>。</w:t>
            </w:r>
          </w:p>
          <w:p>
            <w:pPr>
              <w:pStyle w:val="25"/>
              <w:keepNext w:val="0"/>
              <w:keepLines w:val="0"/>
              <w:pageBreakBefore w:val="0"/>
              <w:widowControl w:val="0"/>
              <w:kinsoku/>
              <w:wordWrap/>
              <w:overflowPunct/>
              <w:topLinePunct w:val="0"/>
              <w:autoSpaceDE/>
              <w:autoSpaceDN/>
              <w:bidi w:val="0"/>
              <w:adjustRightInd w:val="0"/>
              <w:snapToGrid w:val="0"/>
              <w:spacing w:beforeLines="0" w:line="240" w:lineRule="auto"/>
              <w:ind w:firstLine="422"/>
              <w:jc w:val="center"/>
              <w:textAlignment w:val="auto"/>
              <w:rPr>
                <w:rFonts w:hint="default" w:ascii="Times New Roman" w:hAnsi="Times New Roman" w:cs="Times New Roman"/>
                <w:b/>
                <w:color w:val="auto"/>
                <w:sz w:val="21"/>
                <w:szCs w:val="21"/>
                <w:u w:val="none"/>
              </w:rPr>
            </w:pPr>
          </w:p>
          <w:p>
            <w:pPr>
              <w:pStyle w:val="25"/>
              <w:keepNext w:val="0"/>
              <w:keepLines w:val="0"/>
              <w:pageBreakBefore w:val="0"/>
              <w:widowControl w:val="0"/>
              <w:kinsoku/>
              <w:wordWrap/>
              <w:overflowPunct/>
              <w:topLinePunct w:val="0"/>
              <w:autoSpaceDE/>
              <w:autoSpaceDN/>
              <w:bidi w:val="0"/>
              <w:adjustRightInd w:val="0"/>
              <w:snapToGrid w:val="0"/>
              <w:spacing w:beforeLines="0" w:line="240" w:lineRule="auto"/>
              <w:ind w:firstLine="422"/>
              <w:jc w:val="center"/>
              <w:textAlignment w:val="auto"/>
              <w:rPr>
                <w:rFonts w:hint="default" w:ascii="Times New Roman" w:hAnsi="Times New Roman" w:cs="Times New Roman"/>
                <w:b/>
                <w:color w:val="auto"/>
                <w:sz w:val="21"/>
                <w:szCs w:val="21"/>
                <w:u w:val="none"/>
              </w:rPr>
            </w:pPr>
            <w:r>
              <w:rPr>
                <w:rFonts w:hint="default" w:ascii="Times New Roman" w:hAnsi="Times New Roman" w:cs="Times New Roman"/>
                <w:b/>
                <w:color w:val="auto"/>
                <w:sz w:val="21"/>
                <w:szCs w:val="21"/>
                <w:u w:val="none"/>
              </w:rPr>
              <w:t>表</w:t>
            </w:r>
            <w:r>
              <w:rPr>
                <w:rFonts w:hint="eastAsia" w:ascii="Times New Roman" w:hAnsi="Times New Roman" w:cs="Times New Roman"/>
                <w:b/>
                <w:color w:val="auto"/>
                <w:sz w:val="21"/>
                <w:szCs w:val="21"/>
                <w:u w:val="none"/>
                <w:lang w:val="en-US" w:eastAsia="zh-CN"/>
              </w:rPr>
              <w:t>3-3</w:t>
            </w:r>
            <w:r>
              <w:rPr>
                <w:rFonts w:hint="default" w:ascii="Times New Roman" w:hAnsi="Times New Roman" w:cs="Times New Roman"/>
                <w:b/>
                <w:color w:val="auto"/>
                <w:sz w:val="21"/>
                <w:szCs w:val="21"/>
                <w:u w:val="none"/>
              </w:rPr>
              <w:t xml:space="preserve"> 环境空气质量监测气象参数记录表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015"/>
              <w:gridCol w:w="1089"/>
              <w:gridCol w:w="941"/>
              <w:gridCol w:w="1141"/>
              <w:gridCol w:w="1116"/>
              <w:gridCol w:w="15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lang w:eastAsia="zh-CN"/>
                    </w:rPr>
                    <w:t>监测</w:t>
                  </w:r>
                  <w:r>
                    <w:rPr>
                      <w:rFonts w:hint="default" w:ascii="Times New Roman" w:hAnsi="Times New Roman" w:cs="Times New Roman"/>
                      <w:szCs w:val="21"/>
                      <w:highlight w:val="none"/>
                    </w:rPr>
                    <w:t>时间</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Cs w:val="21"/>
                      <w:highlight w:val="none"/>
                    </w:rPr>
                  </w:pPr>
                  <w:r>
                    <w:rPr>
                      <w:rFonts w:hint="default" w:ascii="Times New Roman" w:hAnsi="Times New Roman" w:cs="Times New Roman"/>
                      <w:kern w:val="0"/>
                      <w:szCs w:val="21"/>
                      <w:highlight w:val="none"/>
                    </w:rPr>
                    <w:t>天气</w:t>
                  </w:r>
                </w:p>
              </w:tc>
              <w:tc>
                <w:tcPr>
                  <w:tcW w:w="108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Cs w:val="21"/>
                      <w:highlight w:val="none"/>
                    </w:rPr>
                  </w:pPr>
                  <w:r>
                    <w:rPr>
                      <w:rFonts w:hint="default" w:ascii="Times New Roman" w:hAnsi="Times New Roman" w:cs="Times New Roman"/>
                      <w:kern w:val="0"/>
                      <w:szCs w:val="21"/>
                      <w:highlight w:val="none"/>
                      <w:lang w:eastAsia="zh-CN"/>
                    </w:rPr>
                    <w:t>瞬时</w:t>
                  </w:r>
                  <w:r>
                    <w:rPr>
                      <w:rFonts w:hint="default" w:ascii="Times New Roman" w:hAnsi="Times New Roman" w:cs="Times New Roman"/>
                      <w:kern w:val="0"/>
                      <w:szCs w:val="21"/>
                      <w:highlight w:val="none"/>
                    </w:rPr>
                    <w:t>风向</w:t>
                  </w:r>
                </w:p>
              </w:tc>
              <w:tc>
                <w:tcPr>
                  <w:tcW w:w="94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Cs w:val="21"/>
                      <w:highlight w:val="none"/>
                    </w:rPr>
                  </w:pPr>
                  <w:r>
                    <w:rPr>
                      <w:rFonts w:hint="default" w:ascii="Times New Roman" w:hAnsi="Times New Roman" w:cs="Times New Roman"/>
                      <w:kern w:val="0"/>
                      <w:szCs w:val="21"/>
                      <w:highlight w:val="none"/>
                    </w:rPr>
                    <w:t>风速（m/s）</w:t>
                  </w:r>
                </w:p>
              </w:tc>
              <w:tc>
                <w:tcPr>
                  <w:tcW w:w="114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lang w:eastAsia="zh-CN"/>
                    </w:rPr>
                    <w:t>环境</w:t>
                  </w:r>
                  <w:r>
                    <w:rPr>
                      <w:rFonts w:hint="default" w:ascii="Times New Roman" w:hAnsi="Times New Roman" w:cs="Times New Roman"/>
                      <w:kern w:val="0"/>
                      <w:szCs w:val="21"/>
                      <w:highlight w:val="none"/>
                    </w:rPr>
                    <w:t>温度</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Cs w:val="21"/>
                      <w:highlight w:val="none"/>
                    </w:rPr>
                  </w:pPr>
                  <w:r>
                    <w:rPr>
                      <w:rFonts w:hint="default" w:ascii="Times New Roman" w:hAnsi="Times New Roman" w:cs="Times New Roman"/>
                      <w:kern w:val="0"/>
                      <w:szCs w:val="21"/>
                      <w:highlight w:val="none"/>
                    </w:rPr>
                    <w:t>（℃）</w:t>
                  </w:r>
                </w:p>
              </w:tc>
              <w:tc>
                <w:tcPr>
                  <w:tcW w:w="11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lang w:eastAsia="zh-CN"/>
                    </w:rPr>
                    <w:t>相对</w:t>
                  </w:r>
                  <w:r>
                    <w:rPr>
                      <w:rFonts w:hint="default" w:ascii="Times New Roman" w:hAnsi="Times New Roman" w:cs="Times New Roman"/>
                      <w:kern w:val="0"/>
                      <w:szCs w:val="21"/>
                      <w:highlight w:val="none"/>
                    </w:rPr>
                    <w:t>湿度</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w:t>
                  </w:r>
                </w:p>
              </w:tc>
              <w:tc>
                <w:tcPr>
                  <w:tcW w:w="155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大气压</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Cs w:val="21"/>
                      <w:highlight w:val="none"/>
                    </w:rPr>
                  </w:pPr>
                  <w:r>
                    <w:rPr>
                      <w:rFonts w:hint="default" w:ascii="Times New Roman" w:hAnsi="Times New Roman" w:cs="Times New Roman"/>
                      <w:kern w:val="0"/>
                      <w:szCs w:val="21"/>
                      <w:highlight w:val="none"/>
                    </w:rPr>
                    <w:t>（kPa）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Cs w:val="21"/>
                      <w:highlight w:val="none"/>
                      <w:lang w:val="en-US" w:eastAsia="zh-CN"/>
                    </w:rPr>
                    <w:t>2019.</w:t>
                  </w:r>
                  <w:r>
                    <w:rPr>
                      <w:rFonts w:hint="eastAsia" w:ascii="Times New Roman" w:hAnsi="Times New Roman" w:cs="Times New Roman"/>
                      <w:kern w:val="0"/>
                      <w:szCs w:val="21"/>
                      <w:highlight w:val="none"/>
                      <w:lang w:val="en-US" w:eastAsia="zh-CN"/>
                    </w:rPr>
                    <w:t>12.18</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eastAsia="zh-CN"/>
                    </w:rPr>
                  </w:pPr>
                  <w:r>
                    <w:rPr>
                      <w:rFonts w:hint="default" w:ascii="Times New Roman" w:hAnsi="Times New Roman" w:cs="Times New Roman"/>
                      <w:kern w:val="0"/>
                      <w:szCs w:val="21"/>
                      <w:highlight w:val="none"/>
                      <w:lang w:eastAsia="zh-CN"/>
                    </w:rPr>
                    <w:t>阴</w:t>
                  </w:r>
                </w:p>
              </w:tc>
              <w:tc>
                <w:tcPr>
                  <w:tcW w:w="108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rPr>
                  </w:pPr>
                  <w:r>
                    <w:rPr>
                      <w:rFonts w:hint="eastAsia" w:ascii="Times New Roman" w:hAnsi="Times New Roman" w:cs="Times New Roman"/>
                      <w:kern w:val="0"/>
                      <w:szCs w:val="21"/>
                      <w:highlight w:val="none"/>
                      <w:lang w:eastAsia="zh-CN"/>
                    </w:rPr>
                    <w:t>东</w:t>
                  </w:r>
                  <w:r>
                    <w:rPr>
                      <w:rFonts w:hint="default" w:ascii="Times New Roman" w:hAnsi="Times New Roman" w:cs="Times New Roman"/>
                      <w:kern w:val="0"/>
                      <w:szCs w:val="21"/>
                      <w:highlight w:val="none"/>
                    </w:rPr>
                    <w:t>北</w:t>
                  </w:r>
                </w:p>
              </w:tc>
              <w:tc>
                <w:tcPr>
                  <w:tcW w:w="94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2.0-2.9</w:t>
                  </w:r>
                </w:p>
              </w:tc>
              <w:tc>
                <w:tcPr>
                  <w:tcW w:w="114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4-7</w:t>
                  </w:r>
                </w:p>
              </w:tc>
              <w:tc>
                <w:tcPr>
                  <w:tcW w:w="11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61-75</w:t>
                  </w:r>
                </w:p>
              </w:tc>
              <w:tc>
                <w:tcPr>
                  <w:tcW w:w="155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100.4-101.7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Cs w:val="21"/>
                      <w:highlight w:val="none"/>
                      <w:lang w:val="en-US" w:eastAsia="zh-CN"/>
                    </w:rPr>
                    <w:t>2019.</w:t>
                  </w:r>
                  <w:r>
                    <w:rPr>
                      <w:rFonts w:hint="eastAsia" w:ascii="Times New Roman" w:hAnsi="Times New Roman" w:cs="Times New Roman"/>
                      <w:kern w:val="0"/>
                      <w:szCs w:val="21"/>
                      <w:highlight w:val="none"/>
                      <w:lang w:val="en-US" w:eastAsia="zh-CN"/>
                    </w:rPr>
                    <w:t>12.19</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lang w:eastAsia="zh-CN"/>
                    </w:rPr>
                    <w:t>阴</w:t>
                  </w:r>
                </w:p>
              </w:tc>
              <w:tc>
                <w:tcPr>
                  <w:tcW w:w="108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rPr>
                  </w:pPr>
                  <w:r>
                    <w:rPr>
                      <w:rFonts w:hint="eastAsia" w:ascii="Times New Roman" w:hAnsi="Times New Roman" w:cs="Times New Roman"/>
                      <w:kern w:val="0"/>
                      <w:szCs w:val="21"/>
                      <w:highlight w:val="none"/>
                      <w:lang w:eastAsia="zh-CN"/>
                    </w:rPr>
                    <w:t>东</w:t>
                  </w:r>
                  <w:r>
                    <w:rPr>
                      <w:rFonts w:hint="default" w:ascii="Times New Roman" w:hAnsi="Times New Roman" w:cs="Times New Roman"/>
                      <w:kern w:val="0"/>
                      <w:szCs w:val="21"/>
                      <w:highlight w:val="none"/>
                    </w:rPr>
                    <w:t>北</w:t>
                  </w:r>
                </w:p>
              </w:tc>
              <w:tc>
                <w:tcPr>
                  <w:tcW w:w="94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1.5-2.7</w:t>
                  </w:r>
                </w:p>
              </w:tc>
              <w:tc>
                <w:tcPr>
                  <w:tcW w:w="114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4-7</w:t>
                  </w:r>
                </w:p>
              </w:tc>
              <w:tc>
                <w:tcPr>
                  <w:tcW w:w="11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59-70</w:t>
                  </w:r>
                </w:p>
              </w:tc>
              <w:tc>
                <w:tcPr>
                  <w:tcW w:w="155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100.2-101.6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Cs w:val="21"/>
                      <w:highlight w:val="none"/>
                      <w:lang w:val="en-US" w:eastAsia="zh-CN"/>
                    </w:rPr>
                    <w:t>2019.</w:t>
                  </w:r>
                  <w:r>
                    <w:rPr>
                      <w:rFonts w:hint="eastAsia" w:ascii="Times New Roman" w:hAnsi="Times New Roman" w:cs="Times New Roman"/>
                      <w:kern w:val="0"/>
                      <w:szCs w:val="21"/>
                      <w:highlight w:val="none"/>
                      <w:lang w:val="en-US" w:eastAsia="zh-CN"/>
                    </w:rPr>
                    <w:t>12.20</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lang w:eastAsia="zh-CN"/>
                    </w:rPr>
                    <w:t>阴</w:t>
                  </w:r>
                </w:p>
              </w:tc>
              <w:tc>
                <w:tcPr>
                  <w:tcW w:w="108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rPr>
                  </w:pPr>
                  <w:r>
                    <w:rPr>
                      <w:rFonts w:hint="eastAsia" w:ascii="Times New Roman" w:hAnsi="Times New Roman" w:cs="Times New Roman"/>
                      <w:kern w:val="0"/>
                      <w:szCs w:val="21"/>
                      <w:highlight w:val="none"/>
                      <w:lang w:eastAsia="zh-CN"/>
                    </w:rPr>
                    <w:t>东</w:t>
                  </w:r>
                  <w:r>
                    <w:rPr>
                      <w:rFonts w:hint="default" w:ascii="Times New Roman" w:hAnsi="Times New Roman" w:cs="Times New Roman"/>
                      <w:kern w:val="0"/>
                      <w:szCs w:val="21"/>
                      <w:highlight w:val="none"/>
                    </w:rPr>
                    <w:t>北</w:t>
                  </w:r>
                </w:p>
              </w:tc>
              <w:tc>
                <w:tcPr>
                  <w:tcW w:w="94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1.7-2.5</w:t>
                  </w:r>
                </w:p>
              </w:tc>
              <w:tc>
                <w:tcPr>
                  <w:tcW w:w="114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5-8</w:t>
                  </w:r>
                </w:p>
              </w:tc>
              <w:tc>
                <w:tcPr>
                  <w:tcW w:w="11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61-72</w:t>
                  </w:r>
                </w:p>
              </w:tc>
              <w:tc>
                <w:tcPr>
                  <w:tcW w:w="155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100.5-101.5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Cs w:val="21"/>
                      <w:highlight w:val="none"/>
                      <w:lang w:val="en-US" w:eastAsia="zh-CN"/>
                    </w:rPr>
                    <w:t>2019.</w:t>
                  </w:r>
                  <w:r>
                    <w:rPr>
                      <w:rFonts w:hint="eastAsia" w:ascii="Times New Roman" w:hAnsi="Times New Roman" w:cs="Times New Roman"/>
                      <w:kern w:val="0"/>
                      <w:szCs w:val="21"/>
                      <w:highlight w:val="none"/>
                      <w:lang w:val="en-US" w:eastAsia="zh-CN"/>
                    </w:rPr>
                    <w:t>12.21</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eastAsia="zh-CN"/>
                    </w:rPr>
                  </w:pPr>
                  <w:r>
                    <w:rPr>
                      <w:rFonts w:hint="default" w:ascii="Times New Roman" w:hAnsi="Times New Roman" w:cs="Times New Roman"/>
                      <w:kern w:val="0"/>
                      <w:szCs w:val="21"/>
                      <w:highlight w:val="none"/>
                      <w:lang w:eastAsia="zh-CN"/>
                    </w:rPr>
                    <w:t>阴</w:t>
                  </w:r>
                </w:p>
              </w:tc>
              <w:tc>
                <w:tcPr>
                  <w:tcW w:w="108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rPr>
                  </w:pPr>
                  <w:r>
                    <w:rPr>
                      <w:rFonts w:hint="eastAsia" w:ascii="Times New Roman" w:hAnsi="Times New Roman" w:cs="Times New Roman"/>
                      <w:kern w:val="0"/>
                      <w:szCs w:val="21"/>
                      <w:highlight w:val="none"/>
                      <w:lang w:eastAsia="zh-CN"/>
                    </w:rPr>
                    <w:t>东</w:t>
                  </w:r>
                  <w:r>
                    <w:rPr>
                      <w:rFonts w:hint="default" w:ascii="Times New Roman" w:hAnsi="Times New Roman" w:cs="Times New Roman"/>
                      <w:kern w:val="0"/>
                      <w:szCs w:val="21"/>
                      <w:highlight w:val="none"/>
                    </w:rPr>
                    <w:t>北</w:t>
                  </w:r>
                </w:p>
              </w:tc>
              <w:tc>
                <w:tcPr>
                  <w:tcW w:w="94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1.7-2.9</w:t>
                  </w:r>
                </w:p>
              </w:tc>
              <w:tc>
                <w:tcPr>
                  <w:tcW w:w="114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4-7</w:t>
                  </w:r>
                </w:p>
              </w:tc>
              <w:tc>
                <w:tcPr>
                  <w:tcW w:w="11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65-75</w:t>
                  </w:r>
                </w:p>
              </w:tc>
              <w:tc>
                <w:tcPr>
                  <w:tcW w:w="155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100.7-101.9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Cs w:val="21"/>
                      <w:highlight w:val="none"/>
                      <w:lang w:val="en-US" w:eastAsia="zh-CN"/>
                    </w:rPr>
                    <w:t>2019.</w:t>
                  </w:r>
                  <w:r>
                    <w:rPr>
                      <w:rFonts w:hint="eastAsia" w:ascii="Times New Roman" w:hAnsi="Times New Roman" w:cs="Times New Roman"/>
                      <w:kern w:val="0"/>
                      <w:szCs w:val="21"/>
                      <w:highlight w:val="none"/>
                      <w:lang w:val="en-US" w:eastAsia="zh-CN"/>
                    </w:rPr>
                    <w:t>12.22</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lang w:eastAsia="zh-CN"/>
                    </w:rPr>
                    <w:t>阴</w:t>
                  </w:r>
                </w:p>
              </w:tc>
              <w:tc>
                <w:tcPr>
                  <w:tcW w:w="108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rPr>
                  </w:pPr>
                  <w:r>
                    <w:rPr>
                      <w:rFonts w:hint="eastAsia" w:ascii="Times New Roman" w:hAnsi="Times New Roman" w:cs="Times New Roman"/>
                      <w:kern w:val="0"/>
                      <w:szCs w:val="21"/>
                      <w:highlight w:val="none"/>
                      <w:lang w:eastAsia="zh-CN"/>
                    </w:rPr>
                    <w:t>东</w:t>
                  </w:r>
                  <w:r>
                    <w:rPr>
                      <w:rFonts w:hint="default" w:ascii="Times New Roman" w:hAnsi="Times New Roman" w:cs="Times New Roman"/>
                      <w:kern w:val="0"/>
                      <w:szCs w:val="21"/>
                      <w:highlight w:val="none"/>
                    </w:rPr>
                    <w:t>北</w:t>
                  </w:r>
                </w:p>
              </w:tc>
              <w:tc>
                <w:tcPr>
                  <w:tcW w:w="94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1.5-2.4</w:t>
                  </w:r>
                </w:p>
              </w:tc>
              <w:tc>
                <w:tcPr>
                  <w:tcW w:w="114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5-9</w:t>
                  </w:r>
                </w:p>
              </w:tc>
              <w:tc>
                <w:tcPr>
                  <w:tcW w:w="11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64-71</w:t>
                  </w:r>
                </w:p>
              </w:tc>
              <w:tc>
                <w:tcPr>
                  <w:tcW w:w="155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100.7-101.8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lang w:val="en-US"/>
                    </w:rPr>
                  </w:pPr>
                  <w:r>
                    <w:rPr>
                      <w:rFonts w:hint="default" w:ascii="Times New Roman" w:hAnsi="Times New Roman" w:cs="Times New Roman"/>
                      <w:kern w:val="0"/>
                      <w:szCs w:val="21"/>
                      <w:highlight w:val="none"/>
                      <w:lang w:val="en-US" w:eastAsia="zh-CN"/>
                    </w:rPr>
                    <w:t>2019.</w:t>
                  </w:r>
                  <w:r>
                    <w:rPr>
                      <w:rFonts w:hint="eastAsia" w:ascii="Times New Roman" w:hAnsi="Times New Roman" w:cs="Times New Roman"/>
                      <w:kern w:val="0"/>
                      <w:szCs w:val="21"/>
                      <w:highlight w:val="none"/>
                      <w:lang w:val="en-US" w:eastAsia="zh-CN"/>
                    </w:rPr>
                    <w:t>12.23</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lang w:eastAsia="zh-CN"/>
                    </w:rPr>
                    <w:t>阴</w:t>
                  </w:r>
                </w:p>
              </w:tc>
              <w:tc>
                <w:tcPr>
                  <w:tcW w:w="108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rPr>
                  </w:pPr>
                  <w:r>
                    <w:rPr>
                      <w:rFonts w:hint="eastAsia" w:ascii="Times New Roman" w:hAnsi="Times New Roman" w:cs="Times New Roman"/>
                      <w:kern w:val="0"/>
                      <w:szCs w:val="21"/>
                      <w:highlight w:val="none"/>
                      <w:lang w:eastAsia="zh-CN"/>
                    </w:rPr>
                    <w:t>东</w:t>
                  </w:r>
                  <w:r>
                    <w:rPr>
                      <w:rFonts w:hint="default" w:ascii="Times New Roman" w:hAnsi="Times New Roman" w:cs="Times New Roman"/>
                      <w:kern w:val="0"/>
                      <w:szCs w:val="21"/>
                      <w:highlight w:val="none"/>
                    </w:rPr>
                    <w:t>北</w:t>
                  </w:r>
                </w:p>
              </w:tc>
              <w:tc>
                <w:tcPr>
                  <w:tcW w:w="94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1.1-2.1</w:t>
                  </w:r>
                </w:p>
              </w:tc>
              <w:tc>
                <w:tcPr>
                  <w:tcW w:w="114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7-12</w:t>
                  </w:r>
                </w:p>
              </w:tc>
              <w:tc>
                <w:tcPr>
                  <w:tcW w:w="11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60-72</w:t>
                  </w:r>
                </w:p>
              </w:tc>
              <w:tc>
                <w:tcPr>
                  <w:tcW w:w="155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100.2-101.3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lang w:val="en-US" w:eastAsia="zh-CN"/>
                    </w:rPr>
                  </w:pPr>
                  <w:r>
                    <w:rPr>
                      <w:rFonts w:hint="eastAsia" w:ascii="Times New Roman" w:hAnsi="Times New Roman" w:cs="Times New Roman"/>
                      <w:kern w:val="0"/>
                      <w:szCs w:val="21"/>
                      <w:highlight w:val="none"/>
                      <w:lang w:val="en-US" w:eastAsia="zh-CN"/>
                    </w:rPr>
                    <w:t>2019.12.24</w:t>
                  </w:r>
                </w:p>
              </w:tc>
              <w:tc>
                <w:tcPr>
                  <w:tcW w:w="101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Cs w:val="21"/>
                      <w:highlight w:val="none"/>
                      <w:lang w:eastAsia="zh-CN"/>
                    </w:rPr>
                    <w:t>阴</w:t>
                  </w:r>
                </w:p>
              </w:tc>
              <w:tc>
                <w:tcPr>
                  <w:tcW w:w="108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Cs w:val="21"/>
                      <w:highlight w:val="none"/>
                      <w:lang w:eastAsia="zh-CN"/>
                    </w:rPr>
                    <w:t>东</w:t>
                  </w:r>
                  <w:r>
                    <w:rPr>
                      <w:rFonts w:hint="default" w:ascii="Times New Roman" w:hAnsi="Times New Roman" w:cs="Times New Roman"/>
                      <w:kern w:val="0"/>
                      <w:szCs w:val="21"/>
                      <w:highlight w:val="none"/>
                    </w:rPr>
                    <w:t>北</w:t>
                  </w:r>
                </w:p>
              </w:tc>
              <w:tc>
                <w:tcPr>
                  <w:tcW w:w="94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eastAsia" w:cs="Times New Roman"/>
                      <w:kern w:val="0"/>
                      <w:szCs w:val="21"/>
                      <w:highlight w:val="none"/>
                      <w:lang w:val="en-US" w:eastAsia="zh-CN"/>
                    </w:rPr>
                    <w:t>2.0-2.9</w:t>
                  </w:r>
                </w:p>
              </w:tc>
              <w:tc>
                <w:tcPr>
                  <w:tcW w:w="114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eastAsia" w:cs="Times New Roman"/>
                      <w:kern w:val="0"/>
                      <w:szCs w:val="21"/>
                      <w:highlight w:val="none"/>
                      <w:lang w:val="en-US" w:eastAsia="zh-CN"/>
                    </w:rPr>
                    <w:t>7-14</w:t>
                  </w:r>
                </w:p>
              </w:tc>
              <w:tc>
                <w:tcPr>
                  <w:tcW w:w="11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eastAsia" w:cs="Times New Roman"/>
                      <w:kern w:val="0"/>
                      <w:szCs w:val="21"/>
                      <w:highlight w:val="none"/>
                      <w:lang w:val="en-US" w:eastAsia="zh-CN"/>
                    </w:rPr>
                    <w:t>66-67</w:t>
                  </w:r>
                </w:p>
              </w:tc>
              <w:tc>
                <w:tcPr>
                  <w:tcW w:w="155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Cs w:val="21"/>
                      <w:highlight w:val="none"/>
                      <w:lang w:val="en-US" w:eastAsia="zh-CN"/>
                    </w:rPr>
                    <w:t>100.</w:t>
                  </w:r>
                  <w:r>
                    <w:rPr>
                      <w:rFonts w:hint="eastAsia" w:cs="Times New Roman"/>
                      <w:kern w:val="0"/>
                      <w:szCs w:val="21"/>
                      <w:highlight w:val="none"/>
                      <w:lang w:val="en-US" w:eastAsia="zh-CN"/>
                    </w:rPr>
                    <w:t>7</w:t>
                  </w:r>
                  <w:r>
                    <w:rPr>
                      <w:rFonts w:hint="eastAsia" w:ascii="Times New Roman" w:hAnsi="Times New Roman" w:eastAsia="宋体" w:cs="Times New Roman"/>
                      <w:kern w:val="0"/>
                      <w:szCs w:val="21"/>
                      <w:highlight w:val="none"/>
                      <w:lang w:val="en-US" w:eastAsia="zh-CN"/>
                    </w:rPr>
                    <w:t>-101.</w:t>
                  </w:r>
                  <w:r>
                    <w:rPr>
                      <w:rFonts w:hint="eastAsia" w:cs="Times New Roman"/>
                      <w:kern w:val="0"/>
                      <w:szCs w:val="21"/>
                      <w:highlight w:val="none"/>
                      <w:lang w:val="en-US" w:eastAsia="zh-CN"/>
                    </w:rPr>
                    <w:t>7</w:t>
                  </w:r>
                </w:p>
              </w:tc>
            </w:tr>
          </w:tbl>
          <w:p>
            <w:pPr>
              <w:pStyle w:val="25"/>
              <w:keepNext w:val="0"/>
              <w:keepLines w:val="0"/>
              <w:pageBreakBefore w:val="0"/>
              <w:widowControl w:val="0"/>
              <w:kinsoku/>
              <w:wordWrap/>
              <w:overflowPunct/>
              <w:topLinePunct w:val="0"/>
              <w:autoSpaceDE/>
              <w:autoSpaceDN/>
              <w:bidi w:val="0"/>
              <w:adjustRightInd w:val="0"/>
              <w:snapToGrid w:val="0"/>
              <w:spacing w:beforeLines="0" w:line="240" w:lineRule="auto"/>
              <w:ind w:firstLine="422"/>
              <w:jc w:val="center"/>
              <w:textAlignment w:val="auto"/>
              <w:rPr>
                <w:b/>
                <w:color w:val="auto"/>
                <w:sz w:val="21"/>
                <w:szCs w:val="21"/>
                <w:u w:val="none"/>
                <w:vertAlign w:val="superscript"/>
              </w:rPr>
            </w:pPr>
            <w:r>
              <w:rPr>
                <w:b/>
                <w:color w:val="auto"/>
                <w:sz w:val="21"/>
                <w:szCs w:val="21"/>
                <w:u w:val="none"/>
              </w:rPr>
              <w:t>表3-</w:t>
            </w:r>
            <w:r>
              <w:rPr>
                <w:rFonts w:hint="eastAsia"/>
                <w:b/>
                <w:color w:val="auto"/>
                <w:sz w:val="21"/>
                <w:szCs w:val="21"/>
                <w:u w:val="none"/>
                <w:lang w:val="en-US" w:eastAsia="zh-CN"/>
              </w:rPr>
              <w:t>4</w:t>
            </w:r>
            <w:r>
              <w:rPr>
                <w:b/>
                <w:color w:val="auto"/>
                <w:sz w:val="21"/>
                <w:szCs w:val="21"/>
                <w:u w:val="none"/>
              </w:rPr>
              <w:t xml:space="preserve">  环境空气监测结果统计表   单位：</w:t>
            </w:r>
            <w:r>
              <w:rPr>
                <w:rFonts w:hint="eastAsia"/>
                <w:b/>
                <w:color w:val="auto"/>
                <w:sz w:val="21"/>
                <w:szCs w:val="21"/>
                <w:u w:val="none"/>
              </w:rPr>
              <w:t>m</w:t>
            </w:r>
            <w:r>
              <w:rPr>
                <w:b/>
                <w:color w:val="auto"/>
                <w:sz w:val="21"/>
                <w:szCs w:val="21"/>
                <w:u w:val="none"/>
              </w:rPr>
              <w:t>g/m</w:t>
            </w:r>
            <w:r>
              <w:rPr>
                <w:b/>
                <w:color w:val="auto"/>
                <w:sz w:val="21"/>
                <w:szCs w:val="21"/>
                <w:u w:val="none"/>
                <w:vertAlign w:val="superscript"/>
              </w:rPr>
              <w:t>3</w:t>
            </w:r>
          </w:p>
          <w:tbl>
            <w:tblPr>
              <w:tblStyle w:val="27"/>
              <w:tblW w:w="910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27"/>
              <w:gridCol w:w="647"/>
              <w:gridCol w:w="651"/>
              <w:gridCol w:w="742"/>
              <w:gridCol w:w="981"/>
              <w:gridCol w:w="1078"/>
              <w:gridCol w:w="1707"/>
              <w:gridCol w:w="1110"/>
              <w:gridCol w:w="721"/>
              <w:gridCol w:w="83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627" w:type="dxa"/>
                  <w:vMerge w:val="restart"/>
                  <w:noWrap w:val="0"/>
                  <w:vAlign w:val="center"/>
                </w:tcPr>
                <w:p>
                  <w:pPr>
                    <w:pStyle w:val="47"/>
                    <w:adjustRightInd w:val="0"/>
                    <w:snapToGrid w:val="0"/>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监测点位</w:t>
                  </w:r>
                </w:p>
              </w:tc>
              <w:tc>
                <w:tcPr>
                  <w:tcW w:w="1298" w:type="dxa"/>
                  <w:gridSpan w:val="2"/>
                  <w:noWrap w:val="0"/>
                  <w:vAlign w:val="center"/>
                </w:tcPr>
                <w:p>
                  <w:pPr>
                    <w:pStyle w:val="47"/>
                    <w:adjustRightInd w:val="0"/>
                    <w:snapToGrid w:val="0"/>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监测点坐标/m</w:t>
                  </w:r>
                </w:p>
              </w:tc>
              <w:tc>
                <w:tcPr>
                  <w:tcW w:w="742" w:type="dxa"/>
                  <w:vMerge w:val="restart"/>
                  <w:noWrap w:val="0"/>
                  <w:vAlign w:val="center"/>
                </w:tcPr>
                <w:p>
                  <w:pPr>
                    <w:pStyle w:val="47"/>
                    <w:adjustRightInd w:val="0"/>
                    <w:snapToGrid w:val="0"/>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污染物</w:t>
                  </w:r>
                </w:p>
              </w:tc>
              <w:tc>
                <w:tcPr>
                  <w:tcW w:w="981" w:type="dxa"/>
                  <w:vMerge w:val="restart"/>
                  <w:noWrap w:val="0"/>
                  <w:vAlign w:val="center"/>
                </w:tcPr>
                <w:p>
                  <w:pPr>
                    <w:pStyle w:val="47"/>
                    <w:adjustRightInd w:val="0"/>
                    <w:snapToGrid w:val="0"/>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平均时间</w:t>
                  </w:r>
                </w:p>
              </w:tc>
              <w:tc>
                <w:tcPr>
                  <w:tcW w:w="1078" w:type="dxa"/>
                  <w:vMerge w:val="restart"/>
                  <w:noWrap w:val="0"/>
                  <w:vAlign w:val="center"/>
                </w:tcPr>
                <w:p>
                  <w:pPr>
                    <w:pStyle w:val="47"/>
                    <w:adjustRightInd w:val="0"/>
                    <w:snapToGrid w:val="0"/>
                    <w:jc w:val="center"/>
                    <w:rPr>
                      <w:rFonts w:hint="default" w:ascii="Times New Roman" w:hAnsi="Times New Roman" w:eastAsia="Times New Roman" w:cs="Times New Roman"/>
                      <w:szCs w:val="21"/>
                      <w:highlight w:val="none"/>
                    </w:rPr>
                  </w:pPr>
                  <w:r>
                    <w:rPr>
                      <w:rFonts w:hint="default" w:ascii="Times New Roman" w:hAnsi="Times New Roman" w:cs="Times New Roman"/>
                      <w:szCs w:val="21"/>
                      <w:highlight w:val="none"/>
                    </w:rPr>
                    <w:t>评价标准</w:t>
                  </w:r>
                  <w:r>
                    <w:rPr>
                      <w:rFonts w:hint="default" w:ascii="Times New Roman" w:hAnsi="Times New Roman" w:eastAsia="Times New Roman" w:cs="Times New Roman"/>
                      <w:szCs w:val="21"/>
                      <w:highlight w:val="none"/>
                    </w:rPr>
                    <w:t>/</w:t>
                  </w:r>
                </w:p>
                <w:p>
                  <w:pPr>
                    <w:pStyle w:val="47"/>
                    <w:adjustRightInd w:val="0"/>
                    <w:snapToGrid w:val="0"/>
                    <w:spacing w:before="33"/>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w:t>
                  </w:r>
                  <w:r>
                    <w:rPr>
                      <w:rFonts w:hint="default" w:ascii="Times New Roman" w:hAnsi="Times New Roman" w:cs="Times New Roman"/>
                      <w:szCs w:val="21"/>
                      <w:highlight w:val="none"/>
                      <w:lang w:val="en-US" w:eastAsia="zh-CN"/>
                    </w:rPr>
                    <w:t>m</w:t>
                  </w:r>
                  <w:r>
                    <w:rPr>
                      <w:rFonts w:hint="default" w:ascii="Times New Roman" w:hAnsi="Times New Roman" w:eastAsia="Times New Roman" w:cs="Times New Roman"/>
                      <w:szCs w:val="21"/>
                      <w:highlight w:val="none"/>
                    </w:rPr>
                    <w:t>g/m</w:t>
                  </w:r>
                  <w:r>
                    <w:rPr>
                      <w:rFonts w:hint="default" w:ascii="Times New Roman" w:hAnsi="Times New Roman" w:cs="Times New Roman"/>
                      <w:szCs w:val="21"/>
                      <w:highlight w:val="none"/>
                      <w:vertAlign w:val="superscript"/>
                      <w:lang w:val="en-US"/>
                    </w:rPr>
                    <w:t>3</w:t>
                  </w:r>
                  <w:r>
                    <w:rPr>
                      <w:rFonts w:hint="default" w:ascii="Times New Roman" w:hAnsi="Times New Roman" w:cs="Times New Roman"/>
                      <w:szCs w:val="21"/>
                      <w:highlight w:val="none"/>
                    </w:rPr>
                    <w:t>）</w:t>
                  </w:r>
                </w:p>
              </w:tc>
              <w:tc>
                <w:tcPr>
                  <w:tcW w:w="1707" w:type="dxa"/>
                  <w:vMerge w:val="restart"/>
                  <w:noWrap w:val="0"/>
                  <w:vAlign w:val="center"/>
                </w:tcPr>
                <w:p>
                  <w:pPr>
                    <w:pStyle w:val="47"/>
                    <w:adjustRightInd w:val="0"/>
                    <w:snapToGrid w:val="0"/>
                    <w:jc w:val="center"/>
                    <w:rPr>
                      <w:rFonts w:hint="default" w:ascii="Times New Roman" w:hAnsi="Times New Roman" w:eastAsia="Times New Roman" w:cs="Times New Roman"/>
                      <w:szCs w:val="21"/>
                      <w:highlight w:val="none"/>
                    </w:rPr>
                  </w:pPr>
                  <w:r>
                    <w:rPr>
                      <w:rFonts w:hint="default" w:ascii="Times New Roman" w:hAnsi="Times New Roman" w:cs="Times New Roman"/>
                      <w:szCs w:val="21"/>
                      <w:highlight w:val="none"/>
                    </w:rPr>
                    <w:t>监测浓度范围</w:t>
                  </w:r>
                  <w:r>
                    <w:rPr>
                      <w:rFonts w:hint="default" w:ascii="Times New Roman" w:hAnsi="Times New Roman" w:eastAsia="Times New Roman" w:cs="Times New Roman"/>
                      <w:szCs w:val="21"/>
                      <w:highlight w:val="none"/>
                    </w:rPr>
                    <w:t>/</w:t>
                  </w:r>
                </w:p>
                <w:p>
                  <w:pPr>
                    <w:pStyle w:val="47"/>
                    <w:adjustRightInd w:val="0"/>
                    <w:snapToGrid w:val="0"/>
                    <w:spacing w:before="33"/>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w:t>
                  </w:r>
                  <w:r>
                    <w:rPr>
                      <w:rFonts w:hint="default" w:ascii="Times New Roman" w:hAnsi="Times New Roman" w:cs="Times New Roman"/>
                      <w:szCs w:val="21"/>
                      <w:highlight w:val="none"/>
                      <w:lang w:val="en-US" w:eastAsia="zh-CN"/>
                    </w:rPr>
                    <w:t>m</w:t>
                  </w:r>
                  <w:r>
                    <w:rPr>
                      <w:rFonts w:hint="default" w:ascii="Times New Roman" w:hAnsi="Times New Roman" w:eastAsia="Times New Roman" w:cs="Times New Roman"/>
                      <w:szCs w:val="21"/>
                      <w:highlight w:val="none"/>
                    </w:rPr>
                    <w:t>g/m</w:t>
                  </w:r>
                  <w:r>
                    <w:rPr>
                      <w:rFonts w:hint="default" w:ascii="Times New Roman" w:hAnsi="Times New Roman" w:cs="Times New Roman"/>
                      <w:szCs w:val="21"/>
                      <w:highlight w:val="none"/>
                      <w:vertAlign w:val="superscript"/>
                      <w:lang w:val="en-US"/>
                    </w:rPr>
                    <w:t>3</w:t>
                  </w:r>
                  <w:r>
                    <w:rPr>
                      <w:rFonts w:hint="default" w:ascii="Times New Roman" w:hAnsi="Times New Roman" w:cs="Times New Roman"/>
                      <w:szCs w:val="21"/>
                      <w:highlight w:val="none"/>
                    </w:rPr>
                    <w:t>）</w:t>
                  </w:r>
                </w:p>
              </w:tc>
              <w:tc>
                <w:tcPr>
                  <w:tcW w:w="1110" w:type="dxa"/>
                  <w:vMerge w:val="restart"/>
                  <w:noWrap w:val="0"/>
                  <w:vAlign w:val="center"/>
                </w:tcPr>
                <w:p>
                  <w:pPr>
                    <w:pStyle w:val="47"/>
                    <w:adjustRightInd w:val="0"/>
                    <w:snapToGrid w:val="0"/>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最大浓度占标率（%）</w:t>
                  </w:r>
                </w:p>
              </w:tc>
              <w:tc>
                <w:tcPr>
                  <w:tcW w:w="721" w:type="dxa"/>
                  <w:vMerge w:val="restart"/>
                  <w:noWrap w:val="0"/>
                  <w:vAlign w:val="center"/>
                </w:tcPr>
                <w:p>
                  <w:pPr>
                    <w:pStyle w:val="47"/>
                    <w:adjustRightInd w:val="0"/>
                    <w:snapToGrid w:val="0"/>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超标率（%）</w:t>
                  </w:r>
                </w:p>
              </w:tc>
              <w:tc>
                <w:tcPr>
                  <w:tcW w:w="836" w:type="dxa"/>
                  <w:vMerge w:val="restart"/>
                  <w:noWrap w:val="0"/>
                  <w:vAlign w:val="center"/>
                </w:tcPr>
                <w:p>
                  <w:pPr>
                    <w:pStyle w:val="47"/>
                    <w:adjustRightInd w:val="0"/>
                    <w:snapToGrid w:val="0"/>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达标情况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62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p>
              </w:tc>
              <w:tc>
                <w:tcPr>
                  <w:tcW w:w="64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X</w:t>
                  </w:r>
                </w:p>
              </w:tc>
              <w:tc>
                <w:tcPr>
                  <w:tcW w:w="65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Y</w:t>
                  </w:r>
                </w:p>
              </w:tc>
              <w:tc>
                <w:tcPr>
                  <w:tcW w:w="74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p>
              </w:tc>
              <w:tc>
                <w:tcPr>
                  <w:tcW w:w="98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p>
              </w:tc>
              <w:tc>
                <w:tcPr>
                  <w:tcW w:w="1078" w:type="dxa"/>
                  <w:vMerge w:val="continue"/>
                  <w:noWrap w:val="0"/>
                  <w:vAlign w:val="center"/>
                </w:tcPr>
                <w:p>
                  <w:pPr>
                    <w:adjustRightInd w:val="0"/>
                    <w:snapToGrid w:val="0"/>
                    <w:jc w:val="center"/>
                    <w:rPr>
                      <w:rFonts w:hint="default" w:ascii="Times New Roman" w:hAnsi="Times New Roman" w:cs="Times New Roman"/>
                      <w:szCs w:val="21"/>
                      <w:highlight w:val="none"/>
                    </w:rPr>
                  </w:pPr>
                </w:p>
              </w:tc>
              <w:tc>
                <w:tcPr>
                  <w:tcW w:w="1707" w:type="dxa"/>
                  <w:vMerge w:val="continue"/>
                  <w:noWrap w:val="0"/>
                  <w:vAlign w:val="center"/>
                </w:tcPr>
                <w:p>
                  <w:pPr>
                    <w:adjustRightInd w:val="0"/>
                    <w:snapToGrid w:val="0"/>
                    <w:jc w:val="center"/>
                    <w:rPr>
                      <w:rFonts w:hint="default" w:ascii="Times New Roman" w:hAnsi="Times New Roman" w:cs="Times New Roman"/>
                      <w:szCs w:val="21"/>
                      <w:highlight w:val="none"/>
                    </w:rPr>
                  </w:pPr>
                </w:p>
              </w:tc>
              <w:tc>
                <w:tcPr>
                  <w:tcW w:w="1110" w:type="dxa"/>
                  <w:vMerge w:val="continue"/>
                  <w:noWrap w:val="0"/>
                  <w:vAlign w:val="center"/>
                </w:tcPr>
                <w:p>
                  <w:pPr>
                    <w:adjustRightInd w:val="0"/>
                    <w:snapToGrid w:val="0"/>
                    <w:jc w:val="center"/>
                    <w:rPr>
                      <w:rFonts w:hint="default" w:ascii="Times New Roman" w:hAnsi="Times New Roman" w:cs="Times New Roman"/>
                      <w:szCs w:val="21"/>
                      <w:highlight w:val="none"/>
                    </w:rPr>
                  </w:pPr>
                </w:p>
              </w:tc>
              <w:tc>
                <w:tcPr>
                  <w:tcW w:w="721" w:type="dxa"/>
                  <w:vMerge w:val="continue"/>
                  <w:noWrap w:val="0"/>
                  <w:vAlign w:val="center"/>
                </w:tcPr>
                <w:p>
                  <w:pPr>
                    <w:adjustRightInd w:val="0"/>
                    <w:snapToGrid w:val="0"/>
                    <w:jc w:val="center"/>
                    <w:rPr>
                      <w:rFonts w:hint="default" w:ascii="Times New Roman" w:hAnsi="Times New Roman" w:cs="Times New Roman"/>
                      <w:szCs w:val="21"/>
                      <w:highlight w:val="none"/>
                    </w:rPr>
                  </w:pPr>
                </w:p>
              </w:tc>
              <w:tc>
                <w:tcPr>
                  <w:tcW w:w="836" w:type="dxa"/>
                  <w:vMerge w:val="continue"/>
                  <w:noWrap w:val="0"/>
                  <w:vAlign w:val="center"/>
                </w:tcPr>
                <w:p>
                  <w:pPr>
                    <w:adjustRightInd w:val="0"/>
                    <w:snapToGrid w:val="0"/>
                    <w:jc w:val="center"/>
                    <w:rPr>
                      <w:rFonts w:hint="default" w:ascii="Times New Roman" w:hAnsi="Times New Roman" w:cs="Times New Roman"/>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62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G1</w:t>
                  </w:r>
                </w:p>
              </w:tc>
              <w:tc>
                <w:tcPr>
                  <w:tcW w:w="64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554244.894</w:t>
                  </w:r>
                </w:p>
              </w:tc>
              <w:tc>
                <w:tcPr>
                  <w:tcW w:w="65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3008039.196</w:t>
                  </w:r>
                </w:p>
              </w:tc>
              <w:tc>
                <w:tcPr>
                  <w:tcW w:w="7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NH</w:t>
                  </w:r>
                  <w:r>
                    <w:rPr>
                      <w:rFonts w:hint="default" w:ascii="Times New Roman" w:hAnsi="Times New Roman" w:eastAsia="宋体" w:cs="Times New Roman"/>
                      <w:kern w:val="0"/>
                      <w:sz w:val="21"/>
                      <w:szCs w:val="21"/>
                      <w:highlight w:val="none"/>
                      <w:vertAlign w:val="subscript"/>
                      <w:lang w:val="en-US" w:eastAsia="zh-CN" w:bidi="ar-SA"/>
                    </w:rPr>
                    <w:t>3</w:t>
                  </w:r>
                </w:p>
              </w:tc>
              <w:tc>
                <w:tcPr>
                  <w:tcW w:w="98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1次值</w:t>
                  </w:r>
                </w:p>
              </w:tc>
              <w:tc>
                <w:tcPr>
                  <w:tcW w:w="10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0.2</w:t>
                  </w:r>
                </w:p>
              </w:tc>
              <w:tc>
                <w:tcPr>
                  <w:tcW w:w="170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lang w:val="en-US" w:eastAsia="zh-CN"/>
                    </w:rPr>
                  </w:pPr>
                  <w:r>
                    <w:rPr>
                      <w:rFonts w:hint="eastAsia" w:ascii="Times New Roman" w:hAnsi="Times New Roman" w:cs="Times New Roman"/>
                      <w:kern w:val="0"/>
                      <w:szCs w:val="21"/>
                      <w:highlight w:val="none"/>
                      <w:lang w:val="en-US" w:eastAsia="zh-CN"/>
                    </w:rPr>
                    <w:t>0.09-0.10</w:t>
                  </w:r>
                </w:p>
              </w:tc>
              <w:tc>
                <w:tcPr>
                  <w:tcW w:w="11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lang w:val="en-US" w:eastAsia="zh-CN"/>
                    </w:rPr>
                  </w:pPr>
                  <w:r>
                    <w:rPr>
                      <w:rFonts w:hint="eastAsia" w:ascii="Times New Roman" w:hAnsi="Times New Roman" w:cs="Times New Roman"/>
                      <w:kern w:val="0"/>
                      <w:szCs w:val="21"/>
                      <w:highlight w:val="none"/>
                      <w:lang w:val="en-US" w:eastAsia="zh-CN"/>
                    </w:rPr>
                    <w:t>50.0</w:t>
                  </w:r>
                </w:p>
              </w:tc>
              <w:tc>
                <w:tcPr>
                  <w:tcW w:w="72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lang w:eastAsia="zh-CN"/>
                    </w:rPr>
                  </w:pPr>
                  <w:r>
                    <w:rPr>
                      <w:rFonts w:hint="default" w:ascii="Times New Roman" w:hAnsi="Times New Roman" w:cs="Times New Roman"/>
                      <w:kern w:val="0"/>
                      <w:szCs w:val="21"/>
                      <w:highlight w:val="none"/>
                      <w:lang w:eastAsia="zh-CN"/>
                    </w:rPr>
                    <w:t>0</w:t>
                  </w:r>
                </w:p>
              </w:tc>
              <w:tc>
                <w:tcPr>
                  <w:tcW w:w="83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lang w:eastAsia="zh-CN"/>
                    </w:rPr>
                  </w:pPr>
                  <w:r>
                    <w:rPr>
                      <w:rFonts w:hint="default" w:ascii="Times New Roman" w:hAnsi="Times New Roman" w:cs="Times New Roman"/>
                      <w:kern w:val="0"/>
                      <w:szCs w:val="21"/>
                      <w:highlight w:val="none"/>
                      <w:lang w:eastAsia="zh-CN"/>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62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p>
              </w:tc>
              <w:tc>
                <w:tcPr>
                  <w:tcW w:w="6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0"/>
                      <w:sz w:val="21"/>
                      <w:szCs w:val="21"/>
                      <w:highlight w:val="none"/>
                      <w:lang w:val="en-US" w:eastAsia="zh-CN" w:bidi="ar-SA"/>
                    </w:rPr>
                  </w:pPr>
                </w:p>
              </w:tc>
              <w:tc>
                <w:tcPr>
                  <w:tcW w:w="65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0"/>
                      <w:sz w:val="21"/>
                      <w:szCs w:val="21"/>
                      <w:highlight w:val="none"/>
                      <w:lang w:val="en-US" w:eastAsia="zh-CN" w:bidi="ar-SA"/>
                    </w:rPr>
                  </w:pPr>
                </w:p>
              </w:tc>
              <w:tc>
                <w:tcPr>
                  <w:tcW w:w="7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H</w:t>
                  </w:r>
                  <w:r>
                    <w:rPr>
                      <w:rFonts w:hint="default" w:ascii="Times New Roman" w:hAnsi="Times New Roman" w:eastAsia="宋体" w:cs="Times New Roman"/>
                      <w:kern w:val="0"/>
                      <w:sz w:val="21"/>
                      <w:szCs w:val="21"/>
                      <w:highlight w:val="none"/>
                      <w:vertAlign w:val="subscript"/>
                      <w:lang w:val="en-US" w:eastAsia="zh-CN" w:bidi="ar-SA"/>
                    </w:rPr>
                    <w:t>2</w:t>
                  </w:r>
                  <w:r>
                    <w:rPr>
                      <w:rFonts w:hint="default" w:ascii="Times New Roman" w:hAnsi="Times New Roman" w:eastAsia="宋体" w:cs="Times New Roman"/>
                      <w:kern w:val="0"/>
                      <w:sz w:val="21"/>
                      <w:szCs w:val="21"/>
                      <w:highlight w:val="none"/>
                      <w:lang w:val="en-US" w:eastAsia="zh-CN" w:bidi="ar-SA"/>
                    </w:rPr>
                    <w:t>S</w:t>
                  </w:r>
                </w:p>
              </w:tc>
              <w:tc>
                <w:tcPr>
                  <w:tcW w:w="98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1次值</w:t>
                  </w:r>
                </w:p>
              </w:tc>
              <w:tc>
                <w:tcPr>
                  <w:tcW w:w="10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0.01</w:t>
                  </w:r>
                </w:p>
              </w:tc>
              <w:tc>
                <w:tcPr>
                  <w:tcW w:w="170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lang w:val="en-US" w:eastAsia="zh-CN"/>
                    </w:rPr>
                  </w:pPr>
                  <w:r>
                    <w:rPr>
                      <w:rFonts w:hint="eastAsia" w:ascii="Times New Roman" w:hAnsi="Times New Roman" w:cs="Times New Roman"/>
                      <w:kern w:val="0"/>
                      <w:szCs w:val="21"/>
                      <w:highlight w:val="none"/>
                      <w:lang w:val="en-US" w:eastAsia="zh-CN"/>
                    </w:rPr>
                    <w:t>0.002-0.004</w:t>
                  </w:r>
                </w:p>
              </w:tc>
              <w:tc>
                <w:tcPr>
                  <w:tcW w:w="11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lang w:val="en-US" w:eastAsia="zh-CN"/>
                    </w:rPr>
                  </w:pPr>
                  <w:r>
                    <w:rPr>
                      <w:rFonts w:hint="eastAsia" w:ascii="Times New Roman" w:hAnsi="Times New Roman" w:cs="Times New Roman"/>
                      <w:kern w:val="0"/>
                      <w:szCs w:val="21"/>
                      <w:highlight w:val="none"/>
                      <w:lang w:val="en-US" w:eastAsia="zh-CN"/>
                    </w:rPr>
                    <w:t>40.0</w:t>
                  </w:r>
                </w:p>
              </w:tc>
              <w:tc>
                <w:tcPr>
                  <w:tcW w:w="72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eastAsia="zh-CN"/>
                    </w:rPr>
                    <w:t>0</w:t>
                  </w:r>
                </w:p>
              </w:tc>
              <w:tc>
                <w:tcPr>
                  <w:tcW w:w="83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eastAsia="zh-CN"/>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62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G2</w:t>
                  </w:r>
                </w:p>
              </w:tc>
              <w:tc>
                <w:tcPr>
                  <w:tcW w:w="64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554027.388</w:t>
                  </w:r>
                </w:p>
              </w:tc>
              <w:tc>
                <w:tcPr>
                  <w:tcW w:w="65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3007654.987</w:t>
                  </w:r>
                </w:p>
              </w:tc>
              <w:tc>
                <w:tcPr>
                  <w:tcW w:w="7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NH</w:t>
                  </w:r>
                  <w:r>
                    <w:rPr>
                      <w:rFonts w:hint="default" w:ascii="Times New Roman" w:hAnsi="Times New Roman" w:eastAsia="宋体" w:cs="Times New Roman"/>
                      <w:kern w:val="0"/>
                      <w:sz w:val="21"/>
                      <w:szCs w:val="21"/>
                      <w:highlight w:val="none"/>
                      <w:vertAlign w:val="subscript"/>
                      <w:lang w:val="en-US" w:eastAsia="zh-CN" w:bidi="ar-SA"/>
                    </w:rPr>
                    <w:t>3</w:t>
                  </w:r>
                </w:p>
              </w:tc>
              <w:tc>
                <w:tcPr>
                  <w:tcW w:w="98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1次值</w:t>
                  </w:r>
                </w:p>
              </w:tc>
              <w:tc>
                <w:tcPr>
                  <w:tcW w:w="10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0.2</w:t>
                  </w:r>
                </w:p>
              </w:tc>
              <w:tc>
                <w:tcPr>
                  <w:tcW w:w="170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lang w:val="en-US" w:eastAsia="zh-CN"/>
                    </w:rPr>
                  </w:pPr>
                  <w:r>
                    <w:rPr>
                      <w:rFonts w:hint="eastAsia" w:ascii="Times New Roman" w:hAnsi="Times New Roman" w:cs="Times New Roman"/>
                      <w:kern w:val="0"/>
                      <w:szCs w:val="21"/>
                      <w:highlight w:val="none"/>
                      <w:lang w:val="en-US" w:eastAsia="zh-CN"/>
                    </w:rPr>
                    <w:t>0.11-0.12</w:t>
                  </w:r>
                </w:p>
              </w:tc>
              <w:tc>
                <w:tcPr>
                  <w:tcW w:w="11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lang w:val="en-US" w:eastAsia="zh-CN"/>
                    </w:rPr>
                  </w:pPr>
                  <w:r>
                    <w:rPr>
                      <w:rFonts w:hint="eastAsia" w:ascii="Times New Roman" w:hAnsi="Times New Roman" w:cs="Times New Roman"/>
                      <w:kern w:val="0"/>
                      <w:szCs w:val="21"/>
                      <w:highlight w:val="none"/>
                      <w:lang w:val="en-US" w:eastAsia="zh-CN"/>
                    </w:rPr>
                    <w:t>60.0</w:t>
                  </w:r>
                </w:p>
              </w:tc>
              <w:tc>
                <w:tcPr>
                  <w:tcW w:w="72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lang w:eastAsia="zh-CN"/>
                    </w:rPr>
                  </w:pPr>
                  <w:r>
                    <w:rPr>
                      <w:rFonts w:hint="default" w:ascii="Times New Roman" w:hAnsi="Times New Roman" w:cs="Times New Roman"/>
                      <w:kern w:val="0"/>
                      <w:szCs w:val="21"/>
                      <w:highlight w:val="none"/>
                      <w:lang w:eastAsia="zh-CN"/>
                    </w:rPr>
                    <w:t>0</w:t>
                  </w:r>
                </w:p>
              </w:tc>
              <w:tc>
                <w:tcPr>
                  <w:tcW w:w="83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lang w:eastAsia="zh-CN"/>
                    </w:rPr>
                  </w:pPr>
                  <w:r>
                    <w:rPr>
                      <w:rFonts w:hint="default" w:ascii="Times New Roman" w:hAnsi="Times New Roman" w:cs="Times New Roman"/>
                      <w:kern w:val="0"/>
                      <w:szCs w:val="21"/>
                      <w:highlight w:val="none"/>
                      <w:lang w:eastAsia="zh-CN"/>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62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p>
              </w:tc>
              <w:tc>
                <w:tcPr>
                  <w:tcW w:w="6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0"/>
                      <w:sz w:val="21"/>
                      <w:szCs w:val="21"/>
                      <w:highlight w:val="none"/>
                      <w:lang w:val="en-US" w:eastAsia="zh-CN" w:bidi="ar-SA"/>
                    </w:rPr>
                  </w:pPr>
                </w:p>
              </w:tc>
              <w:tc>
                <w:tcPr>
                  <w:tcW w:w="65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0"/>
                      <w:sz w:val="21"/>
                      <w:szCs w:val="21"/>
                      <w:highlight w:val="none"/>
                      <w:lang w:val="en-US" w:eastAsia="zh-CN" w:bidi="ar-SA"/>
                    </w:rPr>
                  </w:pPr>
                </w:p>
              </w:tc>
              <w:tc>
                <w:tcPr>
                  <w:tcW w:w="7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H</w:t>
                  </w:r>
                  <w:r>
                    <w:rPr>
                      <w:rFonts w:hint="default" w:ascii="Times New Roman" w:hAnsi="Times New Roman" w:eastAsia="宋体" w:cs="Times New Roman"/>
                      <w:kern w:val="0"/>
                      <w:sz w:val="21"/>
                      <w:szCs w:val="21"/>
                      <w:highlight w:val="none"/>
                      <w:vertAlign w:val="subscript"/>
                      <w:lang w:val="en-US" w:eastAsia="zh-CN" w:bidi="ar-SA"/>
                    </w:rPr>
                    <w:t>2</w:t>
                  </w:r>
                  <w:r>
                    <w:rPr>
                      <w:rFonts w:hint="default" w:ascii="Times New Roman" w:hAnsi="Times New Roman" w:eastAsia="宋体" w:cs="Times New Roman"/>
                      <w:kern w:val="0"/>
                      <w:sz w:val="21"/>
                      <w:szCs w:val="21"/>
                      <w:highlight w:val="none"/>
                      <w:lang w:val="en-US" w:eastAsia="zh-CN" w:bidi="ar-SA"/>
                    </w:rPr>
                    <w:t>S</w:t>
                  </w:r>
                </w:p>
              </w:tc>
              <w:tc>
                <w:tcPr>
                  <w:tcW w:w="98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1次值</w:t>
                  </w:r>
                </w:p>
              </w:tc>
              <w:tc>
                <w:tcPr>
                  <w:tcW w:w="10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0.01</w:t>
                  </w:r>
                </w:p>
              </w:tc>
              <w:tc>
                <w:tcPr>
                  <w:tcW w:w="170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lang w:val="en-US" w:eastAsia="zh-CN"/>
                    </w:rPr>
                  </w:pPr>
                  <w:r>
                    <w:rPr>
                      <w:rFonts w:hint="eastAsia" w:ascii="Times New Roman" w:hAnsi="Times New Roman" w:cs="Times New Roman"/>
                      <w:kern w:val="0"/>
                      <w:szCs w:val="21"/>
                      <w:highlight w:val="none"/>
                      <w:lang w:val="en-US" w:eastAsia="zh-CN"/>
                    </w:rPr>
                    <w:t>0.003-0.005</w:t>
                  </w:r>
                </w:p>
              </w:tc>
              <w:tc>
                <w:tcPr>
                  <w:tcW w:w="11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lang w:val="en-US" w:eastAsia="zh-CN"/>
                    </w:rPr>
                  </w:pPr>
                  <w:r>
                    <w:rPr>
                      <w:rFonts w:hint="eastAsia" w:ascii="Times New Roman" w:hAnsi="Times New Roman" w:cs="Times New Roman"/>
                      <w:kern w:val="0"/>
                      <w:szCs w:val="21"/>
                      <w:highlight w:val="none"/>
                      <w:lang w:val="en-US" w:eastAsia="zh-CN"/>
                    </w:rPr>
                    <w:t>50.0</w:t>
                  </w:r>
                </w:p>
              </w:tc>
              <w:tc>
                <w:tcPr>
                  <w:tcW w:w="72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eastAsia="zh-CN"/>
                    </w:rPr>
                    <w:t>0</w:t>
                  </w:r>
                </w:p>
              </w:tc>
              <w:tc>
                <w:tcPr>
                  <w:tcW w:w="83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eastAsia="zh-CN"/>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9100" w:type="dxa"/>
                  <w:gridSpan w:val="10"/>
                  <w:noWrap w:val="0"/>
                  <w:vAlign w:val="center"/>
                </w:tcPr>
                <w:p>
                  <w:pPr>
                    <w:widowControl/>
                    <w:adjustRightInd w:val="0"/>
                    <w:snapToGrid w:val="0"/>
                    <w:spacing w:line="300" w:lineRule="exact"/>
                    <w:ind w:left="630" w:hanging="630" w:hangingChars="300"/>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rPr>
                    <w:t>备注：执行《环境影响评价技术导则 大气环境》（HJ 2.2-2018）附录表D.1中的相关标准限值。</w:t>
                  </w:r>
                </w:p>
              </w:tc>
            </w:tr>
          </w:tbl>
          <w:p>
            <w:pPr>
              <w:pStyle w:val="48"/>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color w:val="auto"/>
                <w:szCs w:val="22"/>
                <w:u w:val="none"/>
              </w:rPr>
            </w:pPr>
            <w:r>
              <w:rPr>
                <w:rFonts w:hint="eastAsia"/>
                <w:color w:val="auto"/>
                <w:szCs w:val="22"/>
                <w:u w:val="none"/>
              </w:rPr>
              <w:t>根据统计数据</w:t>
            </w:r>
            <w:r>
              <w:rPr>
                <w:color w:val="auto"/>
                <w:szCs w:val="22"/>
                <w:u w:val="none"/>
              </w:rPr>
              <w:t>结果分析，</w:t>
            </w:r>
            <w:r>
              <w:rPr>
                <w:rFonts w:hint="eastAsia"/>
                <w:color w:val="auto"/>
                <w:szCs w:val="22"/>
                <w:u w:val="none"/>
              </w:rPr>
              <w:t>监测因子硫化氢和氨</w:t>
            </w:r>
            <w:r>
              <w:rPr>
                <w:color w:val="auto"/>
                <w:szCs w:val="22"/>
                <w:u w:val="none"/>
              </w:rPr>
              <w:t>的监测值均</w:t>
            </w:r>
            <w:r>
              <w:rPr>
                <w:rFonts w:hint="eastAsia"/>
                <w:color w:val="auto"/>
                <w:szCs w:val="22"/>
                <w:u w:val="none"/>
              </w:rPr>
              <w:t>低于</w:t>
            </w:r>
            <w:r>
              <w:rPr>
                <w:color w:val="auto"/>
                <w:szCs w:val="22"/>
                <w:u w:val="none"/>
              </w:rPr>
              <w:t>《环境影响评价技术导则－大气环境》</w:t>
            </w:r>
            <w:r>
              <w:rPr>
                <w:rFonts w:hint="eastAsia"/>
                <w:color w:val="auto"/>
                <w:szCs w:val="22"/>
                <w:u w:val="none"/>
              </w:rPr>
              <w:t>（HJ 2.2-2018）</w:t>
            </w:r>
            <w:r>
              <w:rPr>
                <w:color w:val="auto"/>
                <w:szCs w:val="22"/>
                <w:u w:val="none"/>
              </w:rPr>
              <w:t>中的附录D</w:t>
            </w:r>
            <w:r>
              <w:rPr>
                <w:rFonts w:hint="eastAsia"/>
                <w:color w:val="auto"/>
                <w:szCs w:val="22"/>
                <w:u w:val="none"/>
                <w:lang w:val="en-US" w:eastAsia="zh-CN"/>
              </w:rPr>
              <w:t>.1</w:t>
            </w:r>
            <w:r>
              <w:rPr>
                <w:color w:val="auto"/>
                <w:szCs w:val="22"/>
                <w:u w:val="none"/>
              </w:rPr>
              <w:t>其他污染物空气质量浓度参考限值</w:t>
            </w:r>
            <w:r>
              <w:rPr>
                <w:rFonts w:hint="eastAsia"/>
                <w:color w:val="auto"/>
                <w:szCs w:val="22"/>
                <w:u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color w:val="auto"/>
                <w:sz w:val="28"/>
                <w:szCs w:val="28"/>
                <w:u w:val="none"/>
              </w:rPr>
            </w:pPr>
            <w:r>
              <w:rPr>
                <w:rFonts w:hint="eastAsia"/>
                <w:b/>
                <w:color w:val="auto"/>
                <w:sz w:val="28"/>
                <w:szCs w:val="28"/>
                <w:u w:val="none"/>
              </w:rPr>
              <w:t>3.2地表水环境现状调查与评价</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rPr>
                <w:rFonts w:hint="default" w:ascii="Times New Roman" w:hAnsi="Times New Roman" w:cs="Times New Roman"/>
                <w:color w:val="auto"/>
                <w:kern w:val="0"/>
                <w:sz w:val="24"/>
                <w:szCs w:val="24"/>
                <w:u w:val="none"/>
                <w:lang w:val="en-US" w:eastAsia="zh-CN"/>
              </w:rPr>
            </w:pPr>
            <w:r>
              <w:rPr>
                <w:rFonts w:hint="eastAsia" w:ascii="Times New Roman" w:hAnsi="Times New Roman" w:cs="Times New Roman"/>
                <w:color w:val="auto"/>
                <w:kern w:val="0"/>
                <w:sz w:val="24"/>
                <w:szCs w:val="24"/>
                <w:u w:val="none"/>
                <w:lang w:val="en-US" w:eastAsia="zh-CN"/>
              </w:rPr>
              <w:t>1、</w:t>
            </w:r>
            <w:r>
              <w:rPr>
                <w:rFonts w:hint="eastAsia" w:ascii="Times New Roman" w:hAnsi="Times New Roman" w:cs="Times New Roman"/>
                <w:color w:val="auto"/>
                <w:kern w:val="0"/>
                <w:sz w:val="24"/>
                <w:szCs w:val="24"/>
                <w:u w:val="none"/>
                <w:lang w:eastAsia="zh-CN"/>
              </w:rPr>
              <w:t>受纳水体近</w:t>
            </w:r>
            <w:r>
              <w:rPr>
                <w:rFonts w:hint="eastAsia" w:ascii="Times New Roman" w:hAnsi="Times New Roman" w:cs="Times New Roman"/>
                <w:color w:val="auto"/>
                <w:kern w:val="0"/>
                <w:sz w:val="24"/>
                <w:szCs w:val="24"/>
                <w:u w:val="none"/>
                <w:lang w:val="en-US" w:eastAsia="zh-CN"/>
              </w:rPr>
              <w:t>3年的水环境质量</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rPr>
                <w:rFonts w:hint="eastAsia" w:ascii="Times New Roman" w:hAnsi="Times New Roman" w:cs="Times New Roman"/>
                <w:color w:val="auto"/>
                <w:kern w:val="0"/>
                <w:sz w:val="24"/>
                <w:szCs w:val="24"/>
                <w:u w:val="none"/>
                <w:lang w:val="en-US" w:eastAsia="zh-CN"/>
              </w:rPr>
            </w:pPr>
            <w:r>
              <w:rPr>
                <w:rFonts w:hint="eastAsia" w:ascii="Times New Roman" w:hAnsi="Times New Roman" w:cs="Times New Roman"/>
                <w:color w:val="auto"/>
                <w:kern w:val="0"/>
                <w:sz w:val="24"/>
                <w:szCs w:val="24"/>
                <w:u w:val="none"/>
                <w:lang w:eastAsia="zh-CN"/>
              </w:rPr>
              <w:t>项目拟建于</w:t>
            </w:r>
            <w:r>
              <w:rPr>
                <w:rFonts w:hint="eastAsia" w:cs="Times New Roman"/>
                <w:color w:val="auto"/>
                <w:kern w:val="0"/>
                <w:sz w:val="24"/>
                <w:szCs w:val="24"/>
                <w:u w:val="none"/>
                <w:lang w:eastAsia="zh-CN"/>
              </w:rPr>
              <w:t>邵阳市汽车小镇建设用地的西南侧，地邵水河西岸，X019县道南侧</w:t>
            </w:r>
            <w:r>
              <w:rPr>
                <w:rFonts w:hint="eastAsia" w:ascii="Times New Roman" w:hAnsi="Times New Roman" w:cs="Times New Roman"/>
                <w:color w:val="auto"/>
                <w:kern w:val="0"/>
                <w:sz w:val="24"/>
                <w:szCs w:val="24"/>
                <w:u w:val="none"/>
                <w:lang w:eastAsia="zh-CN"/>
              </w:rPr>
              <w:t>，项目拟设排污口上游</w:t>
            </w:r>
            <w:r>
              <w:rPr>
                <w:rFonts w:hint="eastAsia" w:ascii="Times New Roman" w:hAnsi="Times New Roman" w:cs="Times New Roman"/>
                <w:color w:val="auto"/>
                <w:kern w:val="0"/>
                <w:sz w:val="24"/>
                <w:szCs w:val="24"/>
                <w:u w:val="none"/>
                <w:lang w:val="en-US" w:eastAsia="zh-CN"/>
              </w:rPr>
              <w:t>5km处为邵水渡头桥镇光辉村断面（省控断面），根据邵阳市生态环境局公布的水环境质量月报，该断面近三年公布的月报数据水环境质量均能达到《地表水环境质量标准》（GB3838-2002）中Ⅲ类标准。</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rPr>
                <w:rFonts w:hint="eastAsia" w:eastAsia="宋体"/>
                <w:color w:val="auto"/>
                <w:kern w:val="0"/>
                <w:sz w:val="24"/>
                <w:szCs w:val="24"/>
                <w:u w:val="none"/>
                <w:lang w:eastAsia="zh-CN"/>
              </w:rPr>
            </w:pPr>
            <w:r>
              <w:rPr>
                <w:rFonts w:hint="eastAsia"/>
                <w:color w:val="auto"/>
                <w:kern w:val="0"/>
                <w:sz w:val="24"/>
                <w:szCs w:val="24"/>
                <w:u w:val="none"/>
                <w:lang w:val="en-US" w:eastAsia="zh-CN"/>
              </w:rPr>
              <w:t>2、</w:t>
            </w:r>
            <w:r>
              <w:rPr>
                <w:rFonts w:hint="eastAsia"/>
                <w:color w:val="auto"/>
                <w:kern w:val="0"/>
                <w:sz w:val="24"/>
                <w:szCs w:val="24"/>
                <w:u w:val="none"/>
                <w:lang w:eastAsia="zh-CN"/>
              </w:rPr>
              <w:t>补充监测</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rPr>
                <w:color w:val="auto"/>
                <w:u w:val="none"/>
              </w:rPr>
            </w:pPr>
            <w:r>
              <w:rPr>
                <w:rFonts w:hint="eastAsia"/>
                <w:color w:val="auto"/>
                <w:kern w:val="0"/>
                <w:sz w:val="24"/>
                <w:szCs w:val="24"/>
                <w:u w:val="none"/>
              </w:rPr>
              <w:t>在</w:t>
            </w:r>
            <w:r>
              <w:rPr>
                <w:rFonts w:hint="eastAsia"/>
                <w:color w:val="auto"/>
                <w:kern w:val="0"/>
                <w:sz w:val="24"/>
                <w:szCs w:val="24"/>
                <w:u w:val="none"/>
                <w:lang w:eastAsia="zh-CN"/>
              </w:rPr>
              <w:t>邵水河</w:t>
            </w:r>
            <w:r>
              <w:rPr>
                <w:rFonts w:hint="eastAsia"/>
                <w:color w:val="auto"/>
                <w:kern w:val="0"/>
                <w:sz w:val="24"/>
                <w:szCs w:val="24"/>
                <w:u w:val="none"/>
              </w:rPr>
              <w:t>设置两个断面，W1：项目排放口上游500m处断面；W2：项目排放口下游1000m处断面。</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rPr>
                <w:rFonts w:hint="eastAsia"/>
                <w:color w:val="auto"/>
                <w:kern w:val="0"/>
                <w:sz w:val="24"/>
                <w:szCs w:val="24"/>
                <w:u w:val="none"/>
                <w:lang w:eastAsia="zh-CN"/>
              </w:rPr>
            </w:pPr>
            <w:r>
              <w:rPr>
                <w:rFonts w:hint="eastAsia"/>
                <w:color w:val="auto"/>
                <w:kern w:val="0"/>
                <w:sz w:val="24"/>
                <w:szCs w:val="24"/>
                <w:u w:val="none"/>
                <w:lang w:eastAsia="zh-CN"/>
              </w:rPr>
              <w:t>（</w:t>
            </w:r>
            <w:r>
              <w:rPr>
                <w:rFonts w:hint="eastAsia"/>
                <w:color w:val="auto"/>
                <w:kern w:val="0"/>
                <w:sz w:val="24"/>
                <w:szCs w:val="24"/>
                <w:u w:val="none"/>
                <w:lang w:val="en-US" w:eastAsia="zh-CN"/>
              </w:rPr>
              <w:t>1</w:t>
            </w:r>
            <w:r>
              <w:rPr>
                <w:rFonts w:hint="eastAsia"/>
                <w:color w:val="auto"/>
                <w:kern w:val="0"/>
                <w:sz w:val="24"/>
                <w:szCs w:val="24"/>
                <w:u w:val="none"/>
                <w:lang w:eastAsia="zh-CN"/>
              </w:rPr>
              <w:t>）监测单位：湖南中石检测有限公司；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rPr>
                <w:rFonts w:hint="eastAsia" w:eastAsia="宋体"/>
                <w:color w:val="auto"/>
                <w:kern w:val="0"/>
                <w:sz w:val="24"/>
                <w:szCs w:val="24"/>
                <w:u w:val="none"/>
                <w:lang w:eastAsia="zh-CN"/>
              </w:rPr>
            </w:pPr>
            <w:r>
              <w:rPr>
                <w:rFonts w:hint="eastAsia"/>
                <w:color w:val="auto"/>
                <w:kern w:val="0"/>
                <w:sz w:val="24"/>
                <w:szCs w:val="24"/>
                <w:u w:val="none"/>
                <w:lang w:eastAsia="zh-CN"/>
              </w:rPr>
              <w:t>（</w:t>
            </w:r>
            <w:r>
              <w:rPr>
                <w:rFonts w:hint="eastAsia"/>
                <w:color w:val="auto"/>
                <w:kern w:val="0"/>
                <w:sz w:val="24"/>
                <w:szCs w:val="24"/>
                <w:u w:val="none"/>
                <w:lang w:val="en-US" w:eastAsia="zh-CN"/>
              </w:rPr>
              <w:t>2</w:t>
            </w:r>
            <w:r>
              <w:rPr>
                <w:rFonts w:hint="eastAsia"/>
                <w:color w:val="auto"/>
                <w:kern w:val="0"/>
                <w:sz w:val="24"/>
                <w:szCs w:val="24"/>
                <w:u w:val="none"/>
                <w:lang w:eastAsia="zh-CN"/>
              </w:rPr>
              <w:t>）</w:t>
            </w:r>
            <w:r>
              <w:rPr>
                <w:rFonts w:hint="eastAsia"/>
                <w:color w:val="auto"/>
                <w:kern w:val="0"/>
                <w:sz w:val="24"/>
                <w:szCs w:val="24"/>
                <w:u w:val="none"/>
                <w:lang w:val="en-US" w:eastAsia="zh-CN"/>
              </w:rPr>
              <w:t>监测因子</w:t>
            </w:r>
            <w:r>
              <w:rPr>
                <w:rFonts w:hint="eastAsia"/>
                <w:color w:val="auto"/>
                <w:kern w:val="0"/>
                <w:sz w:val="24"/>
                <w:szCs w:val="24"/>
                <w:u w:val="none"/>
                <w:lang w:eastAsia="zh-CN"/>
              </w:rPr>
              <w:t>：</w:t>
            </w:r>
            <w:r>
              <w:rPr>
                <w:color w:val="auto"/>
                <w:sz w:val="24"/>
                <w:u w:val="none"/>
              </w:rPr>
              <w:t>pH</w:t>
            </w:r>
            <w:r>
              <w:rPr>
                <w:rFonts w:hint="eastAsia"/>
                <w:color w:val="auto"/>
                <w:sz w:val="24"/>
                <w:u w:val="none"/>
              </w:rPr>
              <w:t>、COD、BOD</w:t>
            </w:r>
            <w:r>
              <w:rPr>
                <w:rFonts w:hint="eastAsia"/>
                <w:color w:val="auto"/>
                <w:sz w:val="24"/>
                <w:u w:val="none"/>
                <w:vertAlign w:val="subscript"/>
              </w:rPr>
              <w:t>5</w:t>
            </w:r>
            <w:r>
              <w:rPr>
                <w:rFonts w:hint="eastAsia"/>
                <w:color w:val="auto"/>
                <w:sz w:val="24"/>
                <w:u w:val="none"/>
              </w:rPr>
              <w:t>、氨氮、总磷、SS、总氮</w:t>
            </w:r>
            <w:r>
              <w:rPr>
                <w:rFonts w:hint="eastAsia"/>
                <w:color w:val="auto"/>
                <w:sz w:val="24"/>
                <w:u w:val="none"/>
                <w:lang w:eastAsia="zh-CN"/>
              </w:rPr>
              <w:t>、粪大肠菌群；</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rPr>
                <w:rFonts w:hint="eastAsia" w:eastAsia="宋体"/>
                <w:color w:val="auto"/>
                <w:kern w:val="0"/>
                <w:sz w:val="24"/>
                <w:szCs w:val="24"/>
                <w:u w:val="none"/>
                <w:lang w:eastAsia="zh-CN"/>
              </w:rPr>
            </w:pPr>
            <w:r>
              <w:rPr>
                <w:rFonts w:hint="eastAsia"/>
                <w:color w:val="auto"/>
                <w:kern w:val="0"/>
                <w:sz w:val="24"/>
                <w:szCs w:val="24"/>
                <w:u w:val="none"/>
              </w:rPr>
              <w:t>（</w:t>
            </w:r>
            <w:r>
              <w:rPr>
                <w:rFonts w:hint="eastAsia"/>
                <w:color w:val="auto"/>
                <w:kern w:val="0"/>
                <w:sz w:val="24"/>
                <w:szCs w:val="24"/>
                <w:u w:val="none"/>
                <w:lang w:val="en-US" w:eastAsia="zh-CN"/>
              </w:rPr>
              <w:t>3</w:t>
            </w:r>
            <w:r>
              <w:rPr>
                <w:rFonts w:hint="eastAsia"/>
                <w:color w:val="auto"/>
                <w:kern w:val="0"/>
                <w:sz w:val="24"/>
                <w:szCs w:val="24"/>
                <w:u w:val="none"/>
              </w:rPr>
              <w:t>）监测时间</w:t>
            </w:r>
            <w:r>
              <w:rPr>
                <w:rFonts w:hint="eastAsia"/>
                <w:color w:val="auto"/>
                <w:kern w:val="0"/>
                <w:sz w:val="24"/>
                <w:szCs w:val="24"/>
                <w:u w:val="none"/>
                <w:lang w:eastAsia="zh-CN"/>
              </w:rPr>
              <w:t>：</w:t>
            </w:r>
            <w:r>
              <w:rPr>
                <w:rFonts w:hint="eastAsia"/>
                <w:color w:val="auto"/>
                <w:kern w:val="0"/>
                <w:sz w:val="24"/>
                <w:szCs w:val="24"/>
                <w:u w:val="none"/>
              </w:rPr>
              <w:t>2019年</w:t>
            </w:r>
            <w:r>
              <w:rPr>
                <w:rFonts w:hint="eastAsia"/>
                <w:color w:val="auto"/>
                <w:kern w:val="0"/>
                <w:sz w:val="24"/>
                <w:szCs w:val="24"/>
                <w:u w:val="none"/>
                <w:lang w:val="en-US" w:eastAsia="zh-CN"/>
              </w:rPr>
              <w:t>12</w:t>
            </w:r>
            <w:r>
              <w:rPr>
                <w:rFonts w:hint="eastAsia"/>
                <w:color w:val="auto"/>
                <w:kern w:val="0"/>
                <w:sz w:val="24"/>
                <w:szCs w:val="24"/>
                <w:u w:val="none"/>
              </w:rPr>
              <w:t>月</w:t>
            </w:r>
            <w:r>
              <w:rPr>
                <w:rFonts w:hint="eastAsia"/>
                <w:color w:val="auto"/>
                <w:kern w:val="0"/>
                <w:sz w:val="24"/>
                <w:szCs w:val="24"/>
                <w:u w:val="none"/>
                <w:lang w:val="en-US" w:eastAsia="zh-CN"/>
              </w:rPr>
              <w:t>1</w:t>
            </w:r>
            <w:r>
              <w:rPr>
                <w:rFonts w:hint="eastAsia"/>
                <w:color w:val="auto"/>
                <w:kern w:val="0"/>
                <w:sz w:val="24"/>
                <w:szCs w:val="24"/>
                <w:u w:val="none"/>
              </w:rPr>
              <w:t>8~</w:t>
            </w:r>
            <w:r>
              <w:rPr>
                <w:rFonts w:hint="eastAsia"/>
                <w:color w:val="auto"/>
                <w:kern w:val="0"/>
                <w:sz w:val="24"/>
                <w:szCs w:val="24"/>
                <w:u w:val="none"/>
                <w:lang w:val="en-US" w:eastAsia="zh-CN"/>
              </w:rPr>
              <w:t>2</w:t>
            </w:r>
            <w:r>
              <w:rPr>
                <w:rFonts w:hint="eastAsia"/>
                <w:color w:val="auto"/>
                <w:kern w:val="0"/>
                <w:sz w:val="24"/>
                <w:szCs w:val="24"/>
                <w:u w:val="none"/>
              </w:rPr>
              <w:t>0日，连续监测三天</w:t>
            </w:r>
            <w:r>
              <w:rPr>
                <w:rFonts w:hint="eastAsia"/>
                <w:color w:val="auto"/>
                <w:kern w:val="0"/>
                <w:sz w:val="24"/>
                <w:szCs w:val="24"/>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rPr>
                <w:rFonts w:hint="eastAsia" w:eastAsia="宋体"/>
                <w:color w:val="auto"/>
                <w:kern w:val="0"/>
                <w:sz w:val="24"/>
                <w:szCs w:val="24"/>
                <w:u w:val="none"/>
                <w:lang w:eastAsia="zh-CN"/>
              </w:rPr>
            </w:pPr>
            <w:r>
              <w:rPr>
                <w:rFonts w:hint="eastAsia"/>
                <w:color w:val="auto"/>
                <w:kern w:val="0"/>
                <w:sz w:val="24"/>
                <w:szCs w:val="24"/>
                <w:u w:val="none"/>
              </w:rPr>
              <w:t>（</w:t>
            </w:r>
            <w:r>
              <w:rPr>
                <w:rFonts w:hint="eastAsia"/>
                <w:color w:val="auto"/>
                <w:kern w:val="0"/>
                <w:sz w:val="24"/>
                <w:szCs w:val="24"/>
                <w:u w:val="none"/>
                <w:lang w:val="en-US" w:eastAsia="zh-CN"/>
              </w:rPr>
              <w:t>3</w:t>
            </w:r>
            <w:r>
              <w:rPr>
                <w:rFonts w:hint="eastAsia"/>
                <w:color w:val="auto"/>
                <w:kern w:val="0"/>
                <w:sz w:val="24"/>
                <w:szCs w:val="24"/>
                <w:u w:val="none"/>
              </w:rPr>
              <w:t>）监测分析方法</w:t>
            </w:r>
            <w:r>
              <w:rPr>
                <w:rFonts w:hint="eastAsia"/>
                <w:color w:val="auto"/>
                <w:kern w:val="0"/>
                <w:sz w:val="24"/>
                <w:szCs w:val="24"/>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rPr>
                <w:rFonts w:hint="eastAsia"/>
                <w:color w:val="auto"/>
                <w:kern w:val="0"/>
                <w:sz w:val="24"/>
                <w:szCs w:val="24"/>
                <w:u w:val="none"/>
                <w:lang w:eastAsia="zh-CN"/>
              </w:rPr>
            </w:pPr>
            <w:r>
              <w:rPr>
                <w:rFonts w:hint="eastAsia"/>
                <w:color w:val="auto"/>
                <w:kern w:val="0"/>
                <w:sz w:val="24"/>
                <w:szCs w:val="24"/>
                <w:u w:val="none"/>
              </w:rPr>
              <w:t>按国家环保局颁发的《环境监测技术规范》的有关规定和要求进行</w:t>
            </w:r>
            <w:r>
              <w:rPr>
                <w:rFonts w:hint="eastAsia"/>
                <w:color w:val="auto"/>
                <w:kern w:val="0"/>
                <w:sz w:val="24"/>
                <w:szCs w:val="24"/>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rPr>
                <w:rFonts w:hint="eastAsia" w:eastAsia="宋体"/>
                <w:color w:val="auto"/>
                <w:kern w:val="0"/>
                <w:sz w:val="24"/>
                <w:szCs w:val="24"/>
                <w:u w:val="none"/>
                <w:lang w:eastAsia="zh-CN"/>
              </w:rPr>
            </w:pPr>
            <w:r>
              <w:rPr>
                <w:rFonts w:hint="eastAsia"/>
                <w:color w:val="auto"/>
                <w:kern w:val="0"/>
                <w:sz w:val="24"/>
                <w:szCs w:val="24"/>
                <w:u w:val="none"/>
              </w:rPr>
              <w:t>（</w:t>
            </w:r>
            <w:r>
              <w:rPr>
                <w:rFonts w:hint="eastAsia"/>
                <w:color w:val="auto"/>
                <w:kern w:val="0"/>
                <w:sz w:val="24"/>
                <w:szCs w:val="24"/>
                <w:u w:val="none"/>
                <w:lang w:val="en-US" w:eastAsia="zh-CN"/>
              </w:rPr>
              <w:t>4</w:t>
            </w:r>
            <w:r>
              <w:rPr>
                <w:rFonts w:hint="eastAsia"/>
                <w:color w:val="auto"/>
                <w:kern w:val="0"/>
                <w:sz w:val="24"/>
                <w:szCs w:val="24"/>
                <w:u w:val="none"/>
              </w:rPr>
              <w:t>）评价标准</w:t>
            </w:r>
            <w:r>
              <w:rPr>
                <w:rFonts w:hint="eastAsia"/>
                <w:color w:val="auto"/>
                <w:kern w:val="0"/>
                <w:sz w:val="24"/>
                <w:szCs w:val="24"/>
                <w:u w:val="none"/>
                <w:lang w:eastAsia="zh-CN"/>
              </w:rPr>
              <w:t>：</w:t>
            </w:r>
            <w:r>
              <w:rPr>
                <w:rFonts w:hint="eastAsia"/>
                <w:color w:val="auto"/>
                <w:kern w:val="0"/>
                <w:sz w:val="24"/>
                <w:szCs w:val="24"/>
                <w:u w:val="none"/>
              </w:rPr>
              <w:t>执行《地表水环境质量标准》（GB3838-2002）中Ⅲ类标准</w:t>
            </w:r>
            <w:r>
              <w:rPr>
                <w:rFonts w:hint="eastAsia"/>
                <w:color w:val="auto"/>
                <w:kern w:val="0"/>
                <w:sz w:val="24"/>
                <w:szCs w:val="24"/>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kern w:val="0"/>
                <w:sz w:val="24"/>
                <w:szCs w:val="24"/>
                <w:u w:val="none"/>
              </w:rPr>
            </w:pPr>
            <w:r>
              <w:rPr>
                <w:rFonts w:hint="eastAsia"/>
                <w:color w:val="auto"/>
                <w:kern w:val="0"/>
                <w:sz w:val="24"/>
                <w:szCs w:val="24"/>
                <w:u w:val="none"/>
              </w:rPr>
              <w:t>（</w:t>
            </w:r>
            <w:r>
              <w:rPr>
                <w:rFonts w:hint="eastAsia"/>
                <w:color w:val="auto"/>
                <w:kern w:val="0"/>
                <w:sz w:val="24"/>
                <w:szCs w:val="24"/>
                <w:u w:val="none"/>
                <w:lang w:val="en-US" w:eastAsia="zh-CN"/>
              </w:rPr>
              <w:t>5</w:t>
            </w:r>
            <w:r>
              <w:rPr>
                <w:rFonts w:hint="eastAsia"/>
                <w:color w:val="auto"/>
                <w:kern w:val="0"/>
                <w:sz w:val="24"/>
                <w:szCs w:val="24"/>
                <w:u w:val="none"/>
              </w:rPr>
              <w:t>）监测结果见表3-</w:t>
            </w:r>
            <w:r>
              <w:rPr>
                <w:rFonts w:hint="eastAsia"/>
                <w:color w:val="auto"/>
                <w:kern w:val="0"/>
                <w:sz w:val="24"/>
                <w:szCs w:val="24"/>
                <w:u w:val="none"/>
                <w:lang w:val="en-US" w:eastAsia="zh-CN"/>
              </w:rPr>
              <w:t>5</w:t>
            </w:r>
            <w:r>
              <w:rPr>
                <w:rFonts w:hint="eastAsia"/>
                <w:color w:val="auto"/>
                <w:kern w:val="0"/>
                <w:sz w:val="24"/>
                <w:szCs w:val="24"/>
                <w:u w:val="none"/>
              </w:rPr>
              <w:t>。</w:t>
            </w:r>
          </w:p>
          <w:p>
            <w:pPr>
              <w:pStyle w:val="25"/>
              <w:keepNext w:val="0"/>
              <w:keepLines w:val="0"/>
              <w:pageBreakBefore w:val="0"/>
              <w:widowControl w:val="0"/>
              <w:kinsoku/>
              <w:wordWrap/>
              <w:overflowPunct/>
              <w:topLinePunct w:val="0"/>
              <w:autoSpaceDE/>
              <w:autoSpaceDN/>
              <w:bidi w:val="0"/>
              <w:adjustRightInd w:val="0"/>
              <w:snapToGrid w:val="0"/>
              <w:spacing w:beforeLines="0" w:line="240" w:lineRule="auto"/>
              <w:ind w:firstLine="422"/>
              <w:jc w:val="center"/>
              <w:textAlignment w:val="auto"/>
              <w:rPr>
                <w:rFonts w:hint="default" w:eastAsia="宋体"/>
                <w:b/>
                <w:color w:val="auto"/>
                <w:sz w:val="21"/>
                <w:szCs w:val="21"/>
                <w:u w:val="none"/>
                <w:lang w:val="en-US" w:eastAsia="zh-CN"/>
              </w:rPr>
            </w:pPr>
            <w:r>
              <w:rPr>
                <w:rFonts w:hint="eastAsia"/>
                <w:b/>
                <w:color w:val="auto"/>
                <w:sz w:val="21"/>
                <w:szCs w:val="21"/>
                <w:u w:val="none"/>
              </w:rPr>
              <w:t>表3-</w:t>
            </w:r>
            <w:r>
              <w:rPr>
                <w:rFonts w:hint="eastAsia"/>
                <w:b/>
                <w:color w:val="auto"/>
                <w:sz w:val="21"/>
                <w:szCs w:val="21"/>
                <w:u w:val="none"/>
                <w:lang w:val="en-US" w:eastAsia="zh-CN"/>
              </w:rPr>
              <w:t>5</w:t>
            </w:r>
            <w:r>
              <w:rPr>
                <w:rFonts w:hint="eastAsia"/>
                <w:b/>
                <w:color w:val="auto"/>
                <w:sz w:val="21"/>
                <w:szCs w:val="21"/>
                <w:u w:val="none"/>
              </w:rPr>
              <w:t xml:space="preserve">  </w:t>
            </w:r>
            <w:r>
              <w:rPr>
                <w:rFonts w:hint="eastAsia"/>
                <w:b/>
                <w:color w:val="auto"/>
                <w:sz w:val="21"/>
                <w:szCs w:val="21"/>
                <w:u w:val="none"/>
                <w:lang w:eastAsia="zh-CN"/>
              </w:rPr>
              <w:t>地表水环境质量</w:t>
            </w:r>
            <w:r>
              <w:rPr>
                <w:rFonts w:hint="eastAsia"/>
                <w:b/>
                <w:color w:val="auto"/>
                <w:sz w:val="21"/>
                <w:szCs w:val="21"/>
                <w:u w:val="none"/>
              </w:rPr>
              <w:t>监测结果    单位：mg/L</w:t>
            </w:r>
            <w:r>
              <w:rPr>
                <w:rFonts w:hint="eastAsia"/>
                <w:b/>
                <w:color w:val="auto"/>
                <w:sz w:val="21"/>
                <w:szCs w:val="21"/>
                <w:u w:val="none"/>
                <w:lang w:val="en-US" w:eastAsia="zh-CN"/>
              </w:rPr>
              <w:t xml:space="preserve">  </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268"/>
              <w:gridCol w:w="2268"/>
              <w:gridCol w:w="11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17" w:type="dxa"/>
                  <w:vMerge w:val="restart"/>
                  <w:tcBorders>
                    <w:tl2br w:val="nil"/>
                    <w:tr2bl w:val="nil"/>
                  </w:tcBorders>
                  <w:noWrap w:val="0"/>
                  <w:vAlign w:val="center"/>
                </w:tcPr>
                <w:p>
                  <w:pPr>
                    <w:jc w:val="center"/>
                    <w:rPr>
                      <w:szCs w:val="21"/>
                      <w:u w:val="none"/>
                    </w:rPr>
                  </w:pPr>
                  <w:r>
                    <w:rPr>
                      <w:rFonts w:hAnsi="宋体"/>
                      <w:szCs w:val="21"/>
                      <w:u w:val="none"/>
                    </w:rPr>
                    <w:t>监测点位</w:t>
                  </w:r>
                </w:p>
              </w:tc>
              <w:tc>
                <w:tcPr>
                  <w:tcW w:w="2410" w:type="dxa"/>
                  <w:vMerge w:val="restart"/>
                  <w:tcBorders>
                    <w:tl2br w:val="nil"/>
                    <w:tr2bl w:val="nil"/>
                  </w:tcBorders>
                  <w:noWrap w:val="0"/>
                  <w:vAlign w:val="center"/>
                </w:tcPr>
                <w:p>
                  <w:pPr>
                    <w:jc w:val="center"/>
                    <w:rPr>
                      <w:szCs w:val="21"/>
                      <w:u w:val="none"/>
                    </w:rPr>
                  </w:pPr>
                  <w:r>
                    <w:rPr>
                      <w:rFonts w:hAnsi="宋体"/>
                      <w:szCs w:val="21"/>
                      <w:u w:val="none"/>
                    </w:rPr>
                    <w:t>监测项目</w:t>
                  </w:r>
                </w:p>
              </w:tc>
              <w:tc>
                <w:tcPr>
                  <w:tcW w:w="4536" w:type="dxa"/>
                  <w:gridSpan w:val="2"/>
                  <w:tcBorders>
                    <w:tl2br w:val="nil"/>
                    <w:tr2bl w:val="nil"/>
                  </w:tcBorders>
                  <w:noWrap w:val="0"/>
                  <w:vAlign w:val="center"/>
                </w:tcPr>
                <w:p>
                  <w:pPr>
                    <w:jc w:val="center"/>
                    <w:rPr>
                      <w:szCs w:val="21"/>
                      <w:u w:val="none"/>
                    </w:rPr>
                  </w:pPr>
                  <w:r>
                    <w:rPr>
                      <w:rFonts w:hAnsi="宋体"/>
                      <w:szCs w:val="21"/>
                      <w:u w:val="none"/>
                    </w:rPr>
                    <w:t>监测结果（</w:t>
                  </w:r>
                  <w:r>
                    <w:rPr>
                      <w:szCs w:val="21"/>
                      <w:u w:val="none"/>
                    </w:rPr>
                    <w:t>mg/L</w:t>
                  </w:r>
                  <w:r>
                    <w:rPr>
                      <w:rFonts w:hAnsi="宋体"/>
                      <w:szCs w:val="21"/>
                      <w:u w:val="none"/>
                    </w:rPr>
                    <w:t>）</w:t>
                  </w:r>
                </w:p>
              </w:tc>
              <w:tc>
                <w:tcPr>
                  <w:tcW w:w="1183" w:type="dxa"/>
                  <w:tcBorders>
                    <w:tl2br w:val="nil"/>
                    <w:tr2bl w:val="nil"/>
                  </w:tcBorders>
                  <w:noWrap w:val="0"/>
                  <w:vAlign w:val="center"/>
                </w:tcPr>
                <w:p>
                  <w:pPr>
                    <w:jc w:val="center"/>
                    <w:rPr>
                      <w:szCs w:val="21"/>
                      <w:u w:val="none"/>
                    </w:rPr>
                  </w:pPr>
                  <w:r>
                    <w:rPr>
                      <w:rFonts w:hAnsi="宋体"/>
                      <w:szCs w:val="21"/>
                      <w:u w:val="none"/>
                    </w:rPr>
                    <w:t>评价</w:t>
                  </w:r>
                  <w:r>
                    <w:rPr>
                      <w:rFonts w:hint="eastAsia" w:hAnsi="宋体"/>
                      <w:szCs w:val="21"/>
                      <w:u w:val="none"/>
                    </w:rPr>
                    <w:t>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l2br w:val="nil"/>
                    <w:tr2bl w:val="nil"/>
                  </w:tcBorders>
                  <w:noWrap w:val="0"/>
                  <w:vAlign w:val="center"/>
                </w:tcPr>
                <w:p>
                  <w:pPr>
                    <w:jc w:val="center"/>
                    <w:rPr>
                      <w:szCs w:val="21"/>
                      <w:u w:val="none"/>
                    </w:rPr>
                  </w:pPr>
                </w:p>
              </w:tc>
              <w:tc>
                <w:tcPr>
                  <w:tcW w:w="2410" w:type="dxa"/>
                  <w:vMerge w:val="continue"/>
                  <w:tcBorders>
                    <w:tl2br w:val="nil"/>
                    <w:tr2bl w:val="nil"/>
                  </w:tcBorders>
                  <w:noWrap w:val="0"/>
                  <w:vAlign w:val="center"/>
                </w:tcPr>
                <w:p>
                  <w:pPr>
                    <w:jc w:val="center"/>
                    <w:rPr>
                      <w:szCs w:val="21"/>
                      <w:u w:val="none"/>
                    </w:rPr>
                  </w:pPr>
                </w:p>
              </w:tc>
              <w:tc>
                <w:tcPr>
                  <w:tcW w:w="2268" w:type="dxa"/>
                  <w:tcBorders>
                    <w:tl2br w:val="nil"/>
                    <w:tr2bl w:val="nil"/>
                  </w:tcBorders>
                  <w:noWrap w:val="0"/>
                  <w:vAlign w:val="center"/>
                </w:tcPr>
                <w:p>
                  <w:pPr>
                    <w:jc w:val="center"/>
                    <w:rPr>
                      <w:szCs w:val="21"/>
                      <w:u w:val="none"/>
                    </w:rPr>
                  </w:pPr>
                  <w:r>
                    <w:rPr>
                      <w:rFonts w:hint="eastAsia" w:hAnsi="宋体"/>
                      <w:szCs w:val="21"/>
                      <w:u w:val="none"/>
                    </w:rPr>
                    <w:t>浓度范围值</w:t>
                  </w:r>
                </w:p>
              </w:tc>
              <w:tc>
                <w:tcPr>
                  <w:tcW w:w="2268" w:type="dxa"/>
                  <w:tcBorders>
                    <w:tl2br w:val="nil"/>
                    <w:tr2bl w:val="nil"/>
                  </w:tcBorders>
                  <w:noWrap w:val="0"/>
                  <w:vAlign w:val="center"/>
                </w:tcPr>
                <w:p>
                  <w:pPr>
                    <w:jc w:val="center"/>
                    <w:rPr>
                      <w:szCs w:val="21"/>
                      <w:u w:val="none"/>
                    </w:rPr>
                  </w:pPr>
                  <w:r>
                    <w:rPr>
                      <w:szCs w:val="21"/>
                      <w:u w:val="none"/>
                    </w:rPr>
                    <w:t>GB3838-2002</w:t>
                  </w:r>
                  <w:r>
                    <w:rPr>
                      <w:rFonts w:hint="eastAsia" w:ascii="宋体" w:hAnsi="宋体"/>
                      <w:szCs w:val="21"/>
                      <w:u w:val="none"/>
                    </w:rPr>
                    <w:t>Ⅲ</w:t>
                  </w:r>
                  <w:r>
                    <w:rPr>
                      <w:rFonts w:hAnsi="宋体"/>
                      <w:szCs w:val="21"/>
                      <w:u w:val="none"/>
                    </w:rPr>
                    <w:t>类标准</w:t>
                  </w:r>
                </w:p>
              </w:tc>
              <w:tc>
                <w:tcPr>
                  <w:tcW w:w="1183" w:type="dxa"/>
                  <w:tcBorders>
                    <w:tl2br w:val="nil"/>
                    <w:tr2bl w:val="nil"/>
                  </w:tcBorders>
                  <w:noWrap w:val="0"/>
                  <w:vAlign w:val="center"/>
                </w:tcPr>
                <w:p>
                  <w:pPr>
                    <w:jc w:val="center"/>
                    <w:rPr>
                      <w:szCs w:val="21"/>
                      <w:u w:val="none"/>
                    </w:rPr>
                  </w:pPr>
                  <w:r>
                    <w:rPr>
                      <w:rFonts w:hint="eastAsia" w:hAnsi="宋体"/>
                      <w:szCs w:val="21"/>
                      <w:u w:val="none"/>
                    </w:rPr>
                    <w:t>指数法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Merge w:val="restart"/>
                  <w:tcBorders>
                    <w:tl2br w:val="nil"/>
                    <w:tr2bl w:val="nil"/>
                  </w:tcBorders>
                  <w:noWrap w:val="0"/>
                  <w:vAlign w:val="center"/>
                </w:tcPr>
                <w:p>
                  <w:pPr>
                    <w:jc w:val="center"/>
                    <w:rPr>
                      <w:szCs w:val="21"/>
                      <w:u w:val="none"/>
                    </w:rPr>
                  </w:pPr>
                  <w:r>
                    <w:rPr>
                      <w:szCs w:val="21"/>
                      <w:u w:val="none"/>
                    </w:rPr>
                    <w:t>W1</w:t>
                  </w:r>
                </w:p>
                <w:p>
                  <w:pPr>
                    <w:jc w:val="center"/>
                    <w:rPr>
                      <w:szCs w:val="21"/>
                      <w:u w:val="none"/>
                    </w:rPr>
                  </w:pPr>
                </w:p>
              </w:tc>
              <w:tc>
                <w:tcPr>
                  <w:tcW w:w="2410" w:type="dxa"/>
                  <w:tcBorders>
                    <w:tl2br w:val="nil"/>
                    <w:tr2bl w:val="nil"/>
                  </w:tcBorders>
                  <w:noWrap w:val="0"/>
                  <w:vAlign w:val="center"/>
                </w:tcPr>
                <w:p>
                  <w:pPr>
                    <w:jc w:val="center"/>
                    <w:rPr>
                      <w:szCs w:val="21"/>
                      <w:u w:val="none"/>
                    </w:rPr>
                  </w:pPr>
                  <w:r>
                    <w:rPr>
                      <w:szCs w:val="21"/>
                      <w:u w:val="none"/>
                    </w:rPr>
                    <w:t>pH</w:t>
                  </w:r>
                  <w:r>
                    <w:rPr>
                      <w:rFonts w:hint="eastAsia"/>
                      <w:szCs w:val="21"/>
                      <w:u w:val="none"/>
                    </w:rPr>
                    <w:t>（无量纲）</w:t>
                  </w:r>
                </w:p>
              </w:tc>
              <w:tc>
                <w:tcPr>
                  <w:tcW w:w="2268" w:type="dxa"/>
                  <w:tcBorders>
                    <w:tl2br w:val="nil"/>
                    <w:tr2bl w:val="nil"/>
                  </w:tcBorders>
                  <w:noWrap w:val="0"/>
                  <w:vAlign w:val="center"/>
                </w:tcPr>
                <w:p>
                  <w:pPr>
                    <w:jc w:val="center"/>
                    <w:rPr>
                      <w:szCs w:val="21"/>
                      <w:u w:val="none"/>
                    </w:rPr>
                  </w:pPr>
                  <w:r>
                    <w:rPr>
                      <w:rFonts w:hint="eastAsia"/>
                      <w:color w:val="auto"/>
                      <w:sz w:val="21"/>
                      <w:szCs w:val="21"/>
                      <w:u w:val="none"/>
                      <w:lang w:val="en-US" w:eastAsia="zh-CN"/>
                    </w:rPr>
                    <w:t>7.14-7.35</w:t>
                  </w:r>
                </w:p>
              </w:tc>
              <w:tc>
                <w:tcPr>
                  <w:tcW w:w="2268" w:type="dxa"/>
                  <w:tcBorders>
                    <w:tl2br w:val="nil"/>
                    <w:tr2bl w:val="nil"/>
                  </w:tcBorders>
                  <w:noWrap w:val="0"/>
                  <w:vAlign w:val="center"/>
                </w:tcPr>
                <w:p>
                  <w:pPr>
                    <w:jc w:val="center"/>
                    <w:rPr>
                      <w:szCs w:val="21"/>
                      <w:u w:val="none"/>
                    </w:rPr>
                  </w:pPr>
                  <w:r>
                    <w:rPr>
                      <w:szCs w:val="21"/>
                      <w:u w:val="none"/>
                    </w:rPr>
                    <w:t>6</w:t>
                  </w:r>
                  <w:r>
                    <w:rPr>
                      <w:rFonts w:hAnsi="宋体"/>
                      <w:szCs w:val="21"/>
                      <w:u w:val="none"/>
                    </w:rPr>
                    <w:t>～</w:t>
                  </w:r>
                  <w:r>
                    <w:rPr>
                      <w:szCs w:val="21"/>
                      <w:u w:val="none"/>
                    </w:rPr>
                    <w:t>9</w:t>
                  </w:r>
                </w:p>
              </w:tc>
              <w:tc>
                <w:tcPr>
                  <w:tcW w:w="1183" w:type="dxa"/>
                  <w:tcBorders>
                    <w:tl2br w:val="nil"/>
                    <w:tr2bl w:val="nil"/>
                  </w:tcBorders>
                  <w:noWrap w:val="0"/>
                  <w:vAlign w:val="center"/>
                </w:tcPr>
                <w:p>
                  <w:pPr>
                    <w:jc w:val="center"/>
                    <w:rPr>
                      <w:rFonts w:hint="default" w:ascii="Times New Roman" w:hAnsi="Times New Roman" w:cs="Times New Roman"/>
                      <w:szCs w:val="21"/>
                      <w:u w:val="none"/>
                      <w:lang w:val="en-US" w:eastAsia="zh-CN"/>
                    </w:rPr>
                  </w:pPr>
                  <w:r>
                    <w:rPr>
                      <w:rFonts w:hint="eastAsia" w:ascii="Times New Roman" w:hAnsi="Times New Roman" w:cs="Times New Roman"/>
                      <w:szCs w:val="21"/>
                      <w:u w:val="none"/>
                      <w:lang w:val="en-US" w:eastAsia="zh-CN"/>
                    </w:rPr>
                    <w:t>0.82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17" w:type="dxa"/>
                  <w:vMerge w:val="continue"/>
                  <w:tcBorders>
                    <w:tl2br w:val="nil"/>
                    <w:tr2bl w:val="nil"/>
                  </w:tcBorders>
                  <w:noWrap w:val="0"/>
                  <w:vAlign w:val="center"/>
                </w:tcPr>
                <w:p>
                  <w:pPr>
                    <w:jc w:val="center"/>
                    <w:rPr>
                      <w:szCs w:val="21"/>
                      <w:u w:val="none"/>
                    </w:rPr>
                  </w:pPr>
                </w:p>
              </w:tc>
              <w:tc>
                <w:tcPr>
                  <w:tcW w:w="2410" w:type="dxa"/>
                  <w:tcBorders>
                    <w:tl2br w:val="nil"/>
                    <w:tr2bl w:val="nil"/>
                  </w:tcBorders>
                  <w:noWrap w:val="0"/>
                  <w:vAlign w:val="center"/>
                </w:tcPr>
                <w:p>
                  <w:pPr>
                    <w:jc w:val="center"/>
                    <w:rPr>
                      <w:szCs w:val="21"/>
                      <w:u w:val="none"/>
                    </w:rPr>
                  </w:pPr>
                  <w:r>
                    <w:rPr>
                      <w:szCs w:val="21"/>
                      <w:u w:val="none"/>
                    </w:rPr>
                    <w:t>COD</w:t>
                  </w:r>
                  <w:r>
                    <w:rPr>
                      <w:rFonts w:hint="eastAsia"/>
                      <w:szCs w:val="21"/>
                      <w:u w:val="none"/>
                    </w:rPr>
                    <w:t>（mg/L）</w:t>
                  </w:r>
                </w:p>
              </w:tc>
              <w:tc>
                <w:tcPr>
                  <w:tcW w:w="2268" w:type="dxa"/>
                  <w:tcBorders>
                    <w:tl2br w:val="nil"/>
                    <w:tr2bl w:val="nil"/>
                  </w:tcBorders>
                  <w:noWrap w:val="0"/>
                  <w:vAlign w:val="center"/>
                </w:tcPr>
                <w:p>
                  <w:pPr>
                    <w:jc w:val="center"/>
                    <w:rPr>
                      <w:szCs w:val="21"/>
                      <w:u w:val="none"/>
                    </w:rPr>
                  </w:pPr>
                  <w:r>
                    <w:rPr>
                      <w:rFonts w:hint="eastAsia"/>
                      <w:color w:val="auto"/>
                      <w:sz w:val="21"/>
                      <w:szCs w:val="21"/>
                      <w:u w:val="none"/>
                      <w:lang w:val="en-US" w:eastAsia="zh-CN"/>
                    </w:rPr>
                    <w:t>8-9</w:t>
                  </w:r>
                </w:p>
              </w:tc>
              <w:tc>
                <w:tcPr>
                  <w:tcW w:w="2268" w:type="dxa"/>
                  <w:tcBorders>
                    <w:tl2br w:val="nil"/>
                    <w:tr2bl w:val="nil"/>
                  </w:tcBorders>
                  <w:noWrap w:val="0"/>
                  <w:vAlign w:val="center"/>
                </w:tcPr>
                <w:p>
                  <w:pPr>
                    <w:jc w:val="center"/>
                    <w:rPr>
                      <w:szCs w:val="21"/>
                      <w:u w:val="none"/>
                    </w:rPr>
                  </w:pPr>
                  <w:r>
                    <w:rPr>
                      <w:szCs w:val="21"/>
                      <w:u w:val="none"/>
                    </w:rPr>
                    <w:t>≤</w:t>
                  </w:r>
                  <w:r>
                    <w:rPr>
                      <w:rFonts w:hint="eastAsia"/>
                      <w:szCs w:val="21"/>
                      <w:u w:val="none"/>
                    </w:rPr>
                    <w:t>20</w:t>
                  </w:r>
                </w:p>
              </w:tc>
              <w:tc>
                <w:tcPr>
                  <w:tcW w:w="1183" w:type="dxa"/>
                  <w:tcBorders>
                    <w:tl2br w:val="nil"/>
                    <w:tr2bl w:val="nil"/>
                  </w:tcBorders>
                  <w:noWrap w:val="0"/>
                  <w:vAlign w:val="center"/>
                </w:tcPr>
                <w:p>
                  <w:pPr>
                    <w:jc w:val="center"/>
                    <w:rPr>
                      <w:rFonts w:hint="default" w:ascii="Times New Roman" w:hAnsi="Times New Roman" w:cs="Times New Roman"/>
                      <w:szCs w:val="21"/>
                      <w:u w:val="none"/>
                      <w:lang w:val="en-US" w:eastAsia="zh-CN"/>
                    </w:rPr>
                  </w:pPr>
                  <w:r>
                    <w:rPr>
                      <w:rFonts w:hint="eastAsia" w:ascii="Times New Roman" w:hAnsi="Times New Roman" w:cs="Times New Roman"/>
                      <w:szCs w:val="21"/>
                      <w:u w:val="none"/>
                      <w:lang w:val="en-US" w:eastAsia="zh-CN"/>
                    </w:rPr>
                    <w:t>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l2br w:val="nil"/>
                    <w:tr2bl w:val="nil"/>
                  </w:tcBorders>
                  <w:noWrap w:val="0"/>
                  <w:vAlign w:val="center"/>
                </w:tcPr>
                <w:p>
                  <w:pPr>
                    <w:jc w:val="center"/>
                    <w:rPr>
                      <w:szCs w:val="21"/>
                      <w:u w:val="none"/>
                    </w:rPr>
                  </w:pPr>
                </w:p>
              </w:tc>
              <w:tc>
                <w:tcPr>
                  <w:tcW w:w="2410" w:type="dxa"/>
                  <w:tcBorders>
                    <w:tl2br w:val="nil"/>
                    <w:tr2bl w:val="nil"/>
                  </w:tcBorders>
                  <w:noWrap w:val="0"/>
                  <w:vAlign w:val="center"/>
                </w:tcPr>
                <w:p>
                  <w:pPr>
                    <w:jc w:val="center"/>
                    <w:rPr>
                      <w:szCs w:val="21"/>
                      <w:u w:val="none"/>
                    </w:rPr>
                  </w:pPr>
                  <w:r>
                    <w:rPr>
                      <w:rFonts w:hint="eastAsia"/>
                      <w:szCs w:val="21"/>
                      <w:u w:val="none"/>
                    </w:rPr>
                    <w:t>SS（mg/L）</w:t>
                  </w:r>
                </w:p>
              </w:tc>
              <w:tc>
                <w:tcPr>
                  <w:tcW w:w="2268" w:type="dxa"/>
                  <w:tcBorders>
                    <w:tl2br w:val="nil"/>
                    <w:tr2bl w:val="nil"/>
                  </w:tcBorders>
                  <w:noWrap w:val="0"/>
                  <w:vAlign w:val="center"/>
                </w:tcPr>
                <w:p>
                  <w:pPr>
                    <w:jc w:val="center"/>
                    <w:rPr>
                      <w:szCs w:val="21"/>
                      <w:u w:val="none"/>
                    </w:rPr>
                  </w:pPr>
                  <w:r>
                    <w:rPr>
                      <w:rFonts w:hint="eastAsia"/>
                      <w:color w:val="auto"/>
                      <w:sz w:val="21"/>
                      <w:szCs w:val="21"/>
                      <w:u w:val="none"/>
                      <w:lang w:val="en-US" w:eastAsia="zh-CN"/>
                    </w:rPr>
                    <w:t>4-5</w:t>
                  </w:r>
                </w:p>
              </w:tc>
              <w:tc>
                <w:tcPr>
                  <w:tcW w:w="2268" w:type="dxa"/>
                  <w:tcBorders>
                    <w:tl2br w:val="nil"/>
                    <w:tr2bl w:val="nil"/>
                  </w:tcBorders>
                  <w:noWrap w:val="0"/>
                  <w:vAlign w:val="center"/>
                </w:tcPr>
                <w:p>
                  <w:pPr>
                    <w:jc w:val="center"/>
                    <w:rPr>
                      <w:szCs w:val="21"/>
                      <w:u w:val="none"/>
                    </w:rPr>
                  </w:pPr>
                  <w:r>
                    <w:rPr>
                      <w:rFonts w:hint="eastAsia"/>
                      <w:szCs w:val="21"/>
                      <w:u w:val="none"/>
                    </w:rPr>
                    <w:t>/</w:t>
                  </w:r>
                </w:p>
              </w:tc>
              <w:tc>
                <w:tcPr>
                  <w:tcW w:w="1183" w:type="dxa"/>
                  <w:tcBorders>
                    <w:tl2br w:val="nil"/>
                    <w:tr2bl w:val="nil"/>
                  </w:tcBorders>
                  <w:noWrap w:val="0"/>
                  <w:vAlign w:val="center"/>
                </w:tcPr>
                <w:p>
                  <w:pPr>
                    <w:jc w:val="center"/>
                    <w:rPr>
                      <w:rFonts w:hint="eastAsia" w:ascii="Times New Roman" w:hAnsi="Times New Roman" w:cs="Times New Roman"/>
                      <w:szCs w:val="21"/>
                      <w:u w:val="none"/>
                      <w:lang w:val="en-US" w:eastAsia="zh-CN"/>
                    </w:rPr>
                  </w:pPr>
                  <w:r>
                    <w:rPr>
                      <w:rFonts w:hint="eastAsia" w:ascii="Times New Roman" w:hAnsi="Times New Roman" w:cs="Times New Roman"/>
                      <w:szCs w:val="21"/>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l2br w:val="nil"/>
                    <w:tr2bl w:val="nil"/>
                  </w:tcBorders>
                  <w:noWrap w:val="0"/>
                  <w:vAlign w:val="center"/>
                </w:tcPr>
                <w:p>
                  <w:pPr>
                    <w:jc w:val="center"/>
                    <w:rPr>
                      <w:szCs w:val="21"/>
                      <w:u w:val="none"/>
                    </w:rPr>
                  </w:pPr>
                </w:p>
              </w:tc>
              <w:tc>
                <w:tcPr>
                  <w:tcW w:w="2410" w:type="dxa"/>
                  <w:tcBorders>
                    <w:tl2br w:val="nil"/>
                    <w:tr2bl w:val="nil"/>
                  </w:tcBorders>
                  <w:noWrap w:val="0"/>
                  <w:vAlign w:val="center"/>
                </w:tcPr>
                <w:p>
                  <w:pPr>
                    <w:jc w:val="center"/>
                    <w:rPr>
                      <w:szCs w:val="21"/>
                      <w:u w:val="none"/>
                    </w:rPr>
                  </w:pPr>
                  <w:r>
                    <w:rPr>
                      <w:rFonts w:hint="eastAsia"/>
                      <w:szCs w:val="21"/>
                      <w:u w:val="none"/>
                    </w:rPr>
                    <w:t>BOD</w:t>
                  </w:r>
                  <w:r>
                    <w:rPr>
                      <w:rFonts w:hint="eastAsia"/>
                      <w:szCs w:val="21"/>
                      <w:u w:val="none"/>
                      <w:vertAlign w:val="subscript"/>
                    </w:rPr>
                    <w:t>5</w:t>
                  </w:r>
                  <w:r>
                    <w:rPr>
                      <w:rFonts w:hint="eastAsia"/>
                      <w:szCs w:val="21"/>
                      <w:u w:val="none"/>
                    </w:rPr>
                    <w:t>（mg/L）</w:t>
                  </w:r>
                </w:p>
              </w:tc>
              <w:tc>
                <w:tcPr>
                  <w:tcW w:w="2268" w:type="dxa"/>
                  <w:tcBorders>
                    <w:tl2br w:val="nil"/>
                    <w:tr2bl w:val="nil"/>
                  </w:tcBorders>
                  <w:noWrap w:val="0"/>
                  <w:vAlign w:val="center"/>
                </w:tcPr>
                <w:p>
                  <w:pPr>
                    <w:jc w:val="center"/>
                    <w:rPr>
                      <w:szCs w:val="21"/>
                      <w:u w:val="none"/>
                    </w:rPr>
                  </w:pPr>
                  <w:r>
                    <w:rPr>
                      <w:rFonts w:hint="eastAsia"/>
                      <w:color w:val="auto"/>
                      <w:sz w:val="21"/>
                      <w:szCs w:val="21"/>
                      <w:u w:val="none"/>
                      <w:lang w:val="en-US" w:eastAsia="zh-CN"/>
                    </w:rPr>
                    <w:t>0.6-0.8</w:t>
                  </w:r>
                </w:p>
              </w:tc>
              <w:tc>
                <w:tcPr>
                  <w:tcW w:w="2268" w:type="dxa"/>
                  <w:tcBorders>
                    <w:tl2br w:val="nil"/>
                    <w:tr2bl w:val="nil"/>
                  </w:tcBorders>
                  <w:noWrap w:val="0"/>
                  <w:vAlign w:val="center"/>
                </w:tcPr>
                <w:p>
                  <w:pPr>
                    <w:jc w:val="center"/>
                    <w:rPr>
                      <w:szCs w:val="21"/>
                      <w:u w:val="none"/>
                    </w:rPr>
                  </w:pPr>
                  <w:r>
                    <w:rPr>
                      <w:szCs w:val="21"/>
                      <w:u w:val="none"/>
                    </w:rPr>
                    <w:t>≤</w:t>
                  </w:r>
                  <w:r>
                    <w:rPr>
                      <w:rFonts w:hint="eastAsia"/>
                      <w:szCs w:val="21"/>
                      <w:u w:val="none"/>
                    </w:rPr>
                    <w:t>4</w:t>
                  </w:r>
                </w:p>
              </w:tc>
              <w:tc>
                <w:tcPr>
                  <w:tcW w:w="1183" w:type="dxa"/>
                  <w:tcBorders>
                    <w:tl2br w:val="nil"/>
                    <w:tr2bl w:val="nil"/>
                  </w:tcBorders>
                  <w:noWrap w:val="0"/>
                  <w:vAlign w:val="center"/>
                </w:tcPr>
                <w:p>
                  <w:pPr>
                    <w:jc w:val="center"/>
                    <w:rPr>
                      <w:rFonts w:hint="default" w:ascii="Times New Roman" w:hAnsi="Times New Roman" w:cs="Times New Roman"/>
                      <w:szCs w:val="21"/>
                      <w:u w:val="none"/>
                      <w:lang w:val="en-US" w:eastAsia="zh-CN"/>
                    </w:rPr>
                  </w:pPr>
                  <w:r>
                    <w:rPr>
                      <w:rFonts w:hint="eastAsia" w:ascii="Times New Roman" w:hAnsi="Times New Roman" w:cs="Times New Roman"/>
                      <w:szCs w:val="21"/>
                      <w:u w:val="none"/>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l2br w:val="nil"/>
                    <w:tr2bl w:val="nil"/>
                  </w:tcBorders>
                  <w:noWrap w:val="0"/>
                  <w:vAlign w:val="center"/>
                </w:tcPr>
                <w:p>
                  <w:pPr>
                    <w:jc w:val="center"/>
                    <w:rPr>
                      <w:szCs w:val="21"/>
                      <w:u w:val="none"/>
                    </w:rPr>
                  </w:pPr>
                </w:p>
              </w:tc>
              <w:tc>
                <w:tcPr>
                  <w:tcW w:w="2410" w:type="dxa"/>
                  <w:tcBorders>
                    <w:tl2br w:val="nil"/>
                    <w:tr2bl w:val="nil"/>
                  </w:tcBorders>
                  <w:noWrap w:val="0"/>
                  <w:vAlign w:val="center"/>
                </w:tcPr>
                <w:p>
                  <w:pPr>
                    <w:jc w:val="center"/>
                    <w:rPr>
                      <w:szCs w:val="21"/>
                      <w:u w:val="none"/>
                    </w:rPr>
                  </w:pPr>
                  <w:r>
                    <w:rPr>
                      <w:szCs w:val="21"/>
                      <w:u w:val="none"/>
                    </w:rPr>
                    <w:t>NH</w:t>
                  </w:r>
                  <w:r>
                    <w:rPr>
                      <w:szCs w:val="21"/>
                      <w:u w:val="none"/>
                      <w:vertAlign w:val="subscript"/>
                    </w:rPr>
                    <w:t>3</w:t>
                  </w:r>
                  <w:r>
                    <w:rPr>
                      <w:szCs w:val="21"/>
                      <w:u w:val="none"/>
                    </w:rPr>
                    <w:t>-N</w:t>
                  </w:r>
                  <w:r>
                    <w:rPr>
                      <w:rFonts w:hint="eastAsia"/>
                      <w:szCs w:val="21"/>
                      <w:u w:val="none"/>
                    </w:rPr>
                    <w:t>（mg/L）</w:t>
                  </w:r>
                </w:p>
              </w:tc>
              <w:tc>
                <w:tcPr>
                  <w:tcW w:w="2268" w:type="dxa"/>
                  <w:tcBorders>
                    <w:tl2br w:val="nil"/>
                    <w:tr2bl w:val="nil"/>
                  </w:tcBorders>
                  <w:noWrap w:val="0"/>
                  <w:vAlign w:val="center"/>
                </w:tcPr>
                <w:p>
                  <w:pPr>
                    <w:jc w:val="center"/>
                    <w:rPr>
                      <w:szCs w:val="21"/>
                      <w:u w:val="none"/>
                    </w:rPr>
                  </w:pPr>
                  <w:r>
                    <w:rPr>
                      <w:rFonts w:hint="eastAsia"/>
                      <w:color w:val="auto"/>
                      <w:sz w:val="21"/>
                      <w:szCs w:val="21"/>
                      <w:u w:val="none"/>
                      <w:lang w:val="en-US" w:eastAsia="zh-CN"/>
                    </w:rPr>
                    <w:t>0.235-0.246</w:t>
                  </w:r>
                </w:p>
              </w:tc>
              <w:tc>
                <w:tcPr>
                  <w:tcW w:w="2268" w:type="dxa"/>
                  <w:tcBorders>
                    <w:tl2br w:val="nil"/>
                    <w:tr2bl w:val="nil"/>
                  </w:tcBorders>
                  <w:noWrap w:val="0"/>
                  <w:vAlign w:val="center"/>
                </w:tcPr>
                <w:p>
                  <w:pPr>
                    <w:jc w:val="center"/>
                    <w:rPr>
                      <w:szCs w:val="21"/>
                      <w:u w:val="none"/>
                    </w:rPr>
                  </w:pPr>
                  <w:r>
                    <w:rPr>
                      <w:szCs w:val="21"/>
                      <w:u w:val="none"/>
                    </w:rPr>
                    <w:t>≤</w:t>
                  </w:r>
                  <w:r>
                    <w:rPr>
                      <w:rFonts w:hint="eastAsia"/>
                      <w:szCs w:val="21"/>
                      <w:u w:val="none"/>
                    </w:rPr>
                    <w:t>1.0</w:t>
                  </w:r>
                </w:p>
              </w:tc>
              <w:tc>
                <w:tcPr>
                  <w:tcW w:w="1183" w:type="dxa"/>
                  <w:tcBorders>
                    <w:tl2br w:val="nil"/>
                    <w:tr2bl w:val="nil"/>
                  </w:tcBorders>
                  <w:noWrap w:val="0"/>
                  <w:vAlign w:val="center"/>
                </w:tcPr>
                <w:p>
                  <w:pPr>
                    <w:jc w:val="center"/>
                    <w:rPr>
                      <w:rFonts w:hint="default" w:ascii="Times New Roman" w:hAnsi="Times New Roman" w:cs="Times New Roman"/>
                      <w:szCs w:val="21"/>
                      <w:u w:val="none"/>
                      <w:lang w:val="en-US" w:eastAsia="zh-CN"/>
                    </w:rPr>
                  </w:pPr>
                  <w:r>
                    <w:rPr>
                      <w:rFonts w:hint="eastAsia" w:ascii="Times New Roman" w:hAnsi="Times New Roman" w:cs="Times New Roman"/>
                      <w:szCs w:val="21"/>
                      <w:u w:val="none"/>
                      <w:lang w:val="en-US" w:eastAsia="zh-CN"/>
                    </w:rPr>
                    <w:t>0.246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l2br w:val="nil"/>
                    <w:tr2bl w:val="nil"/>
                  </w:tcBorders>
                  <w:noWrap w:val="0"/>
                  <w:vAlign w:val="center"/>
                </w:tcPr>
                <w:p>
                  <w:pPr>
                    <w:jc w:val="center"/>
                    <w:rPr>
                      <w:szCs w:val="21"/>
                      <w:u w:val="none"/>
                    </w:rPr>
                  </w:pPr>
                </w:p>
              </w:tc>
              <w:tc>
                <w:tcPr>
                  <w:tcW w:w="2410" w:type="dxa"/>
                  <w:tcBorders>
                    <w:tl2br w:val="nil"/>
                    <w:tr2bl w:val="nil"/>
                  </w:tcBorders>
                  <w:noWrap w:val="0"/>
                  <w:vAlign w:val="center"/>
                </w:tcPr>
                <w:p>
                  <w:pPr>
                    <w:jc w:val="center"/>
                    <w:rPr>
                      <w:rFonts w:hint="eastAsia"/>
                      <w:szCs w:val="21"/>
                      <w:u w:val="none"/>
                    </w:rPr>
                  </w:pPr>
                  <w:r>
                    <w:rPr>
                      <w:rFonts w:hint="eastAsia"/>
                      <w:szCs w:val="21"/>
                      <w:u w:val="none"/>
                    </w:rPr>
                    <w:t>*粪大肠菌群（个/L）</w:t>
                  </w:r>
                </w:p>
              </w:tc>
              <w:tc>
                <w:tcPr>
                  <w:tcW w:w="2268" w:type="dxa"/>
                  <w:tcBorders>
                    <w:tl2br w:val="nil"/>
                    <w:tr2bl w:val="nil"/>
                  </w:tcBorders>
                  <w:noWrap w:val="0"/>
                  <w:vAlign w:val="center"/>
                </w:tcPr>
                <w:p>
                  <w:pPr>
                    <w:pStyle w:val="36"/>
                    <w:adjustRightInd/>
                    <w:jc w:val="center"/>
                    <w:rPr>
                      <w:rFonts w:hint="eastAsia" w:ascii="Times New Roman" w:cs="Times New Roman"/>
                      <w:color w:val="auto"/>
                      <w:sz w:val="21"/>
                      <w:szCs w:val="21"/>
                      <w:u w:val="none"/>
                    </w:rPr>
                  </w:pPr>
                  <w:r>
                    <w:rPr>
                      <w:rFonts w:hint="eastAsia" w:ascii="Times New Roman" w:cs="Times New Roman"/>
                      <w:color w:val="auto"/>
                      <w:sz w:val="21"/>
                      <w:szCs w:val="21"/>
                      <w:u w:val="none"/>
                      <w:lang w:val="en-US" w:eastAsia="zh-CN"/>
                    </w:rPr>
                    <w:t>110-170</w:t>
                  </w:r>
                </w:p>
              </w:tc>
              <w:tc>
                <w:tcPr>
                  <w:tcW w:w="2268" w:type="dxa"/>
                  <w:tcBorders>
                    <w:tl2br w:val="nil"/>
                    <w:tr2bl w:val="nil"/>
                  </w:tcBorders>
                  <w:noWrap w:val="0"/>
                  <w:vAlign w:val="center"/>
                </w:tcPr>
                <w:p>
                  <w:pPr>
                    <w:jc w:val="center"/>
                    <w:rPr>
                      <w:rFonts w:hint="eastAsia"/>
                      <w:szCs w:val="21"/>
                      <w:u w:val="none"/>
                    </w:rPr>
                  </w:pPr>
                  <w:r>
                    <w:rPr>
                      <w:szCs w:val="21"/>
                      <w:u w:val="none"/>
                    </w:rPr>
                    <w:t>≤</w:t>
                  </w:r>
                  <w:r>
                    <w:rPr>
                      <w:rFonts w:hint="eastAsia"/>
                      <w:szCs w:val="21"/>
                      <w:u w:val="none"/>
                    </w:rPr>
                    <w:t>10000</w:t>
                  </w:r>
                </w:p>
              </w:tc>
              <w:tc>
                <w:tcPr>
                  <w:tcW w:w="1183" w:type="dxa"/>
                  <w:tcBorders>
                    <w:tl2br w:val="nil"/>
                    <w:tr2bl w:val="nil"/>
                  </w:tcBorders>
                  <w:noWrap w:val="0"/>
                  <w:vAlign w:val="center"/>
                </w:tcPr>
                <w:p>
                  <w:pPr>
                    <w:jc w:val="center"/>
                    <w:rPr>
                      <w:rFonts w:hint="default" w:ascii="Times New Roman" w:hAnsi="Times New Roman" w:cs="Times New Roman"/>
                      <w:szCs w:val="21"/>
                      <w:u w:val="none"/>
                      <w:lang w:val="en-US" w:eastAsia="zh-CN"/>
                    </w:rPr>
                  </w:pPr>
                  <w:r>
                    <w:rPr>
                      <w:rFonts w:hint="eastAsia" w:ascii="Times New Roman" w:hAnsi="Times New Roman" w:cs="Times New Roman"/>
                      <w:szCs w:val="21"/>
                      <w:u w:val="none"/>
                      <w:lang w:val="en-US" w:eastAsia="zh-CN"/>
                    </w:rPr>
                    <w:t>0.017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l2br w:val="nil"/>
                    <w:tr2bl w:val="nil"/>
                  </w:tcBorders>
                  <w:noWrap w:val="0"/>
                  <w:vAlign w:val="center"/>
                </w:tcPr>
                <w:p>
                  <w:pPr>
                    <w:jc w:val="center"/>
                    <w:rPr>
                      <w:szCs w:val="21"/>
                      <w:u w:val="none"/>
                    </w:rPr>
                  </w:pPr>
                </w:p>
              </w:tc>
              <w:tc>
                <w:tcPr>
                  <w:tcW w:w="2410" w:type="dxa"/>
                  <w:tcBorders>
                    <w:tl2br w:val="nil"/>
                    <w:tr2bl w:val="nil"/>
                  </w:tcBorders>
                  <w:noWrap w:val="0"/>
                  <w:vAlign w:val="center"/>
                </w:tcPr>
                <w:p>
                  <w:pPr>
                    <w:jc w:val="center"/>
                    <w:rPr>
                      <w:rFonts w:hint="eastAsia"/>
                      <w:szCs w:val="21"/>
                      <w:u w:val="none"/>
                    </w:rPr>
                  </w:pPr>
                  <w:r>
                    <w:rPr>
                      <w:rFonts w:hint="eastAsia"/>
                      <w:szCs w:val="21"/>
                      <w:u w:val="none"/>
                    </w:rPr>
                    <w:t>总磷（mg/L）</w:t>
                  </w:r>
                </w:p>
              </w:tc>
              <w:tc>
                <w:tcPr>
                  <w:tcW w:w="2268" w:type="dxa"/>
                  <w:tcBorders>
                    <w:tl2br w:val="nil"/>
                    <w:tr2bl w:val="nil"/>
                  </w:tcBorders>
                  <w:noWrap w:val="0"/>
                  <w:vAlign w:val="center"/>
                </w:tcPr>
                <w:p>
                  <w:pPr>
                    <w:pStyle w:val="85"/>
                    <w:rPr>
                      <w:rFonts w:hint="eastAsia"/>
                      <w:snapToGrid w:val="0"/>
                      <w:sz w:val="21"/>
                      <w:szCs w:val="21"/>
                      <w:u w:val="none"/>
                    </w:rPr>
                  </w:pPr>
                  <w:r>
                    <w:rPr>
                      <w:rFonts w:hint="eastAsia"/>
                      <w:color w:val="auto"/>
                      <w:sz w:val="21"/>
                      <w:szCs w:val="21"/>
                      <w:u w:val="none"/>
                      <w:lang w:val="en-US" w:eastAsia="zh-CN"/>
                    </w:rPr>
                    <w:t>0.09</w:t>
                  </w:r>
                </w:p>
              </w:tc>
              <w:tc>
                <w:tcPr>
                  <w:tcW w:w="2268" w:type="dxa"/>
                  <w:tcBorders>
                    <w:tl2br w:val="nil"/>
                    <w:tr2bl w:val="nil"/>
                  </w:tcBorders>
                  <w:noWrap w:val="0"/>
                  <w:vAlign w:val="center"/>
                </w:tcPr>
                <w:p>
                  <w:pPr>
                    <w:jc w:val="center"/>
                    <w:rPr>
                      <w:szCs w:val="21"/>
                      <w:u w:val="none"/>
                    </w:rPr>
                  </w:pPr>
                  <w:r>
                    <w:rPr>
                      <w:szCs w:val="21"/>
                      <w:u w:val="none"/>
                    </w:rPr>
                    <w:t>≤</w:t>
                  </w:r>
                  <w:r>
                    <w:rPr>
                      <w:rFonts w:hint="eastAsia"/>
                      <w:szCs w:val="21"/>
                      <w:u w:val="none"/>
                    </w:rPr>
                    <w:t>0.2</w:t>
                  </w:r>
                </w:p>
              </w:tc>
              <w:tc>
                <w:tcPr>
                  <w:tcW w:w="1183" w:type="dxa"/>
                  <w:tcBorders>
                    <w:tl2br w:val="nil"/>
                    <w:tr2bl w:val="nil"/>
                  </w:tcBorders>
                  <w:noWrap w:val="0"/>
                  <w:vAlign w:val="center"/>
                </w:tcPr>
                <w:p>
                  <w:pPr>
                    <w:jc w:val="center"/>
                    <w:rPr>
                      <w:rFonts w:hint="default" w:ascii="Times New Roman" w:hAnsi="Times New Roman" w:cs="Times New Roman"/>
                      <w:szCs w:val="21"/>
                      <w:u w:val="none"/>
                      <w:lang w:val="en-US" w:eastAsia="zh-CN"/>
                    </w:rPr>
                  </w:pPr>
                  <w:r>
                    <w:rPr>
                      <w:rFonts w:hint="eastAsia" w:ascii="Times New Roman" w:hAnsi="Times New Roman" w:cs="Times New Roman"/>
                      <w:szCs w:val="21"/>
                      <w:u w:val="none"/>
                      <w:lang w:val="en-US" w:eastAsia="zh-CN"/>
                    </w:rPr>
                    <w:t>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l2br w:val="nil"/>
                    <w:tr2bl w:val="nil"/>
                  </w:tcBorders>
                  <w:noWrap w:val="0"/>
                  <w:vAlign w:val="center"/>
                </w:tcPr>
                <w:p>
                  <w:pPr>
                    <w:jc w:val="center"/>
                    <w:rPr>
                      <w:szCs w:val="21"/>
                      <w:u w:val="none"/>
                    </w:rPr>
                  </w:pPr>
                </w:p>
              </w:tc>
              <w:tc>
                <w:tcPr>
                  <w:tcW w:w="2410" w:type="dxa"/>
                  <w:tcBorders>
                    <w:tl2br w:val="nil"/>
                    <w:tr2bl w:val="nil"/>
                  </w:tcBorders>
                  <w:noWrap w:val="0"/>
                  <w:vAlign w:val="center"/>
                </w:tcPr>
                <w:p>
                  <w:pPr>
                    <w:jc w:val="center"/>
                    <w:rPr>
                      <w:rFonts w:hint="eastAsia"/>
                      <w:szCs w:val="21"/>
                      <w:u w:val="none"/>
                    </w:rPr>
                  </w:pPr>
                  <w:r>
                    <w:rPr>
                      <w:rFonts w:hint="eastAsia"/>
                      <w:szCs w:val="21"/>
                      <w:u w:val="none"/>
                    </w:rPr>
                    <w:t>总氮（mg/L）</w:t>
                  </w:r>
                </w:p>
              </w:tc>
              <w:tc>
                <w:tcPr>
                  <w:tcW w:w="2268" w:type="dxa"/>
                  <w:tcBorders>
                    <w:tl2br w:val="nil"/>
                    <w:tr2bl w:val="nil"/>
                  </w:tcBorders>
                  <w:noWrap w:val="0"/>
                  <w:vAlign w:val="center"/>
                </w:tcPr>
                <w:p>
                  <w:pPr>
                    <w:pStyle w:val="85"/>
                    <w:rPr>
                      <w:rFonts w:hint="eastAsia"/>
                      <w:snapToGrid w:val="0"/>
                      <w:sz w:val="21"/>
                      <w:szCs w:val="21"/>
                      <w:u w:val="none"/>
                    </w:rPr>
                  </w:pPr>
                  <w:r>
                    <w:rPr>
                      <w:rFonts w:hint="eastAsia"/>
                      <w:color w:val="auto"/>
                      <w:sz w:val="21"/>
                      <w:szCs w:val="21"/>
                      <w:u w:val="none"/>
                      <w:lang w:val="en-US" w:eastAsia="zh-CN"/>
                    </w:rPr>
                    <w:t>2.32-2.34</w:t>
                  </w:r>
                </w:p>
              </w:tc>
              <w:tc>
                <w:tcPr>
                  <w:tcW w:w="2268" w:type="dxa"/>
                  <w:tcBorders>
                    <w:tl2br w:val="nil"/>
                    <w:tr2bl w:val="nil"/>
                  </w:tcBorders>
                  <w:noWrap w:val="0"/>
                  <w:vAlign w:val="center"/>
                </w:tcPr>
                <w:p>
                  <w:pPr>
                    <w:jc w:val="center"/>
                    <w:rPr>
                      <w:szCs w:val="21"/>
                      <w:u w:val="none"/>
                    </w:rPr>
                  </w:pPr>
                  <w:r>
                    <w:rPr>
                      <w:szCs w:val="21"/>
                      <w:u w:val="none"/>
                    </w:rPr>
                    <w:t>≤</w:t>
                  </w:r>
                  <w:r>
                    <w:rPr>
                      <w:rFonts w:hint="eastAsia"/>
                      <w:szCs w:val="21"/>
                      <w:u w:val="none"/>
                    </w:rPr>
                    <w:t>1.0</w:t>
                  </w:r>
                </w:p>
              </w:tc>
              <w:tc>
                <w:tcPr>
                  <w:tcW w:w="1183" w:type="dxa"/>
                  <w:tcBorders>
                    <w:tl2br w:val="nil"/>
                    <w:tr2bl w:val="nil"/>
                  </w:tcBorders>
                  <w:noWrap w:val="0"/>
                  <w:vAlign w:val="center"/>
                </w:tcPr>
                <w:p>
                  <w:pPr>
                    <w:jc w:val="center"/>
                    <w:rPr>
                      <w:rFonts w:hint="default" w:ascii="Times New Roman" w:hAnsi="Times New Roman" w:cs="Times New Roman"/>
                      <w:szCs w:val="21"/>
                      <w:u w:val="none"/>
                      <w:lang w:val="en-US" w:eastAsia="zh-CN"/>
                    </w:rPr>
                  </w:pPr>
                  <w:r>
                    <w:rPr>
                      <w:rFonts w:hint="eastAsia" w:ascii="Times New Roman" w:hAnsi="Times New Roman" w:cs="Times New Roman"/>
                      <w:szCs w:val="21"/>
                      <w:u w:val="none"/>
                      <w:lang w:val="en-US" w:eastAsia="zh-CN"/>
                    </w:rPr>
                    <w:t>2.34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l2br w:val="nil"/>
                    <w:tr2bl w:val="nil"/>
                  </w:tcBorders>
                  <w:noWrap w:val="0"/>
                  <w:vAlign w:val="center"/>
                </w:tcPr>
                <w:p>
                  <w:pPr>
                    <w:jc w:val="center"/>
                    <w:rPr>
                      <w:szCs w:val="21"/>
                      <w:u w:val="none"/>
                    </w:rPr>
                  </w:pPr>
                  <w:r>
                    <w:rPr>
                      <w:szCs w:val="21"/>
                      <w:u w:val="none"/>
                    </w:rPr>
                    <w:t>W</w:t>
                  </w:r>
                  <w:r>
                    <w:rPr>
                      <w:rFonts w:hint="eastAsia"/>
                      <w:szCs w:val="21"/>
                      <w:u w:val="none"/>
                    </w:rPr>
                    <w:t>2</w:t>
                  </w:r>
                </w:p>
              </w:tc>
              <w:tc>
                <w:tcPr>
                  <w:tcW w:w="2410" w:type="dxa"/>
                  <w:tcBorders>
                    <w:tl2br w:val="nil"/>
                    <w:tr2bl w:val="nil"/>
                  </w:tcBorders>
                  <w:noWrap w:val="0"/>
                  <w:vAlign w:val="center"/>
                </w:tcPr>
                <w:p>
                  <w:pPr>
                    <w:jc w:val="center"/>
                    <w:rPr>
                      <w:szCs w:val="21"/>
                      <w:u w:val="none"/>
                    </w:rPr>
                  </w:pPr>
                  <w:r>
                    <w:rPr>
                      <w:szCs w:val="21"/>
                      <w:u w:val="none"/>
                    </w:rPr>
                    <w:t>pH</w:t>
                  </w:r>
                  <w:r>
                    <w:rPr>
                      <w:rFonts w:hint="eastAsia"/>
                      <w:szCs w:val="21"/>
                      <w:u w:val="none"/>
                    </w:rPr>
                    <w:t>（无量纲）</w:t>
                  </w:r>
                </w:p>
              </w:tc>
              <w:tc>
                <w:tcPr>
                  <w:tcW w:w="2268" w:type="dxa"/>
                  <w:tcBorders>
                    <w:tl2br w:val="nil"/>
                    <w:tr2bl w:val="nil"/>
                  </w:tcBorders>
                  <w:noWrap w:val="0"/>
                  <w:vAlign w:val="center"/>
                </w:tcPr>
                <w:p>
                  <w:pPr>
                    <w:jc w:val="center"/>
                    <w:rPr>
                      <w:szCs w:val="21"/>
                      <w:u w:val="none"/>
                    </w:rPr>
                  </w:pPr>
                  <w:r>
                    <w:rPr>
                      <w:rFonts w:hint="eastAsia"/>
                      <w:color w:val="auto"/>
                      <w:sz w:val="21"/>
                      <w:szCs w:val="21"/>
                      <w:u w:val="wave"/>
                      <w:lang w:val="en-US" w:eastAsia="zh-CN"/>
                    </w:rPr>
                    <w:t>7.36-7.43</w:t>
                  </w:r>
                </w:p>
              </w:tc>
              <w:tc>
                <w:tcPr>
                  <w:tcW w:w="2268" w:type="dxa"/>
                  <w:tcBorders>
                    <w:tl2br w:val="nil"/>
                    <w:tr2bl w:val="nil"/>
                  </w:tcBorders>
                  <w:noWrap w:val="0"/>
                  <w:vAlign w:val="center"/>
                </w:tcPr>
                <w:p>
                  <w:pPr>
                    <w:jc w:val="center"/>
                    <w:rPr>
                      <w:szCs w:val="21"/>
                      <w:u w:val="none"/>
                    </w:rPr>
                  </w:pPr>
                  <w:r>
                    <w:rPr>
                      <w:szCs w:val="21"/>
                      <w:u w:val="none"/>
                    </w:rPr>
                    <w:t>6</w:t>
                  </w:r>
                  <w:r>
                    <w:rPr>
                      <w:rFonts w:hAnsi="宋体"/>
                      <w:szCs w:val="21"/>
                      <w:u w:val="none"/>
                    </w:rPr>
                    <w:t>～</w:t>
                  </w:r>
                  <w:r>
                    <w:rPr>
                      <w:szCs w:val="21"/>
                      <w:u w:val="none"/>
                    </w:rPr>
                    <w:t>9</w:t>
                  </w:r>
                </w:p>
              </w:tc>
              <w:tc>
                <w:tcPr>
                  <w:tcW w:w="1183" w:type="dxa"/>
                  <w:tcBorders>
                    <w:tl2br w:val="nil"/>
                    <w:tr2bl w:val="nil"/>
                  </w:tcBorders>
                  <w:noWrap w:val="0"/>
                  <w:vAlign w:val="center"/>
                </w:tcPr>
                <w:p>
                  <w:pPr>
                    <w:jc w:val="center"/>
                    <w:rPr>
                      <w:rFonts w:hint="default" w:ascii="Times New Roman" w:hAnsi="Times New Roman" w:cs="Times New Roman"/>
                      <w:szCs w:val="21"/>
                      <w:u w:val="none"/>
                      <w:lang w:val="en-US" w:eastAsia="zh-CN"/>
                    </w:rPr>
                  </w:pPr>
                  <w:r>
                    <w:rPr>
                      <w:rFonts w:hint="eastAsia" w:ascii="Times New Roman" w:hAnsi="Times New Roman" w:cs="Times New Roman"/>
                      <w:szCs w:val="21"/>
                      <w:u w:val="none"/>
                      <w:lang w:val="en-US" w:eastAsia="zh-CN"/>
                    </w:rPr>
                    <w:t>0.83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l2br w:val="nil"/>
                    <w:tr2bl w:val="nil"/>
                  </w:tcBorders>
                  <w:noWrap w:val="0"/>
                  <w:vAlign w:val="center"/>
                </w:tcPr>
                <w:p>
                  <w:pPr>
                    <w:jc w:val="center"/>
                    <w:rPr>
                      <w:szCs w:val="21"/>
                      <w:u w:val="none"/>
                    </w:rPr>
                  </w:pPr>
                </w:p>
              </w:tc>
              <w:tc>
                <w:tcPr>
                  <w:tcW w:w="2410" w:type="dxa"/>
                  <w:tcBorders>
                    <w:tl2br w:val="nil"/>
                    <w:tr2bl w:val="nil"/>
                  </w:tcBorders>
                  <w:noWrap w:val="0"/>
                  <w:vAlign w:val="center"/>
                </w:tcPr>
                <w:p>
                  <w:pPr>
                    <w:jc w:val="center"/>
                    <w:rPr>
                      <w:szCs w:val="21"/>
                      <w:u w:val="none"/>
                    </w:rPr>
                  </w:pPr>
                  <w:r>
                    <w:rPr>
                      <w:szCs w:val="21"/>
                      <w:u w:val="none"/>
                    </w:rPr>
                    <w:t>COD</w:t>
                  </w:r>
                  <w:r>
                    <w:rPr>
                      <w:rFonts w:hint="eastAsia"/>
                      <w:szCs w:val="21"/>
                      <w:u w:val="none"/>
                    </w:rPr>
                    <w:t>（mg/L）</w:t>
                  </w:r>
                </w:p>
              </w:tc>
              <w:tc>
                <w:tcPr>
                  <w:tcW w:w="2268" w:type="dxa"/>
                  <w:tcBorders>
                    <w:tl2br w:val="nil"/>
                    <w:tr2bl w:val="nil"/>
                  </w:tcBorders>
                  <w:noWrap w:val="0"/>
                  <w:vAlign w:val="center"/>
                </w:tcPr>
                <w:p>
                  <w:pPr>
                    <w:jc w:val="center"/>
                    <w:rPr>
                      <w:szCs w:val="21"/>
                      <w:u w:val="none"/>
                    </w:rPr>
                  </w:pPr>
                  <w:r>
                    <w:rPr>
                      <w:rFonts w:hint="eastAsia"/>
                      <w:color w:val="auto"/>
                      <w:sz w:val="21"/>
                      <w:szCs w:val="21"/>
                      <w:u w:val="wave"/>
                      <w:lang w:val="en-US" w:eastAsia="zh-CN"/>
                    </w:rPr>
                    <w:t>5-11</w:t>
                  </w:r>
                </w:p>
              </w:tc>
              <w:tc>
                <w:tcPr>
                  <w:tcW w:w="2268" w:type="dxa"/>
                  <w:tcBorders>
                    <w:tl2br w:val="nil"/>
                    <w:tr2bl w:val="nil"/>
                  </w:tcBorders>
                  <w:noWrap w:val="0"/>
                  <w:vAlign w:val="center"/>
                </w:tcPr>
                <w:p>
                  <w:pPr>
                    <w:jc w:val="center"/>
                    <w:rPr>
                      <w:szCs w:val="21"/>
                      <w:u w:val="none"/>
                    </w:rPr>
                  </w:pPr>
                  <w:r>
                    <w:rPr>
                      <w:szCs w:val="21"/>
                      <w:u w:val="none"/>
                    </w:rPr>
                    <w:t>≤</w:t>
                  </w:r>
                  <w:r>
                    <w:rPr>
                      <w:rFonts w:hint="eastAsia"/>
                      <w:szCs w:val="21"/>
                      <w:u w:val="none"/>
                    </w:rPr>
                    <w:t>20</w:t>
                  </w:r>
                </w:p>
              </w:tc>
              <w:tc>
                <w:tcPr>
                  <w:tcW w:w="1183" w:type="dxa"/>
                  <w:tcBorders>
                    <w:tl2br w:val="nil"/>
                    <w:tr2bl w:val="nil"/>
                  </w:tcBorders>
                  <w:noWrap w:val="0"/>
                  <w:vAlign w:val="center"/>
                </w:tcPr>
                <w:p>
                  <w:pPr>
                    <w:jc w:val="center"/>
                    <w:rPr>
                      <w:rFonts w:hint="default" w:ascii="Times New Roman" w:hAnsi="Times New Roman" w:cs="Times New Roman"/>
                      <w:szCs w:val="21"/>
                      <w:u w:val="none"/>
                      <w:lang w:val="en-US" w:eastAsia="zh-CN"/>
                    </w:rPr>
                  </w:pPr>
                  <w:r>
                    <w:rPr>
                      <w:rFonts w:hint="eastAsia" w:ascii="Times New Roman" w:hAnsi="Times New Roman" w:cs="Times New Roman"/>
                      <w:szCs w:val="21"/>
                      <w:u w:val="none"/>
                      <w:lang w:val="en-US" w:eastAsia="zh-CN"/>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l2br w:val="nil"/>
                    <w:tr2bl w:val="nil"/>
                  </w:tcBorders>
                  <w:noWrap w:val="0"/>
                  <w:vAlign w:val="center"/>
                </w:tcPr>
                <w:p>
                  <w:pPr>
                    <w:jc w:val="center"/>
                    <w:rPr>
                      <w:szCs w:val="21"/>
                      <w:u w:val="none"/>
                    </w:rPr>
                  </w:pPr>
                </w:p>
              </w:tc>
              <w:tc>
                <w:tcPr>
                  <w:tcW w:w="2410" w:type="dxa"/>
                  <w:tcBorders>
                    <w:tl2br w:val="nil"/>
                    <w:tr2bl w:val="nil"/>
                  </w:tcBorders>
                  <w:noWrap w:val="0"/>
                  <w:vAlign w:val="center"/>
                </w:tcPr>
                <w:p>
                  <w:pPr>
                    <w:jc w:val="center"/>
                    <w:rPr>
                      <w:szCs w:val="21"/>
                      <w:u w:val="none"/>
                    </w:rPr>
                  </w:pPr>
                  <w:r>
                    <w:rPr>
                      <w:rFonts w:hint="eastAsia"/>
                      <w:szCs w:val="21"/>
                      <w:u w:val="none"/>
                    </w:rPr>
                    <w:t>SS（mg/L）</w:t>
                  </w:r>
                </w:p>
              </w:tc>
              <w:tc>
                <w:tcPr>
                  <w:tcW w:w="2268" w:type="dxa"/>
                  <w:tcBorders>
                    <w:tl2br w:val="nil"/>
                    <w:tr2bl w:val="nil"/>
                  </w:tcBorders>
                  <w:noWrap w:val="0"/>
                  <w:vAlign w:val="center"/>
                </w:tcPr>
                <w:p>
                  <w:pPr>
                    <w:jc w:val="center"/>
                    <w:rPr>
                      <w:rFonts w:hint="eastAsia" w:eastAsia="宋体"/>
                      <w:szCs w:val="21"/>
                      <w:u w:val="none"/>
                      <w:lang w:val="en-US" w:eastAsia="zh-CN"/>
                    </w:rPr>
                  </w:pPr>
                  <w:r>
                    <w:rPr>
                      <w:rFonts w:hint="eastAsia"/>
                      <w:szCs w:val="21"/>
                      <w:u w:val="none"/>
                      <w:lang w:val="en-US" w:eastAsia="zh-CN"/>
                    </w:rPr>
                    <w:t>4</w:t>
                  </w:r>
                </w:p>
              </w:tc>
              <w:tc>
                <w:tcPr>
                  <w:tcW w:w="2268" w:type="dxa"/>
                  <w:tcBorders>
                    <w:tl2br w:val="nil"/>
                    <w:tr2bl w:val="nil"/>
                  </w:tcBorders>
                  <w:noWrap w:val="0"/>
                  <w:vAlign w:val="center"/>
                </w:tcPr>
                <w:p>
                  <w:pPr>
                    <w:jc w:val="center"/>
                    <w:rPr>
                      <w:szCs w:val="21"/>
                      <w:u w:val="none"/>
                    </w:rPr>
                  </w:pPr>
                  <w:r>
                    <w:rPr>
                      <w:rFonts w:hint="eastAsia"/>
                      <w:szCs w:val="21"/>
                      <w:u w:val="none"/>
                    </w:rPr>
                    <w:t>/</w:t>
                  </w:r>
                </w:p>
              </w:tc>
              <w:tc>
                <w:tcPr>
                  <w:tcW w:w="1183" w:type="dxa"/>
                  <w:tcBorders>
                    <w:tl2br w:val="nil"/>
                    <w:tr2bl w:val="nil"/>
                  </w:tcBorders>
                  <w:noWrap w:val="0"/>
                  <w:vAlign w:val="center"/>
                </w:tcPr>
                <w:p>
                  <w:pPr>
                    <w:jc w:val="center"/>
                    <w:rPr>
                      <w:rFonts w:hint="default" w:ascii="Times New Roman" w:hAnsi="Times New Roman" w:cs="Times New Roman"/>
                      <w:szCs w:val="21"/>
                      <w:u w:val="none"/>
                      <w:lang w:val="en-US" w:eastAsia="zh-CN"/>
                    </w:rPr>
                  </w:pPr>
                  <w:r>
                    <w:rPr>
                      <w:rFonts w:hint="eastAsia" w:ascii="Times New Roman" w:hAnsi="Times New Roman" w:cs="Times New Roman"/>
                      <w:szCs w:val="21"/>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l2br w:val="nil"/>
                    <w:tr2bl w:val="nil"/>
                  </w:tcBorders>
                  <w:noWrap w:val="0"/>
                  <w:vAlign w:val="center"/>
                </w:tcPr>
                <w:p>
                  <w:pPr>
                    <w:jc w:val="center"/>
                    <w:rPr>
                      <w:szCs w:val="21"/>
                      <w:u w:val="none"/>
                    </w:rPr>
                  </w:pPr>
                </w:p>
              </w:tc>
              <w:tc>
                <w:tcPr>
                  <w:tcW w:w="2410" w:type="dxa"/>
                  <w:tcBorders>
                    <w:tl2br w:val="nil"/>
                    <w:tr2bl w:val="nil"/>
                  </w:tcBorders>
                  <w:noWrap w:val="0"/>
                  <w:vAlign w:val="center"/>
                </w:tcPr>
                <w:p>
                  <w:pPr>
                    <w:jc w:val="center"/>
                    <w:rPr>
                      <w:szCs w:val="21"/>
                      <w:u w:val="none"/>
                    </w:rPr>
                  </w:pPr>
                  <w:r>
                    <w:rPr>
                      <w:rFonts w:hint="eastAsia"/>
                      <w:szCs w:val="21"/>
                      <w:u w:val="none"/>
                    </w:rPr>
                    <w:t>BOD</w:t>
                  </w:r>
                  <w:r>
                    <w:rPr>
                      <w:rFonts w:hint="eastAsia"/>
                      <w:szCs w:val="21"/>
                      <w:u w:val="none"/>
                      <w:vertAlign w:val="subscript"/>
                    </w:rPr>
                    <w:t>5</w:t>
                  </w:r>
                  <w:r>
                    <w:rPr>
                      <w:rFonts w:hint="eastAsia"/>
                      <w:szCs w:val="21"/>
                      <w:u w:val="none"/>
                    </w:rPr>
                    <w:t>（mg/L）</w:t>
                  </w:r>
                </w:p>
              </w:tc>
              <w:tc>
                <w:tcPr>
                  <w:tcW w:w="2268" w:type="dxa"/>
                  <w:tcBorders>
                    <w:tl2br w:val="nil"/>
                    <w:tr2bl w:val="nil"/>
                  </w:tcBorders>
                  <w:noWrap w:val="0"/>
                  <w:vAlign w:val="center"/>
                </w:tcPr>
                <w:p>
                  <w:pPr>
                    <w:jc w:val="center"/>
                    <w:rPr>
                      <w:szCs w:val="21"/>
                      <w:u w:val="none"/>
                    </w:rPr>
                  </w:pPr>
                  <w:r>
                    <w:rPr>
                      <w:rFonts w:hint="eastAsia"/>
                      <w:color w:val="auto"/>
                      <w:sz w:val="21"/>
                      <w:szCs w:val="21"/>
                      <w:u w:val="wave"/>
                      <w:lang w:val="en-US" w:eastAsia="zh-CN"/>
                    </w:rPr>
                    <w:t>0.7-0.9</w:t>
                  </w:r>
                </w:p>
              </w:tc>
              <w:tc>
                <w:tcPr>
                  <w:tcW w:w="2268" w:type="dxa"/>
                  <w:tcBorders>
                    <w:tl2br w:val="nil"/>
                    <w:tr2bl w:val="nil"/>
                  </w:tcBorders>
                  <w:noWrap w:val="0"/>
                  <w:vAlign w:val="center"/>
                </w:tcPr>
                <w:p>
                  <w:pPr>
                    <w:jc w:val="center"/>
                    <w:rPr>
                      <w:szCs w:val="21"/>
                      <w:u w:val="none"/>
                    </w:rPr>
                  </w:pPr>
                  <w:r>
                    <w:rPr>
                      <w:szCs w:val="21"/>
                      <w:u w:val="none"/>
                    </w:rPr>
                    <w:t>≤</w:t>
                  </w:r>
                  <w:r>
                    <w:rPr>
                      <w:rFonts w:hint="eastAsia"/>
                      <w:szCs w:val="21"/>
                      <w:u w:val="none"/>
                    </w:rPr>
                    <w:t>4</w:t>
                  </w:r>
                </w:p>
              </w:tc>
              <w:tc>
                <w:tcPr>
                  <w:tcW w:w="1183" w:type="dxa"/>
                  <w:tcBorders>
                    <w:tl2br w:val="nil"/>
                    <w:tr2bl w:val="nil"/>
                  </w:tcBorders>
                  <w:noWrap w:val="0"/>
                  <w:vAlign w:val="center"/>
                </w:tcPr>
                <w:p>
                  <w:pPr>
                    <w:jc w:val="center"/>
                    <w:rPr>
                      <w:rFonts w:hint="default" w:ascii="Times New Roman" w:hAnsi="Times New Roman" w:cs="Times New Roman"/>
                      <w:szCs w:val="21"/>
                      <w:u w:val="none"/>
                      <w:lang w:val="en-US" w:eastAsia="zh-CN"/>
                    </w:rPr>
                  </w:pPr>
                  <w:r>
                    <w:rPr>
                      <w:rFonts w:hint="eastAsia" w:ascii="Times New Roman" w:hAnsi="Times New Roman" w:cs="Times New Roman"/>
                      <w:szCs w:val="21"/>
                      <w:u w:val="none"/>
                      <w:lang w:val="en-US" w:eastAsia="zh-CN"/>
                    </w:rPr>
                    <w:t>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l2br w:val="nil"/>
                    <w:tr2bl w:val="nil"/>
                  </w:tcBorders>
                  <w:noWrap w:val="0"/>
                  <w:vAlign w:val="center"/>
                </w:tcPr>
                <w:p>
                  <w:pPr>
                    <w:jc w:val="center"/>
                    <w:rPr>
                      <w:szCs w:val="21"/>
                      <w:u w:val="none"/>
                    </w:rPr>
                  </w:pPr>
                </w:p>
              </w:tc>
              <w:tc>
                <w:tcPr>
                  <w:tcW w:w="2410" w:type="dxa"/>
                  <w:tcBorders>
                    <w:tl2br w:val="nil"/>
                    <w:tr2bl w:val="nil"/>
                  </w:tcBorders>
                  <w:noWrap w:val="0"/>
                  <w:vAlign w:val="center"/>
                </w:tcPr>
                <w:p>
                  <w:pPr>
                    <w:jc w:val="center"/>
                    <w:rPr>
                      <w:szCs w:val="21"/>
                      <w:u w:val="none"/>
                    </w:rPr>
                  </w:pPr>
                  <w:r>
                    <w:rPr>
                      <w:szCs w:val="21"/>
                      <w:u w:val="none"/>
                    </w:rPr>
                    <w:t>NH</w:t>
                  </w:r>
                  <w:r>
                    <w:rPr>
                      <w:szCs w:val="21"/>
                      <w:u w:val="none"/>
                      <w:vertAlign w:val="subscript"/>
                    </w:rPr>
                    <w:t>3</w:t>
                  </w:r>
                  <w:r>
                    <w:rPr>
                      <w:szCs w:val="21"/>
                      <w:u w:val="none"/>
                    </w:rPr>
                    <w:t>-N</w:t>
                  </w:r>
                  <w:r>
                    <w:rPr>
                      <w:rFonts w:hint="eastAsia"/>
                      <w:szCs w:val="21"/>
                      <w:u w:val="none"/>
                    </w:rPr>
                    <w:t>（mg/L）</w:t>
                  </w:r>
                </w:p>
              </w:tc>
              <w:tc>
                <w:tcPr>
                  <w:tcW w:w="2268" w:type="dxa"/>
                  <w:tcBorders>
                    <w:tl2br w:val="nil"/>
                    <w:tr2bl w:val="nil"/>
                  </w:tcBorders>
                  <w:noWrap w:val="0"/>
                  <w:vAlign w:val="center"/>
                </w:tcPr>
                <w:p>
                  <w:pPr>
                    <w:jc w:val="center"/>
                    <w:rPr>
                      <w:szCs w:val="21"/>
                      <w:u w:val="none"/>
                    </w:rPr>
                  </w:pPr>
                  <w:r>
                    <w:rPr>
                      <w:rFonts w:hint="eastAsia"/>
                      <w:color w:val="auto"/>
                      <w:sz w:val="21"/>
                      <w:szCs w:val="21"/>
                      <w:u w:val="wave"/>
                      <w:lang w:val="en-US" w:eastAsia="zh-CN"/>
                    </w:rPr>
                    <w:t>0.250-0.264</w:t>
                  </w:r>
                </w:p>
              </w:tc>
              <w:tc>
                <w:tcPr>
                  <w:tcW w:w="2268" w:type="dxa"/>
                  <w:tcBorders>
                    <w:tl2br w:val="nil"/>
                    <w:tr2bl w:val="nil"/>
                  </w:tcBorders>
                  <w:noWrap w:val="0"/>
                  <w:vAlign w:val="center"/>
                </w:tcPr>
                <w:p>
                  <w:pPr>
                    <w:jc w:val="center"/>
                    <w:rPr>
                      <w:szCs w:val="21"/>
                      <w:u w:val="none"/>
                    </w:rPr>
                  </w:pPr>
                  <w:r>
                    <w:rPr>
                      <w:szCs w:val="21"/>
                      <w:u w:val="none"/>
                    </w:rPr>
                    <w:t>≤</w:t>
                  </w:r>
                  <w:r>
                    <w:rPr>
                      <w:rFonts w:hint="eastAsia"/>
                      <w:szCs w:val="21"/>
                      <w:u w:val="none"/>
                    </w:rPr>
                    <w:t>1.0</w:t>
                  </w:r>
                </w:p>
              </w:tc>
              <w:tc>
                <w:tcPr>
                  <w:tcW w:w="1183" w:type="dxa"/>
                  <w:tcBorders>
                    <w:tl2br w:val="nil"/>
                    <w:tr2bl w:val="nil"/>
                  </w:tcBorders>
                  <w:noWrap w:val="0"/>
                  <w:vAlign w:val="center"/>
                </w:tcPr>
                <w:p>
                  <w:pPr>
                    <w:jc w:val="center"/>
                    <w:rPr>
                      <w:rFonts w:hint="default" w:ascii="Times New Roman" w:hAnsi="Times New Roman" w:cs="Times New Roman"/>
                      <w:szCs w:val="21"/>
                      <w:u w:val="none"/>
                      <w:lang w:val="en-US" w:eastAsia="zh-CN"/>
                    </w:rPr>
                  </w:pPr>
                  <w:r>
                    <w:rPr>
                      <w:rFonts w:hint="eastAsia" w:ascii="Times New Roman" w:hAnsi="Times New Roman" w:cs="Times New Roman"/>
                      <w:szCs w:val="21"/>
                      <w:u w:val="none"/>
                      <w:lang w:val="en-US" w:eastAsia="zh-CN"/>
                    </w:rPr>
                    <w:t>0.264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l2br w:val="nil"/>
                    <w:tr2bl w:val="nil"/>
                  </w:tcBorders>
                  <w:noWrap w:val="0"/>
                  <w:vAlign w:val="center"/>
                </w:tcPr>
                <w:p>
                  <w:pPr>
                    <w:jc w:val="center"/>
                    <w:rPr>
                      <w:szCs w:val="21"/>
                      <w:u w:val="none"/>
                    </w:rPr>
                  </w:pPr>
                </w:p>
              </w:tc>
              <w:tc>
                <w:tcPr>
                  <w:tcW w:w="2410" w:type="dxa"/>
                  <w:tcBorders>
                    <w:tl2br w:val="nil"/>
                    <w:tr2bl w:val="nil"/>
                  </w:tcBorders>
                  <w:noWrap w:val="0"/>
                  <w:vAlign w:val="center"/>
                </w:tcPr>
                <w:p>
                  <w:pPr>
                    <w:jc w:val="center"/>
                    <w:rPr>
                      <w:rFonts w:hint="eastAsia"/>
                      <w:szCs w:val="21"/>
                      <w:u w:val="none"/>
                    </w:rPr>
                  </w:pPr>
                  <w:r>
                    <w:rPr>
                      <w:rFonts w:hint="eastAsia"/>
                      <w:szCs w:val="21"/>
                      <w:u w:val="none"/>
                    </w:rPr>
                    <w:t>*粪大肠菌群（个/L）</w:t>
                  </w:r>
                </w:p>
              </w:tc>
              <w:tc>
                <w:tcPr>
                  <w:tcW w:w="2268" w:type="dxa"/>
                  <w:tcBorders>
                    <w:tl2br w:val="nil"/>
                    <w:tr2bl w:val="nil"/>
                  </w:tcBorders>
                  <w:noWrap w:val="0"/>
                  <w:vAlign w:val="center"/>
                </w:tcPr>
                <w:p>
                  <w:pPr>
                    <w:jc w:val="center"/>
                    <w:rPr>
                      <w:rFonts w:hint="eastAsia"/>
                      <w:szCs w:val="21"/>
                      <w:u w:val="none"/>
                    </w:rPr>
                  </w:pPr>
                  <w:r>
                    <w:rPr>
                      <w:rFonts w:hint="eastAsia"/>
                      <w:color w:val="auto"/>
                      <w:sz w:val="21"/>
                      <w:szCs w:val="21"/>
                      <w:u w:val="wave"/>
                      <w:lang w:val="en-US" w:eastAsia="zh-CN"/>
                    </w:rPr>
                    <w:t>20-50</w:t>
                  </w:r>
                </w:p>
              </w:tc>
              <w:tc>
                <w:tcPr>
                  <w:tcW w:w="2268" w:type="dxa"/>
                  <w:tcBorders>
                    <w:tl2br w:val="nil"/>
                    <w:tr2bl w:val="nil"/>
                  </w:tcBorders>
                  <w:noWrap w:val="0"/>
                  <w:vAlign w:val="center"/>
                </w:tcPr>
                <w:p>
                  <w:pPr>
                    <w:jc w:val="center"/>
                    <w:rPr>
                      <w:rFonts w:hint="eastAsia"/>
                      <w:szCs w:val="21"/>
                      <w:u w:val="none"/>
                    </w:rPr>
                  </w:pPr>
                  <w:r>
                    <w:rPr>
                      <w:szCs w:val="21"/>
                      <w:u w:val="none"/>
                    </w:rPr>
                    <w:t>≤</w:t>
                  </w:r>
                  <w:r>
                    <w:rPr>
                      <w:rFonts w:hint="eastAsia"/>
                      <w:szCs w:val="21"/>
                      <w:u w:val="none"/>
                    </w:rPr>
                    <w:t>10000</w:t>
                  </w:r>
                </w:p>
              </w:tc>
              <w:tc>
                <w:tcPr>
                  <w:tcW w:w="1183" w:type="dxa"/>
                  <w:tcBorders>
                    <w:tl2br w:val="nil"/>
                    <w:tr2bl w:val="nil"/>
                  </w:tcBorders>
                  <w:noWrap w:val="0"/>
                  <w:vAlign w:val="center"/>
                </w:tcPr>
                <w:p>
                  <w:pPr>
                    <w:jc w:val="center"/>
                    <w:rPr>
                      <w:rFonts w:hint="default" w:ascii="Times New Roman" w:hAnsi="Times New Roman" w:cs="Times New Roman"/>
                      <w:szCs w:val="21"/>
                      <w:u w:val="none"/>
                      <w:lang w:val="en-US" w:eastAsia="zh-CN"/>
                    </w:rPr>
                  </w:pPr>
                  <w:r>
                    <w:rPr>
                      <w:rFonts w:hint="eastAsia" w:ascii="Times New Roman" w:hAnsi="Times New Roman" w:cs="Times New Roman"/>
                      <w:szCs w:val="21"/>
                      <w:u w:val="none"/>
                      <w:lang w:val="en-US" w:eastAsia="zh-CN"/>
                    </w:rPr>
                    <w:t>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l2br w:val="nil"/>
                    <w:tr2bl w:val="nil"/>
                  </w:tcBorders>
                  <w:noWrap w:val="0"/>
                  <w:vAlign w:val="center"/>
                </w:tcPr>
                <w:p>
                  <w:pPr>
                    <w:jc w:val="center"/>
                    <w:rPr>
                      <w:szCs w:val="21"/>
                      <w:u w:val="none"/>
                    </w:rPr>
                  </w:pPr>
                </w:p>
              </w:tc>
              <w:tc>
                <w:tcPr>
                  <w:tcW w:w="2410" w:type="dxa"/>
                  <w:tcBorders>
                    <w:tl2br w:val="nil"/>
                    <w:tr2bl w:val="nil"/>
                  </w:tcBorders>
                  <w:noWrap w:val="0"/>
                  <w:vAlign w:val="center"/>
                </w:tcPr>
                <w:p>
                  <w:pPr>
                    <w:jc w:val="center"/>
                    <w:rPr>
                      <w:rFonts w:hint="eastAsia"/>
                      <w:szCs w:val="21"/>
                      <w:u w:val="none"/>
                    </w:rPr>
                  </w:pPr>
                  <w:r>
                    <w:rPr>
                      <w:rFonts w:hint="eastAsia"/>
                      <w:szCs w:val="21"/>
                      <w:u w:val="none"/>
                    </w:rPr>
                    <w:t>总磷（mg/L）</w:t>
                  </w:r>
                </w:p>
              </w:tc>
              <w:tc>
                <w:tcPr>
                  <w:tcW w:w="2268" w:type="dxa"/>
                  <w:tcBorders>
                    <w:tl2br w:val="nil"/>
                    <w:tr2bl w:val="nil"/>
                  </w:tcBorders>
                  <w:noWrap w:val="0"/>
                  <w:vAlign w:val="center"/>
                </w:tcPr>
                <w:p>
                  <w:pPr>
                    <w:pStyle w:val="85"/>
                    <w:rPr>
                      <w:rFonts w:hint="eastAsia"/>
                      <w:snapToGrid w:val="0"/>
                      <w:sz w:val="21"/>
                      <w:szCs w:val="21"/>
                      <w:u w:val="none"/>
                    </w:rPr>
                  </w:pPr>
                  <w:r>
                    <w:rPr>
                      <w:rFonts w:hint="eastAsia"/>
                      <w:color w:val="auto"/>
                      <w:sz w:val="21"/>
                      <w:szCs w:val="21"/>
                      <w:u w:val="wave"/>
                      <w:lang w:val="en-US" w:eastAsia="zh-CN"/>
                    </w:rPr>
                    <w:t>0.007-0.008</w:t>
                  </w:r>
                </w:p>
              </w:tc>
              <w:tc>
                <w:tcPr>
                  <w:tcW w:w="2268" w:type="dxa"/>
                  <w:tcBorders>
                    <w:tl2br w:val="nil"/>
                    <w:tr2bl w:val="nil"/>
                  </w:tcBorders>
                  <w:noWrap w:val="0"/>
                  <w:vAlign w:val="center"/>
                </w:tcPr>
                <w:p>
                  <w:pPr>
                    <w:jc w:val="center"/>
                    <w:rPr>
                      <w:szCs w:val="21"/>
                      <w:u w:val="none"/>
                    </w:rPr>
                  </w:pPr>
                  <w:r>
                    <w:rPr>
                      <w:rFonts w:hint="eastAsia"/>
                      <w:szCs w:val="21"/>
                      <w:u w:val="none"/>
                    </w:rPr>
                    <w:t>0.2</w:t>
                  </w:r>
                </w:p>
              </w:tc>
              <w:tc>
                <w:tcPr>
                  <w:tcW w:w="1183" w:type="dxa"/>
                  <w:tcBorders>
                    <w:tl2br w:val="nil"/>
                    <w:tr2bl w:val="nil"/>
                  </w:tcBorders>
                  <w:noWrap w:val="0"/>
                  <w:vAlign w:val="center"/>
                </w:tcPr>
                <w:p>
                  <w:pPr>
                    <w:jc w:val="center"/>
                    <w:rPr>
                      <w:rFonts w:hint="default" w:ascii="Times New Roman" w:hAnsi="Times New Roman" w:cs="Times New Roman"/>
                      <w:szCs w:val="21"/>
                      <w:u w:val="none"/>
                      <w:lang w:val="en-US" w:eastAsia="zh-CN"/>
                    </w:rPr>
                  </w:pPr>
                  <w:r>
                    <w:rPr>
                      <w:rFonts w:hint="eastAsia" w:ascii="Times New Roman" w:hAnsi="Times New Roman" w:cs="Times New Roman"/>
                      <w:szCs w:val="21"/>
                      <w:u w:val="none"/>
                      <w:lang w:val="en-US" w:eastAsia="zh-CN"/>
                    </w:rPr>
                    <w:t>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l2br w:val="nil"/>
                    <w:tr2bl w:val="nil"/>
                  </w:tcBorders>
                  <w:noWrap w:val="0"/>
                  <w:vAlign w:val="center"/>
                </w:tcPr>
                <w:p>
                  <w:pPr>
                    <w:jc w:val="center"/>
                    <w:rPr>
                      <w:szCs w:val="21"/>
                      <w:u w:val="none"/>
                    </w:rPr>
                  </w:pPr>
                </w:p>
              </w:tc>
              <w:tc>
                <w:tcPr>
                  <w:tcW w:w="2410" w:type="dxa"/>
                  <w:tcBorders>
                    <w:tl2br w:val="nil"/>
                    <w:tr2bl w:val="nil"/>
                  </w:tcBorders>
                  <w:noWrap w:val="0"/>
                  <w:vAlign w:val="center"/>
                </w:tcPr>
                <w:p>
                  <w:pPr>
                    <w:jc w:val="center"/>
                    <w:rPr>
                      <w:rFonts w:hint="eastAsia"/>
                      <w:szCs w:val="21"/>
                      <w:u w:val="none"/>
                    </w:rPr>
                  </w:pPr>
                  <w:r>
                    <w:rPr>
                      <w:rFonts w:hint="eastAsia"/>
                      <w:szCs w:val="21"/>
                      <w:u w:val="none"/>
                    </w:rPr>
                    <w:t>总氮（mg/L）</w:t>
                  </w:r>
                </w:p>
              </w:tc>
              <w:tc>
                <w:tcPr>
                  <w:tcW w:w="2268" w:type="dxa"/>
                  <w:tcBorders>
                    <w:tl2br w:val="nil"/>
                    <w:tr2bl w:val="nil"/>
                  </w:tcBorders>
                  <w:noWrap w:val="0"/>
                  <w:vAlign w:val="center"/>
                </w:tcPr>
                <w:p>
                  <w:pPr>
                    <w:pStyle w:val="85"/>
                    <w:rPr>
                      <w:rFonts w:hint="eastAsia"/>
                      <w:snapToGrid w:val="0"/>
                      <w:sz w:val="21"/>
                      <w:szCs w:val="21"/>
                      <w:u w:val="none"/>
                    </w:rPr>
                  </w:pPr>
                  <w:r>
                    <w:rPr>
                      <w:rFonts w:hint="eastAsia"/>
                      <w:color w:val="auto"/>
                      <w:sz w:val="21"/>
                      <w:szCs w:val="21"/>
                      <w:u w:val="wave"/>
                      <w:lang w:val="en-US" w:eastAsia="zh-CN"/>
                    </w:rPr>
                    <w:t>2.30-2.35</w:t>
                  </w:r>
                </w:p>
              </w:tc>
              <w:tc>
                <w:tcPr>
                  <w:tcW w:w="2268" w:type="dxa"/>
                  <w:tcBorders>
                    <w:tl2br w:val="nil"/>
                    <w:tr2bl w:val="nil"/>
                  </w:tcBorders>
                  <w:noWrap w:val="0"/>
                  <w:vAlign w:val="center"/>
                </w:tcPr>
                <w:p>
                  <w:pPr>
                    <w:jc w:val="center"/>
                    <w:rPr>
                      <w:szCs w:val="21"/>
                      <w:u w:val="none"/>
                    </w:rPr>
                  </w:pPr>
                  <w:r>
                    <w:rPr>
                      <w:rFonts w:hint="eastAsia"/>
                      <w:szCs w:val="21"/>
                      <w:u w:val="none"/>
                    </w:rPr>
                    <w:t>1.0</w:t>
                  </w:r>
                </w:p>
              </w:tc>
              <w:tc>
                <w:tcPr>
                  <w:tcW w:w="1183" w:type="dxa"/>
                  <w:tcBorders>
                    <w:tl2br w:val="nil"/>
                    <w:tr2bl w:val="nil"/>
                  </w:tcBorders>
                  <w:noWrap w:val="0"/>
                  <w:vAlign w:val="center"/>
                </w:tcPr>
                <w:p>
                  <w:pPr>
                    <w:jc w:val="center"/>
                    <w:rPr>
                      <w:rFonts w:hint="default" w:ascii="Times New Roman" w:hAnsi="Times New Roman" w:cs="Times New Roman"/>
                      <w:szCs w:val="21"/>
                      <w:u w:val="none"/>
                      <w:lang w:val="en-US" w:eastAsia="zh-CN"/>
                    </w:rPr>
                  </w:pPr>
                  <w:r>
                    <w:rPr>
                      <w:rFonts w:hint="eastAsia" w:ascii="Times New Roman" w:hAnsi="Times New Roman" w:cs="Times New Roman"/>
                      <w:szCs w:val="21"/>
                      <w:u w:val="none"/>
                      <w:lang w:val="en-US" w:eastAsia="zh-CN"/>
                    </w:rPr>
                    <w:t>2.35</w:t>
                  </w:r>
                </w:p>
              </w:tc>
            </w:tr>
          </w:tbl>
          <w:p>
            <w:pPr>
              <w:pStyle w:val="48"/>
              <w:keepNext w:val="0"/>
              <w:keepLines w:val="0"/>
              <w:pageBreakBefore w:val="0"/>
              <w:widowControl w:val="0"/>
              <w:kinsoku/>
              <w:wordWrap/>
              <w:overflowPunct/>
              <w:topLinePunct w:val="0"/>
              <w:autoSpaceDE/>
              <w:autoSpaceDN/>
              <w:bidi w:val="0"/>
              <w:adjustRightInd w:val="0"/>
              <w:snapToGrid w:val="0"/>
              <w:spacing w:line="460" w:lineRule="atLeast"/>
              <w:ind w:firstLine="480"/>
              <w:textAlignment w:val="auto"/>
              <w:rPr>
                <w:rFonts w:hint="eastAsia"/>
                <w:bCs/>
                <w:color w:val="auto"/>
                <w:szCs w:val="22"/>
                <w:u w:val="none"/>
              </w:rPr>
            </w:pPr>
            <w:r>
              <w:rPr>
                <w:rFonts w:hint="eastAsia"/>
                <w:bCs/>
                <w:color w:val="auto"/>
                <w:szCs w:val="22"/>
                <w:u w:val="none"/>
                <w:lang w:val="en-US" w:eastAsia="zh-CN"/>
              </w:rPr>
              <w:t>根据上表可知，W1、W2断面总氮均超过</w:t>
            </w:r>
            <w:r>
              <w:rPr>
                <w:rFonts w:hint="eastAsia"/>
                <w:bCs/>
                <w:color w:val="auto"/>
                <w:szCs w:val="22"/>
                <w:u w:val="none"/>
              </w:rPr>
              <w:t>《地表水环境质量标准》（GB3838-2002）中的</w:t>
            </w:r>
            <w:r>
              <w:rPr>
                <w:rFonts w:hint="eastAsia"/>
                <w:bCs/>
                <w:color w:val="auto"/>
                <w:szCs w:val="22"/>
                <w:u w:val="none"/>
                <w:lang w:eastAsia="zh-CN"/>
              </w:rPr>
              <w:t>Ⅲ类水体，其他因子均能满足Ⅲ类水体要求</w:t>
            </w:r>
            <w:r>
              <w:rPr>
                <w:rFonts w:hint="eastAsia"/>
                <w:bCs/>
                <w:color w:val="auto"/>
                <w:szCs w:val="22"/>
                <w:u w:val="none"/>
              </w:rPr>
              <w:t>。</w:t>
            </w:r>
            <w:r>
              <w:rPr>
                <w:rFonts w:hint="eastAsia"/>
                <w:bCs/>
                <w:color w:val="FF0000"/>
                <w:szCs w:val="22"/>
                <w:u w:val="wave"/>
                <w:lang w:eastAsia="zh-CN"/>
              </w:rPr>
              <w:t>总氮超标主要原因可能是由于区域农业污染源或生活污染源对其造成污染，区域内居民生活污水未经处理直接排入邵水，</w:t>
            </w:r>
            <w:r>
              <w:rPr>
                <w:rFonts w:hint="eastAsia"/>
                <w:bCs/>
                <w:color w:val="FF0000"/>
                <w:szCs w:val="22"/>
                <w:u w:val="wave"/>
              </w:rPr>
              <w:t>导致其</w:t>
            </w:r>
            <w:r>
              <w:rPr>
                <w:rFonts w:hint="eastAsia"/>
                <w:bCs/>
                <w:color w:val="FF0000"/>
                <w:szCs w:val="22"/>
                <w:u w:val="wave"/>
                <w:lang w:eastAsia="zh-CN"/>
              </w:rPr>
              <w:t>超标</w:t>
            </w:r>
            <w:r>
              <w:rPr>
                <w:rFonts w:hint="eastAsia"/>
                <w:bCs/>
                <w:color w:val="FF0000"/>
                <w:szCs w:val="22"/>
                <w:u w:val="wave"/>
              </w:rPr>
              <w:t>。</w:t>
            </w:r>
          </w:p>
          <w:p>
            <w:pPr>
              <w:keepNext w:val="0"/>
              <w:keepLines w:val="0"/>
              <w:pageBreakBefore w:val="0"/>
              <w:widowControl w:val="0"/>
              <w:kinsoku/>
              <w:wordWrap/>
              <w:overflowPunct/>
              <w:topLinePunct w:val="0"/>
              <w:autoSpaceDE/>
              <w:autoSpaceDN/>
              <w:bidi w:val="0"/>
              <w:adjustRightInd w:val="0"/>
              <w:snapToGrid w:val="0"/>
              <w:spacing w:line="460" w:lineRule="atLeast"/>
              <w:textAlignment w:val="auto"/>
              <w:rPr>
                <w:b/>
                <w:color w:val="auto"/>
                <w:sz w:val="28"/>
                <w:szCs w:val="28"/>
                <w:u w:val="none"/>
              </w:rPr>
            </w:pPr>
            <w:r>
              <w:rPr>
                <w:rFonts w:hint="eastAsia"/>
                <w:b/>
                <w:color w:val="auto"/>
                <w:sz w:val="28"/>
                <w:szCs w:val="28"/>
                <w:u w:val="none"/>
              </w:rPr>
              <w:t>3.3地下水环境现状调查与评价</w:t>
            </w:r>
          </w:p>
          <w:p>
            <w:pPr>
              <w:pStyle w:val="48"/>
              <w:keepNext w:val="0"/>
              <w:keepLines w:val="0"/>
              <w:pageBreakBefore w:val="0"/>
              <w:widowControl w:val="0"/>
              <w:numPr>
                <w:ilvl w:val="0"/>
                <w:numId w:val="2"/>
              </w:numPr>
              <w:kinsoku/>
              <w:wordWrap/>
              <w:overflowPunct/>
              <w:topLinePunct w:val="0"/>
              <w:autoSpaceDE/>
              <w:autoSpaceDN/>
              <w:bidi w:val="0"/>
              <w:adjustRightInd w:val="0"/>
              <w:snapToGrid w:val="0"/>
              <w:spacing w:line="460" w:lineRule="atLeast"/>
              <w:ind w:firstLine="480"/>
              <w:textAlignment w:val="auto"/>
              <w:rPr>
                <w:rFonts w:hint="eastAsia"/>
                <w:bCs/>
                <w:color w:val="auto"/>
                <w:szCs w:val="22"/>
                <w:u w:val="none"/>
                <w:lang w:eastAsia="zh-CN"/>
              </w:rPr>
            </w:pPr>
            <w:r>
              <w:rPr>
                <w:rFonts w:hint="eastAsia"/>
                <w:bCs/>
                <w:color w:val="auto"/>
                <w:szCs w:val="22"/>
                <w:u w:val="none"/>
                <w:lang w:eastAsia="zh-CN"/>
              </w:rPr>
              <w:t>监测单位：</w:t>
            </w:r>
            <w:r>
              <w:rPr>
                <w:rFonts w:hint="eastAsia"/>
                <w:color w:val="auto"/>
                <w:szCs w:val="24"/>
                <w:u w:val="none"/>
                <w:lang w:eastAsia="zh-CN"/>
              </w:rPr>
              <w:t>湖南中石检测有限公司</w:t>
            </w:r>
            <w:r>
              <w:rPr>
                <w:rFonts w:hint="eastAsia"/>
                <w:bCs/>
                <w:color w:val="auto"/>
                <w:szCs w:val="22"/>
                <w:u w:val="none"/>
                <w:lang w:eastAsia="zh-CN"/>
              </w:rPr>
              <w:t>；</w:t>
            </w:r>
          </w:p>
          <w:p>
            <w:pPr>
              <w:pStyle w:val="48"/>
              <w:keepNext w:val="0"/>
              <w:keepLines w:val="0"/>
              <w:pageBreakBefore w:val="0"/>
              <w:widowControl w:val="0"/>
              <w:numPr>
                <w:ilvl w:val="0"/>
                <w:numId w:val="2"/>
              </w:numPr>
              <w:kinsoku/>
              <w:wordWrap/>
              <w:overflowPunct/>
              <w:topLinePunct w:val="0"/>
              <w:autoSpaceDE/>
              <w:autoSpaceDN/>
              <w:bidi w:val="0"/>
              <w:adjustRightInd w:val="0"/>
              <w:snapToGrid w:val="0"/>
              <w:spacing w:line="460" w:lineRule="atLeast"/>
              <w:ind w:firstLine="480"/>
              <w:textAlignment w:val="auto"/>
              <w:rPr>
                <w:bCs/>
                <w:color w:val="auto"/>
                <w:szCs w:val="22"/>
                <w:u w:val="none"/>
              </w:rPr>
            </w:pPr>
            <w:r>
              <w:rPr>
                <w:rFonts w:hint="eastAsia"/>
                <w:bCs/>
                <w:color w:val="auto"/>
                <w:szCs w:val="22"/>
                <w:u w:val="none"/>
              </w:rPr>
              <w:t>监测项目</w:t>
            </w:r>
            <w:r>
              <w:rPr>
                <w:rFonts w:hint="eastAsia"/>
                <w:bCs/>
                <w:color w:val="auto"/>
                <w:szCs w:val="22"/>
                <w:u w:val="none"/>
                <w:lang w:eastAsia="zh-CN"/>
              </w:rPr>
              <w:t>：</w:t>
            </w:r>
            <w:r>
              <w:rPr>
                <w:rFonts w:hint="eastAsia"/>
                <w:bCs/>
                <w:color w:val="auto"/>
                <w:szCs w:val="22"/>
                <w:u w:val="none"/>
              </w:rPr>
              <w:t>pH、耗氧量、氨氮、总硬度、</w:t>
            </w:r>
            <w:r>
              <w:rPr>
                <w:rFonts w:hint="eastAsia"/>
                <w:bCs/>
                <w:color w:val="auto"/>
                <w:szCs w:val="22"/>
                <w:u w:val="none"/>
                <w:lang w:eastAsia="zh-CN"/>
              </w:rPr>
              <w:t>硝酸盐、硫酸盐、</w:t>
            </w:r>
            <w:r>
              <w:rPr>
                <w:rFonts w:hint="eastAsia"/>
                <w:bCs/>
                <w:color w:val="auto"/>
                <w:szCs w:val="22"/>
                <w:u w:val="none"/>
              </w:rPr>
              <w:t>氰化物、铜、铅、镉、砷、六价铬、总大肠菌群</w:t>
            </w:r>
            <w:r>
              <w:rPr>
                <w:rFonts w:hint="eastAsia"/>
                <w:bCs/>
                <w:color w:val="auto"/>
                <w:szCs w:val="22"/>
                <w:u w:val="none"/>
                <w:lang w:eastAsia="zh-CN"/>
              </w:rPr>
              <w:t>；</w:t>
            </w:r>
          </w:p>
          <w:p>
            <w:pPr>
              <w:pStyle w:val="48"/>
              <w:keepNext w:val="0"/>
              <w:keepLines w:val="0"/>
              <w:pageBreakBefore w:val="0"/>
              <w:widowControl w:val="0"/>
              <w:numPr>
                <w:ilvl w:val="0"/>
                <w:numId w:val="2"/>
              </w:numPr>
              <w:kinsoku/>
              <w:wordWrap/>
              <w:overflowPunct/>
              <w:topLinePunct w:val="0"/>
              <w:autoSpaceDE/>
              <w:autoSpaceDN/>
              <w:bidi w:val="0"/>
              <w:adjustRightInd w:val="0"/>
              <w:snapToGrid w:val="0"/>
              <w:spacing w:line="460" w:lineRule="atLeast"/>
              <w:ind w:firstLine="480"/>
              <w:textAlignment w:val="auto"/>
              <w:rPr>
                <w:rFonts w:hint="eastAsia" w:ascii="Times New Roman" w:hAnsi="Times New Roman" w:eastAsia="宋体" w:cs="Times New Roman"/>
                <w:bCs/>
                <w:color w:val="auto"/>
                <w:szCs w:val="22"/>
                <w:u w:val="none"/>
              </w:rPr>
            </w:pPr>
            <w:r>
              <w:rPr>
                <w:rFonts w:hint="eastAsia" w:ascii="Times New Roman" w:hAnsi="Times New Roman" w:eastAsia="宋体" w:cs="Times New Roman"/>
                <w:bCs/>
                <w:color w:val="auto"/>
                <w:szCs w:val="22"/>
                <w:u w:val="none"/>
              </w:rPr>
              <w:t>监测布点</w:t>
            </w:r>
            <w:r>
              <w:rPr>
                <w:rFonts w:hint="eastAsia" w:ascii="Times New Roman" w:hAnsi="Times New Roman" w:eastAsia="宋体" w:cs="Times New Roman"/>
                <w:bCs/>
                <w:color w:val="auto"/>
                <w:szCs w:val="22"/>
                <w:u w:val="none"/>
                <w:lang w:eastAsia="zh-CN"/>
              </w:rPr>
              <w:t>：</w:t>
            </w:r>
            <w:r>
              <w:rPr>
                <w:rFonts w:hint="eastAsia" w:ascii="Times New Roman" w:hAnsi="Times New Roman" w:eastAsia="宋体" w:cs="Times New Roman"/>
                <w:bCs/>
                <w:color w:val="auto"/>
                <w:szCs w:val="22"/>
                <w:u w:val="none"/>
                <w:lang w:val="en-US" w:eastAsia="zh-CN"/>
              </w:rPr>
              <w:t>地下水监测点位详见表3-6：</w:t>
            </w:r>
          </w:p>
          <w:p>
            <w:pPr>
              <w:pStyle w:val="25"/>
              <w:keepNext w:val="0"/>
              <w:keepLines w:val="0"/>
              <w:pageBreakBefore w:val="0"/>
              <w:widowControl w:val="0"/>
              <w:kinsoku/>
              <w:wordWrap/>
              <w:overflowPunct/>
              <w:topLinePunct w:val="0"/>
              <w:autoSpaceDE/>
              <w:autoSpaceDN/>
              <w:bidi w:val="0"/>
              <w:adjustRightInd w:val="0"/>
              <w:snapToGrid w:val="0"/>
              <w:spacing w:beforeLines="0" w:line="460" w:lineRule="atLeast"/>
              <w:ind w:firstLine="422"/>
              <w:jc w:val="center"/>
              <w:textAlignment w:val="auto"/>
              <w:rPr>
                <w:b/>
                <w:color w:val="auto"/>
                <w:sz w:val="21"/>
                <w:szCs w:val="21"/>
                <w:u w:val="none"/>
              </w:rPr>
            </w:pPr>
            <w:r>
              <w:rPr>
                <w:rFonts w:hint="eastAsia"/>
                <w:b/>
                <w:color w:val="auto"/>
                <w:sz w:val="21"/>
                <w:szCs w:val="21"/>
                <w:u w:val="none"/>
              </w:rPr>
              <w:t>测点位情况</w:t>
            </w:r>
          </w:p>
          <w:tbl>
            <w:tblPr>
              <w:tblStyle w:val="27"/>
              <w:tblW w:w="83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36"/>
              <w:gridCol w:w="2323"/>
              <w:gridCol w:w="25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36" w:type="dxa"/>
                  <w:tcBorders>
                    <w:tl2br w:val="nil"/>
                    <w:tr2bl w:val="nil"/>
                  </w:tcBorders>
                  <w:vAlign w:val="center"/>
                </w:tcPr>
                <w:p>
                  <w:pPr>
                    <w:pStyle w:val="5"/>
                    <w:rPr>
                      <w:color w:val="auto"/>
                      <w:szCs w:val="21"/>
                      <w:u w:val="none"/>
                    </w:rPr>
                  </w:pPr>
                  <w:r>
                    <w:rPr>
                      <w:color w:val="auto"/>
                      <w:szCs w:val="21"/>
                      <w:u w:val="none"/>
                    </w:rPr>
                    <w:t>监测点编号</w:t>
                  </w:r>
                </w:p>
              </w:tc>
              <w:tc>
                <w:tcPr>
                  <w:tcW w:w="2323" w:type="dxa"/>
                  <w:tcBorders>
                    <w:tl2br w:val="nil"/>
                    <w:tr2bl w:val="nil"/>
                  </w:tcBorders>
                  <w:vAlign w:val="center"/>
                </w:tcPr>
                <w:p>
                  <w:pPr>
                    <w:adjustRightInd w:val="0"/>
                    <w:snapToGrid w:val="0"/>
                    <w:jc w:val="center"/>
                    <w:rPr>
                      <w:color w:val="auto"/>
                      <w:u w:val="none"/>
                    </w:rPr>
                  </w:pPr>
                  <w:r>
                    <w:rPr>
                      <w:rFonts w:hint="eastAsia"/>
                      <w:snapToGrid w:val="0"/>
                      <w:color w:val="auto"/>
                      <w:kern w:val="0"/>
                      <w:szCs w:val="21"/>
                      <w:u w:val="none"/>
                    </w:rPr>
                    <w:t>监测点</w:t>
                  </w:r>
                </w:p>
              </w:tc>
              <w:tc>
                <w:tcPr>
                  <w:tcW w:w="2576" w:type="dxa"/>
                  <w:tcBorders>
                    <w:tl2br w:val="nil"/>
                    <w:tr2bl w:val="nil"/>
                  </w:tcBorders>
                  <w:vAlign w:val="center"/>
                </w:tcPr>
                <w:p>
                  <w:pPr>
                    <w:adjustRightInd w:val="0"/>
                    <w:snapToGrid w:val="0"/>
                    <w:jc w:val="center"/>
                    <w:rPr>
                      <w:color w:val="auto"/>
                      <w:u w:val="none"/>
                    </w:rPr>
                  </w:pPr>
                  <w:r>
                    <w:rPr>
                      <w:rFonts w:hint="eastAsia"/>
                      <w:snapToGrid w:val="0"/>
                      <w:color w:val="auto"/>
                      <w:kern w:val="0"/>
                      <w:szCs w:val="21"/>
                      <w:u w:val="none"/>
                    </w:rPr>
                    <w:t>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36" w:type="dxa"/>
                  <w:tcBorders>
                    <w:tl2br w:val="nil"/>
                    <w:tr2bl w:val="nil"/>
                  </w:tcBorders>
                  <w:vAlign w:val="center"/>
                </w:tcPr>
                <w:p>
                  <w:pPr>
                    <w:pStyle w:val="5"/>
                    <w:rPr>
                      <w:rFonts w:hint="eastAsia" w:eastAsia="宋体"/>
                      <w:color w:val="auto"/>
                      <w:szCs w:val="21"/>
                      <w:u w:val="none"/>
                      <w:lang w:eastAsia="zh-CN"/>
                    </w:rPr>
                  </w:pPr>
                  <w:r>
                    <w:rPr>
                      <w:color w:val="auto"/>
                      <w:szCs w:val="21"/>
                      <w:u w:val="none"/>
                    </w:rPr>
                    <w:t>D1</w:t>
                  </w:r>
                  <w:r>
                    <w:rPr>
                      <w:rFonts w:hint="default" w:ascii="Times New Roman" w:hAnsi="Times New Roman" w:cs="Times New Roman"/>
                      <w:color w:val="auto"/>
                      <w:szCs w:val="21"/>
                      <w:u w:val="none"/>
                    </w:rPr>
                    <w:t>（</w:t>
                  </w:r>
                  <w:r>
                    <w:rPr>
                      <w:rFonts w:hint="default" w:ascii="Times New Roman" w:hAnsi="Times New Roman" w:cs="Times New Roman"/>
                      <w:color w:val="auto"/>
                      <w:szCs w:val="21"/>
                      <w:u w:val="none"/>
                      <w:lang w:eastAsia="zh-CN"/>
                    </w:rPr>
                    <w:t>E111°</w:t>
                  </w:r>
                  <w:r>
                    <w:rPr>
                      <w:rFonts w:hint="eastAsia" w:ascii="Times New Roman" w:hAnsi="Times New Roman" w:cs="Times New Roman"/>
                      <w:color w:val="auto"/>
                      <w:szCs w:val="21"/>
                      <w:u w:val="none"/>
                      <w:lang w:val="en-US" w:eastAsia="zh-CN"/>
                    </w:rPr>
                    <w:t>33</w:t>
                  </w:r>
                  <w:r>
                    <w:rPr>
                      <w:rFonts w:hint="default" w:ascii="Times New Roman" w:hAnsi="Times New Roman" w:cs="Times New Roman"/>
                      <w:color w:val="auto"/>
                      <w:szCs w:val="21"/>
                      <w:u w:val="none"/>
                      <w:lang w:eastAsia="zh-CN"/>
                    </w:rPr>
                    <w:t>′</w:t>
                  </w:r>
                  <w:r>
                    <w:rPr>
                      <w:rFonts w:hint="eastAsia" w:ascii="Times New Roman" w:hAnsi="Times New Roman" w:cs="Times New Roman"/>
                      <w:color w:val="auto"/>
                      <w:szCs w:val="21"/>
                      <w:u w:val="none"/>
                      <w:lang w:val="en-US" w:eastAsia="zh-CN"/>
                    </w:rPr>
                    <w:t>08</w:t>
                  </w:r>
                  <w:r>
                    <w:rPr>
                      <w:rFonts w:hint="default" w:ascii="Times New Roman" w:hAnsi="Times New Roman" w:cs="Times New Roman"/>
                      <w:color w:val="auto"/>
                      <w:szCs w:val="21"/>
                      <w:u w:val="none"/>
                      <w:lang w:eastAsia="zh-CN"/>
                    </w:rPr>
                    <w:t>.</w:t>
                  </w:r>
                  <w:r>
                    <w:rPr>
                      <w:rFonts w:hint="eastAsia" w:ascii="Times New Roman" w:hAnsi="Times New Roman" w:cs="Times New Roman"/>
                      <w:color w:val="auto"/>
                      <w:szCs w:val="21"/>
                      <w:u w:val="none"/>
                      <w:lang w:val="en-US" w:eastAsia="zh-CN"/>
                    </w:rPr>
                    <w:t>70</w:t>
                  </w:r>
                  <w:r>
                    <w:rPr>
                      <w:rFonts w:hint="default" w:ascii="Times New Roman" w:hAnsi="Times New Roman" w:cs="Times New Roman"/>
                      <w:color w:val="auto"/>
                      <w:szCs w:val="21"/>
                      <w:u w:val="none"/>
                      <w:lang w:eastAsia="zh-CN"/>
                    </w:rPr>
                    <w:t>"，N27°</w:t>
                  </w:r>
                  <w:r>
                    <w:rPr>
                      <w:rFonts w:hint="eastAsia" w:ascii="Times New Roman" w:hAnsi="Times New Roman" w:cs="Times New Roman"/>
                      <w:color w:val="auto"/>
                      <w:szCs w:val="21"/>
                      <w:u w:val="none"/>
                      <w:lang w:val="en-US" w:eastAsia="zh-CN"/>
                    </w:rPr>
                    <w:t>11</w:t>
                  </w:r>
                  <w:r>
                    <w:rPr>
                      <w:rFonts w:hint="default" w:ascii="Times New Roman" w:hAnsi="Times New Roman" w:cs="Times New Roman"/>
                      <w:color w:val="auto"/>
                      <w:szCs w:val="21"/>
                      <w:u w:val="none"/>
                      <w:lang w:eastAsia="zh-CN"/>
                    </w:rPr>
                    <w:t>′</w:t>
                  </w:r>
                  <w:r>
                    <w:rPr>
                      <w:rFonts w:hint="eastAsia" w:ascii="Times New Roman" w:hAnsi="Times New Roman" w:cs="Times New Roman"/>
                      <w:color w:val="auto"/>
                      <w:szCs w:val="21"/>
                      <w:u w:val="none"/>
                      <w:lang w:val="en-US" w:eastAsia="zh-CN"/>
                    </w:rPr>
                    <w:t>32</w:t>
                  </w:r>
                  <w:r>
                    <w:rPr>
                      <w:rFonts w:hint="default" w:ascii="Times New Roman" w:hAnsi="Times New Roman" w:cs="Times New Roman"/>
                      <w:color w:val="auto"/>
                      <w:szCs w:val="21"/>
                      <w:u w:val="none"/>
                      <w:lang w:eastAsia="zh-CN"/>
                    </w:rPr>
                    <w:t>.</w:t>
                  </w:r>
                  <w:r>
                    <w:rPr>
                      <w:rFonts w:hint="eastAsia" w:ascii="Times New Roman" w:hAnsi="Times New Roman" w:cs="Times New Roman"/>
                      <w:color w:val="auto"/>
                      <w:szCs w:val="21"/>
                      <w:u w:val="none"/>
                      <w:lang w:val="en-US" w:eastAsia="zh-CN"/>
                    </w:rPr>
                    <w:t>7</w:t>
                  </w:r>
                  <w:r>
                    <w:rPr>
                      <w:rFonts w:hint="default" w:ascii="Times New Roman" w:hAnsi="Times New Roman" w:cs="Times New Roman"/>
                      <w:color w:val="auto"/>
                      <w:szCs w:val="21"/>
                      <w:u w:val="none"/>
                      <w:lang w:eastAsia="zh-CN"/>
                    </w:rPr>
                    <w:t>0"</w:t>
                  </w:r>
                  <w:r>
                    <w:rPr>
                      <w:rFonts w:hint="default" w:ascii="Times New Roman" w:hAnsi="Times New Roman" w:cs="Times New Roman"/>
                      <w:color w:val="auto"/>
                      <w:szCs w:val="21"/>
                      <w:u w:val="none"/>
                    </w:rPr>
                    <w:t>）</w:t>
                  </w:r>
                </w:p>
              </w:tc>
              <w:tc>
                <w:tcPr>
                  <w:tcW w:w="2323" w:type="dxa"/>
                  <w:tcBorders>
                    <w:tl2br w:val="nil"/>
                    <w:tr2bl w:val="nil"/>
                  </w:tcBorders>
                  <w:vAlign w:val="center"/>
                </w:tcPr>
                <w:p>
                  <w:pPr>
                    <w:adjustRightInd w:val="0"/>
                    <w:snapToGrid w:val="0"/>
                    <w:jc w:val="center"/>
                    <w:rPr>
                      <w:rFonts w:hint="default" w:ascii="Times New Roman" w:hAnsi="Times New Roman" w:eastAsia="宋体" w:cs="Times New Roman"/>
                      <w:snapToGrid w:val="0"/>
                      <w:color w:val="auto"/>
                      <w:kern w:val="0"/>
                      <w:sz w:val="21"/>
                      <w:szCs w:val="21"/>
                      <w:u w:val="none"/>
                      <w:lang w:val="en-US" w:eastAsia="zh-CN" w:bidi="ar-SA"/>
                    </w:rPr>
                  </w:pPr>
                  <w:r>
                    <w:rPr>
                      <w:rFonts w:hint="eastAsia" w:cs="Times New Roman"/>
                      <w:snapToGrid w:val="0"/>
                      <w:color w:val="auto"/>
                      <w:kern w:val="0"/>
                      <w:szCs w:val="21"/>
                      <w:u w:val="none"/>
                      <w:lang w:val="en-US" w:eastAsia="zh-CN"/>
                    </w:rPr>
                    <w:t>刘家崩居民水井</w:t>
                  </w:r>
                </w:p>
              </w:tc>
              <w:tc>
                <w:tcPr>
                  <w:tcW w:w="2576" w:type="dxa"/>
                  <w:tcBorders>
                    <w:tl2br w:val="nil"/>
                    <w:tr2bl w:val="nil"/>
                  </w:tcBorders>
                  <w:vAlign w:val="center"/>
                </w:tcPr>
                <w:p>
                  <w:pPr>
                    <w:adjustRightInd w:val="0"/>
                    <w:snapToGrid w:val="0"/>
                    <w:jc w:val="center"/>
                    <w:rPr>
                      <w:rFonts w:hint="default" w:ascii="Times New Roman" w:hAnsi="Times New Roman" w:eastAsia="宋体" w:cs="Times New Roman"/>
                      <w:snapToGrid w:val="0"/>
                      <w:color w:val="auto"/>
                      <w:kern w:val="0"/>
                      <w:sz w:val="21"/>
                      <w:szCs w:val="21"/>
                      <w:u w:val="none"/>
                      <w:lang w:val="en-US" w:eastAsia="zh-CN" w:bidi="ar-SA"/>
                    </w:rPr>
                  </w:pPr>
                  <w:r>
                    <w:rPr>
                      <w:rFonts w:hint="eastAsia" w:cs="Times New Roman"/>
                      <w:snapToGrid w:val="0"/>
                      <w:color w:val="auto"/>
                      <w:kern w:val="0"/>
                      <w:szCs w:val="21"/>
                      <w:u w:val="none"/>
                      <w:lang w:val="en-US" w:eastAsia="zh-CN"/>
                    </w:rPr>
                    <w:t>拟建地北面158m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36" w:type="dxa"/>
                  <w:tcBorders>
                    <w:tl2br w:val="nil"/>
                    <w:tr2bl w:val="nil"/>
                  </w:tcBorders>
                  <w:vAlign w:val="center"/>
                </w:tcPr>
                <w:p>
                  <w:pPr>
                    <w:pStyle w:val="5"/>
                    <w:rPr>
                      <w:color w:val="auto"/>
                      <w:szCs w:val="21"/>
                      <w:u w:val="none"/>
                    </w:rPr>
                  </w:pPr>
                  <w:r>
                    <w:rPr>
                      <w:color w:val="auto"/>
                      <w:szCs w:val="21"/>
                      <w:u w:val="none"/>
                    </w:rPr>
                    <w:t>D2</w:t>
                  </w:r>
                  <w:r>
                    <w:rPr>
                      <w:rFonts w:hint="default" w:ascii="Times New Roman" w:hAnsi="Times New Roman" w:cs="Times New Roman"/>
                      <w:color w:val="auto"/>
                      <w:szCs w:val="21"/>
                      <w:u w:val="none"/>
                    </w:rPr>
                    <w:t>（</w:t>
                  </w:r>
                  <w:r>
                    <w:rPr>
                      <w:rFonts w:hint="default" w:ascii="Times New Roman" w:hAnsi="Times New Roman" w:cs="Times New Roman"/>
                      <w:color w:val="auto"/>
                      <w:szCs w:val="21"/>
                      <w:u w:val="none"/>
                      <w:lang w:eastAsia="zh-CN"/>
                    </w:rPr>
                    <w:t>E111°</w:t>
                  </w:r>
                  <w:r>
                    <w:rPr>
                      <w:rFonts w:hint="eastAsia" w:ascii="Times New Roman" w:hAnsi="Times New Roman" w:cs="Times New Roman"/>
                      <w:color w:val="auto"/>
                      <w:szCs w:val="21"/>
                      <w:u w:val="none"/>
                      <w:lang w:val="en-US" w:eastAsia="zh-CN"/>
                    </w:rPr>
                    <w:t>33</w:t>
                  </w:r>
                  <w:r>
                    <w:rPr>
                      <w:rFonts w:hint="default" w:ascii="Times New Roman" w:hAnsi="Times New Roman" w:cs="Times New Roman"/>
                      <w:color w:val="auto"/>
                      <w:szCs w:val="21"/>
                      <w:u w:val="none"/>
                      <w:lang w:eastAsia="zh-CN"/>
                    </w:rPr>
                    <w:t>′</w:t>
                  </w:r>
                  <w:r>
                    <w:rPr>
                      <w:rFonts w:hint="eastAsia" w:ascii="Times New Roman" w:hAnsi="Times New Roman" w:cs="Times New Roman"/>
                      <w:color w:val="auto"/>
                      <w:szCs w:val="21"/>
                      <w:u w:val="none"/>
                      <w:lang w:val="en-US" w:eastAsia="zh-CN"/>
                    </w:rPr>
                    <w:t>23.11</w:t>
                  </w:r>
                  <w:r>
                    <w:rPr>
                      <w:rFonts w:hint="default" w:ascii="Times New Roman" w:hAnsi="Times New Roman" w:cs="Times New Roman"/>
                      <w:color w:val="auto"/>
                      <w:szCs w:val="21"/>
                      <w:u w:val="none"/>
                      <w:lang w:eastAsia="zh-CN"/>
                    </w:rPr>
                    <w:t>"，N27°1</w:t>
                  </w:r>
                  <w:r>
                    <w:rPr>
                      <w:rFonts w:hint="eastAsia" w:ascii="Times New Roman" w:hAnsi="Times New Roman" w:cs="Times New Roman"/>
                      <w:color w:val="auto"/>
                      <w:szCs w:val="21"/>
                      <w:u w:val="none"/>
                      <w:lang w:val="en-US" w:eastAsia="zh-CN"/>
                    </w:rPr>
                    <w:t>1</w:t>
                  </w:r>
                  <w:r>
                    <w:rPr>
                      <w:rFonts w:hint="default" w:ascii="Times New Roman" w:hAnsi="Times New Roman" w:cs="Times New Roman"/>
                      <w:color w:val="auto"/>
                      <w:szCs w:val="21"/>
                      <w:u w:val="none"/>
                      <w:lang w:eastAsia="zh-CN"/>
                    </w:rPr>
                    <w:t>′</w:t>
                  </w:r>
                  <w:r>
                    <w:rPr>
                      <w:rFonts w:hint="eastAsia" w:ascii="Times New Roman" w:hAnsi="Times New Roman" w:cs="Times New Roman"/>
                      <w:color w:val="auto"/>
                      <w:szCs w:val="21"/>
                      <w:u w:val="none"/>
                      <w:lang w:val="en-US" w:eastAsia="zh-CN"/>
                    </w:rPr>
                    <w:t>22</w:t>
                  </w:r>
                  <w:r>
                    <w:rPr>
                      <w:rFonts w:hint="default" w:ascii="Times New Roman" w:hAnsi="Times New Roman" w:cs="Times New Roman"/>
                      <w:color w:val="auto"/>
                      <w:szCs w:val="21"/>
                      <w:u w:val="none"/>
                      <w:lang w:eastAsia="zh-CN"/>
                    </w:rPr>
                    <w:t>.</w:t>
                  </w:r>
                  <w:r>
                    <w:rPr>
                      <w:rFonts w:hint="eastAsia" w:ascii="Times New Roman" w:hAnsi="Times New Roman" w:cs="Times New Roman"/>
                      <w:color w:val="auto"/>
                      <w:szCs w:val="21"/>
                      <w:u w:val="none"/>
                      <w:lang w:val="en-US" w:eastAsia="zh-CN"/>
                    </w:rPr>
                    <w:t>41</w:t>
                  </w:r>
                  <w:r>
                    <w:rPr>
                      <w:rFonts w:hint="default" w:ascii="Times New Roman" w:hAnsi="Times New Roman" w:cs="Times New Roman"/>
                      <w:color w:val="auto"/>
                      <w:szCs w:val="21"/>
                      <w:u w:val="none"/>
                      <w:lang w:eastAsia="zh-CN"/>
                    </w:rPr>
                    <w:t>"</w:t>
                  </w:r>
                  <w:r>
                    <w:rPr>
                      <w:rFonts w:hint="default" w:ascii="Times New Roman" w:hAnsi="Times New Roman" w:cs="Times New Roman"/>
                      <w:color w:val="auto"/>
                      <w:szCs w:val="21"/>
                      <w:u w:val="none"/>
                    </w:rPr>
                    <w:t>）</w:t>
                  </w:r>
                </w:p>
              </w:tc>
              <w:tc>
                <w:tcPr>
                  <w:tcW w:w="2323" w:type="dxa"/>
                  <w:tcBorders>
                    <w:tl2br w:val="nil"/>
                    <w:tr2bl w:val="nil"/>
                  </w:tcBorders>
                  <w:vAlign w:val="center"/>
                </w:tcPr>
                <w:p>
                  <w:pPr>
                    <w:adjustRightInd w:val="0"/>
                    <w:snapToGrid w:val="0"/>
                    <w:jc w:val="center"/>
                    <w:rPr>
                      <w:rFonts w:hint="default" w:ascii="Times New Roman" w:hAnsi="Times New Roman" w:eastAsia="宋体" w:cs="Times New Roman"/>
                      <w:snapToGrid w:val="0"/>
                      <w:color w:val="auto"/>
                      <w:kern w:val="0"/>
                      <w:sz w:val="21"/>
                      <w:szCs w:val="21"/>
                      <w:u w:val="none"/>
                      <w:lang w:val="en-US" w:eastAsia="zh-CN" w:bidi="ar-SA"/>
                    </w:rPr>
                  </w:pPr>
                  <w:r>
                    <w:rPr>
                      <w:rFonts w:hint="eastAsia" w:cs="Times New Roman"/>
                      <w:snapToGrid w:val="0"/>
                      <w:color w:val="auto"/>
                      <w:kern w:val="0"/>
                      <w:szCs w:val="21"/>
                      <w:u w:val="none"/>
                      <w:lang w:val="en-US" w:eastAsia="zh-CN"/>
                    </w:rPr>
                    <w:t>白鹤塘居民水井</w:t>
                  </w:r>
                </w:p>
              </w:tc>
              <w:tc>
                <w:tcPr>
                  <w:tcW w:w="2576" w:type="dxa"/>
                  <w:tcBorders>
                    <w:tl2br w:val="nil"/>
                    <w:tr2bl w:val="nil"/>
                  </w:tcBorders>
                  <w:vAlign w:val="center"/>
                </w:tcPr>
                <w:p>
                  <w:pPr>
                    <w:adjustRightInd w:val="0"/>
                    <w:snapToGrid w:val="0"/>
                    <w:jc w:val="center"/>
                    <w:rPr>
                      <w:rFonts w:hint="default" w:ascii="Times New Roman" w:hAnsi="Times New Roman" w:eastAsia="宋体" w:cs="Times New Roman"/>
                      <w:snapToGrid w:val="0"/>
                      <w:color w:val="auto"/>
                      <w:kern w:val="0"/>
                      <w:sz w:val="21"/>
                      <w:szCs w:val="21"/>
                      <w:u w:val="none"/>
                      <w:lang w:val="en-US" w:eastAsia="zh-CN" w:bidi="ar-SA"/>
                    </w:rPr>
                  </w:pPr>
                  <w:r>
                    <w:rPr>
                      <w:rFonts w:hint="eastAsia" w:cs="Times New Roman"/>
                      <w:snapToGrid w:val="0"/>
                      <w:color w:val="auto"/>
                      <w:kern w:val="0"/>
                      <w:szCs w:val="21"/>
                      <w:u w:val="none"/>
                      <w:lang w:val="en-US" w:eastAsia="zh-CN"/>
                    </w:rPr>
                    <w:t>拟建地东南面223m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36" w:type="dxa"/>
                  <w:tcBorders>
                    <w:tl2br w:val="nil"/>
                    <w:tr2bl w:val="nil"/>
                  </w:tcBorders>
                  <w:vAlign w:val="center"/>
                </w:tcPr>
                <w:p>
                  <w:pPr>
                    <w:pStyle w:val="5"/>
                    <w:rPr>
                      <w:color w:val="auto"/>
                      <w:szCs w:val="21"/>
                      <w:u w:val="none"/>
                    </w:rPr>
                  </w:pPr>
                  <w:r>
                    <w:rPr>
                      <w:color w:val="auto"/>
                      <w:szCs w:val="21"/>
                      <w:u w:val="none"/>
                    </w:rPr>
                    <w:t>D3</w:t>
                  </w:r>
                  <w:r>
                    <w:rPr>
                      <w:rFonts w:hint="default" w:ascii="Times New Roman" w:hAnsi="Times New Roman" w:cs="Times New Roman"/>
                      <w:color w:val="auto"/>
                      <w:szCs w:val="21"/>
                      <w:u w:val="none"/>
                    </w:rPr>
                    <w:t>（</w:t>
                  </w:r>
                  <w:r>
                    <w:rPr>
                      <w:rFonts w:hint="default" w:ascii="Times New Roman" w:hAnsi="Times New Roman" w:cs="Times New Roman"/>
                      <w:color w:val="auto"/>
                      <w:szCs w:val="21"/>
                      <w:u w:val="none"/>
                      <w:lang w:eastAsia="zh-CN"/>
                    </w:rPr>
                    <w:t>E111°</w:t>
                  </w:r>
                  <w:r>
                    <w:rPr>
                      <w:rFonts w:hint="eastAsia" w:ascii="Times New Roman" w:hAnsi="Times New Roman" w:cs="Times New Roman"/>
                      <w:color w:val="auto"/>
                      <w:szCs w:val="21"/>
                      <w:u w:val="none"/>
                      <w:lang w:val="en-US" w:eastAsia="zh-CN"/>
                    </w:rPr>
                    <w:t>33</w:t>
                  </w:r>
                  <w:r>
                    <w:rPr>
                      <w:rFonts w:hint="default" w:ascii="Times New Roman" w:hAnsi="Times New Roman" w:cs="Times New Roman"/>
                      <w:color w:val="auto"/>
                      <w:szCs w:val="21"/>
                      <w:u w:val="none"/>
                      <w:lang w:eastAsia="zh-CN"/>
                    </w:rPr>
                    <w:t>′</w:t>
                  </w:r>
                  <w:r>
                    <w:rPr>
                      <w:rFonts w:hint="eastAsia" w:ascii="Times New Roman" w:hAnsi="Times New Roman" w:cs="Times New Roman"/>
                      <w:color w:val="auto"/>
                      <w:szCs w:val="21"/>
                      <w:u w:val="none"/>
                      <w:lang w:val="en-US" w:eastAsia="zh-CN"/>
                    </w:rPr>
                    <w:t>19</w:t>
                  </w:r>
                  <w:r>
                    <w:rPr>
                      <w:rFonts w:hint="default" w:ascii="Times New Roman" w:hAnsi="Times New Roman" w:cs="Times New Roman"/>
                      <w:color w:val="auto"/>
                      <w:szCs w:val="21"/>
                      <w:u w:val="none"/>
                      <w:lang w:eastAsia="zh-CN"/>
                    </w:rPr>
                    <w:t>.</w:t>
                  </w:r>
                  <w:r>
                    <w:rPr>
                      <w:rFonts w:hint="eastAsia" w:ascii="Times New Roman" w:hAnsi="Times New Roman" w:cs="Times New Roman"/>
                      <w:color w:val="auto"/>
                      <w:szCs w:val="21"/>
                      <w:u w:val="none"/>
                      <w:lang w:val="en-US" w:eastAsia="zh-CN"/>
                    </w:rPr>
                    <w:t>32</w:t>
                  </w:r>
                  <w:r>
                    <w:rPr>
                      <w:rFonts w:hint="default" w:ascii="Times New Roman" w:hAnsi="Times New Roman" w:cs="Times New Roman"/>
                      <w:color w:val="auto"/>
                      <w:szCs w:val="21"/>
                      <w:u w:val="none"/>
                      <w:lang w:eastAsia="zh-CN"/>
                    </w:rPr>
                    <w:t>"，N27°</w:t>
                  </w:r>
                  <w:r>
                    <w:rPr>
                      <w:rFonts w:hint="eastAsia" w:ascii="Times New Roman" w:hAnsi="Times New Roman" w:cs="Times New Roman"/>
                      <w:color w:val="auto"/>
                      <w:szCs w:val="21"/>
                      <w:u w:val="none"/>
                      <w:lang w:val="en-US" w:eastAsia="zh-CN"/>
                    </w:rPr>
                    <w:t>11</w:t>
                  </w:r>
                  <w:r>
                    <w:rPr>
                      <w:rFonts w:hint="default" w:ascii="Times New Roman" w:hAnsi="Times New Roman" w:cs="Times New Roman"/>
                      <w:color w:val="auto"/>
                      <w:szCs w:val="21"/>
                      <w:u w:val="none"/>
                      <w:lang w:eastAsia="zh-CN"/>
                    </w:rPr>
                    <w:t>′4</w:t>
                  </w:r>
                  <w:r>
                    <w:rPr>
                      <w:rFonts w:hint="eastAsia" w:ascii="Times New Roman" w:hAnsi="Times New Roman" w:cs="Times New Roman"/>
                      <w:color w:val="auto"/>
                      <w:szCs w:val="21"/>
                      <w:u w:val="none"/>
                      <w:lang w:val="en-US" w:eastAsia="zh-CN"/>
                    </w:rPr>
                    <w:t>0</w:t>
                  </w:r>
                  <w:r>
                    <w:rPr>
                      <w:rFonts w:hint="default" w:ascii="Times New Roman" w:hAnsi="Times New Roman" w:cs="Times New Roman"/>
                      <w:color w:val="auto"/>
                      <w:szCs w:val="21"/>
                      <w:u w:val="none"/>
                      <w:lang w:eastAsia="zh-CN"/>
                    </w:rPr>
                    <w:t>.</w:t>
                  </w:r>
                  <w:r>
                    <w:rPr>
                      <w:rFonts w:hint="eastAsia" w:ascii="Times New Roman" w:hAnsi="Times New Roman" w:cs="Times New Roman"/>
                      <w:color w:val="auto"/>
                      <w:szCs w:val="21"/>
                      <w:u w:val="none"/>
                      <w:lang w:val="en-US" w:eastAsia="zh-CN"/>
                    </w:rPr>
                    <w:t>03</w:t>
                  </w:r>
                  <w:r>
                    <w:rPr>
                      <w:rFonts w:hint="default" w:ascii="Times New Roman" w:hAnsi="Times New Roman" w:cs="Times New Roman"/>
                      <w:color w:val="auto"/>
                      <w:szCs w:val="21"/>
                      <w:u w:val="none"/>
                      <w:lang w:eastAsia="zh-CN"/>
                    </w:rPr>
                    <w:t>"</w:t>
                  </w:r>
                  <w:r>
                    <w:rPr>
                      <w:rFonts w:hint="default" w:ascii="Times New Roman" w:hAnsi="Times New Roman" w:cs="Times New Roman"/>
                      <w:color w:val="auto"/>
                      <w:szCs w:val="21"/>
                      <w:u w:val="none"/>
                    </w:rPr>
                    <w:t>）</w:t>
                  </w:r>
                </w:p>
              </w:tc>
              <w:tc>
                <w:tcPr>
                  <w:tcW w:w="2323" w:type="dxa"/>
                  <w:tcBorders>
                    <w:tl2br w:val="nil"/>
                    <w:tr2bl w:val="nil"/>
                  </w:tcBorders>
                  <w:vAlign w:val="center"/>
                </w:tcPr>
                <w:p>
                  <w:pPr>
                    <w:adjustRightInd w:val="0"/>
                    <w:snapToGrid w:val="0"/>
                    <w:jc w:val="center"/>
                    <w:rPr>
                      <w:rFonts w:hint="eastAsia" w:ascii="Times New Roman" w:hAnsi="Times New Roman" w:eastAsia="宋体" w:cs="Times New Roman"/>
                      <w:snapToGrid w:val="0"/>
                      <w:color w:val="auto"/>
                      <w:kern w:val="0"/>
                      <w:sz w:val="21"/>
                      <w:szCs w:val="21"/>
                      <w:u w:val="none"/>
                      <w:lang w:val="en-US" w:eastAsia="zh-CN" w:bidi="ar-SA"/>
                    </w:rPr>
                  </w:pPr>
                  <w:r>
                    <w:rPr>
                      <w:rFonts w:hint="eastAsia" w:cs="Times New Roman"/>
                      <w:snapToGrid w:val="0"/>
                      <w:color w:val="auto"/>
                      <w:kern w:val="0"/>
                      <w:szCs w:val="21"/>
                      <w:u w:val="none"/>
                      <w:lang w:val="en-US" w:eastAsia="zh-CN"/>
                    </w:rPr>
                    <w:t>白羊塘居民水井</w:t>
                  </w:r>
                </w:p>
              </w:tc>
              <w:tc>
                <w:tcPr>
                  <w:tcW w:w="2576" w:type="dxa"/>
                  <w:tcBorders>
                    <w:tl2br w:val="nil"/>
                    <w:tr2bl w:val="nil"/>
                  </w:tcBorders>
                  <w:vAlign w:val="center"/>
                </w:tcPr>
                <w:p>
                  <w:pPr>
                    <w:adjustRightInd w:val="0"/>
                    <w:snapToGrid w:val="0"/>
                    <w:jc w:val="center"/>
                    <w:rPr>
                      <w:rFonts w:hint="default" w:ascii="Times New Roman" w:hAnsi="Times New Roman" w:eastAsia="宋体" w:cs="Times New Roman"/>
                      <w:snapToGrid w:val="0"/>
                      <w:color w:val="auto"/>
                      <w:kern w:val="0"/>
                      <w:sz w:val="21"/>
                      <w:szCs w:val="21"/>
                      <w:u w:val="none"/>
                      <w:lang w:val="en-US" w:eastAsia="zh-CN" w:bidi="ar-SA"/>
                    </w:rPr>
                  </w:pPr>
                  <w:r>
                    <w:rPr>
                      <w:rFonts w:hint="eastAsia" w:cs="Times New Roman"/>
                      <w:snapToGrid w:val="0"/>
                      <w:color w:val="auto"/>
                      <w:kern w:val="0"/>
                      <w:szCs w:val="21"/>
                      <w:u w:val="none"/>
                      <w:lang w:val="en-US" w:eastAsia="zh-CN"/>
                    </w:rPr>
                    <w:t>拟建地东北面442m</w:t>
                  </w:r>
                </w:p>
              </w:tc>
            </w:tr>
          </w:tbl>
          <w:p>
            <w:pPr>
              <w:pStyle w:val="48"/>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bCs/>
                <w:color w:val="auto"/>
                <w:szCs w:val="22"/>
                <w:u w:val="none"/>
              </w:rPr>
            </w:pPr>
            <w:r>
              <w:rPr>
                <w:rFonts w:hint="eastAsia"/>
                <w:bCs/>
                <w:color w:val="auto"/>
                <w:szCs w:val="22"/>
                <w:u w:val="none"/>
              </w:rPr>
              <w:t>（</w:t>
            </w:r>
            <w:r>
              <w:rPr>
                <w:rFonts w:hint="eastAsia"/>
                <w:bCs/>
                <w:color w:val="auto"/>
                <w:szCs w:val="22"/>
                <w:u w:val="none"/>
                <w:lang w:val="en-US" w:eastAsia="zh-CN"/>
              </w:rPr>
              <w:t>4</w:t>
            </w:r>
            <w:r>
              <w:rPr>
                <w:rFonts w:hint="eastAsia"/>
                <w:bCs/>
                <w:color w:val="auto"/>
                <w:szCs w:val="22"/>
                <w:u w:val="none"/>
              </w:rPr>
              <w:t>）监测频次及时间</w:t>
            </w:r>
            <w:r>
              <w:rPr>
                <w:rFonts w:hint="eastAsia"/>
                <w:bCs/>
                <w:color w:val="auto"/>
                <w:szCs w:val="22"/>
                <w:u w:val="none"/>
                <w:lang w:eastAsia="zh-CN"/>
              </w:rPr>
              <w:t>：</w:t>
            </w:r>
            <w:r>
              <w:rPr>
                <w:rFonts w:hint="eastAsia"/>
                <w:bCs/>
                <w:color w:val="auto"/>
                <w:szCs w:val="22"/>
                <w:u w:val="none"/>
              </w:rPr>
              <w:t>2019年</w:t>
            </w:r>
            <w:r>
              <w:rPr>
                <w:rFonts w:hint="eastAsia"/>
                <w:bCs/>
                <w:color w:val="auto"/>
                <w:szCs w:val="22"/>
                <w:u w:val="none"/>
                <w:lang w:eastAsia="zh-CN"/>
              </w:rPr>
              <w:t>12月18日</w:t>
            </w:r>
            <w:r>
              <w:rPr>
                <w:rFonts w:hint="eastAsia"/>
                <w:bCs/>
                <w:color w:val="auto"/>
                <w:szCs w:val="22"/>
                <w:u w:val="none"/>
              </w:rPr>
              <w:t>至</w:t>
            </w:r>
            <w:r>
              <w:rPr>
                <w:rFonts w:hint="eastAsia"/>
                <w:bCs/>
                <w:color w:val="auto"/>
                <w:szCs w:val="22"/>
                <w:u w:val="none"/>
                <w:lang w:val="en-US" w:eastAsia="zh-CN"/>
              </w:rPr>
              <w:t>20</w:t>
            </w:r>
            <w:r>
              <w:rPr>
                <w:rFonts w:hint="eastAsia"/>
                <w:bCs/>
                <w:color w:val="auto"/>
                <w:szCs w:val="22"/>
                <w:u w:val="none"/>
              </w:rPr>
              <w:t>日，连续进行3天；</w:t>
            </w:r>
          </w:p>
          <w:p>
            <w:pPr>
              <w:pStyle w:val="48"/>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eastAsia="宋体"/>
                <w:bCs/>
                <w:color w:val="auto"/>
                <w:szCs w:val="22"/>
                <w:u w:val="none"/>
                <w:lang w:eastAsia="zh-CN"/>
              </w:rPr>
            </w:pPr>
            <w:r>
              <w:rPr>
                <w:rFonts w:hint="eastAsia"/>
                <w:bCs/>
                <w:color w:val="auto"/>
                <w:szCs w:val="22"/>
                <w:u w:val="none"/>
              </w:rPr>
              <w:t>（</w:t>
            </w:r>
            <w:r>
              <w:rPr>
                <w:rFonts w:hint="eastAsia"/>
                <w:bCs/>
                <w:color w:val="auto"/>
                <w:szCs w:val="22"/>
                <w:u w:val="none"/>
                <w:lang w:val="en-US" w:eastAsia="zh-CN"/>
              </w:rPr>
              <w:t>5</w:t>
            </w:r>
            <w:r>
              <w:rPr>
                <w:rFonts w:hint="eastAsia"/>
                <w:bCs/>
                <w:color w:val="auto"/>
                <w:szCs w:val="22"/>
                <w:u w:val="none"/>
              </w:rPr>
              <w:t>）监测分析方法</w:t>
            </w:r>
            <w:r>
              <w:rPr>
                <w:rFonts w:hint="eastAsia"/>
                <w:bCs/>
                <w:color w:val="auto"/>
                <w:szCs w:val="22"/>
                <w:u w:val="none"/>
                <w:lang w:eastAsia="zh-CN"/>
              </w:rPr>
              <w:t>：</w:t>
            </w:r>
            <w:r>
              <w:rPr>
                <w:rFonts w:hint="eastAsia"/>
                <w:bCs/>
                <w:color w:val="auto"/>
                <w:szCs w:val="22"/>
                <w:u w:val="none"/>
              </w:rPr>
              <w:t>按国家环保局颁发的《环境监测技术规范》的有关规定和要求进行</w:t>
            </w:r>
            <w:r>
              <w:rPr>
                <w:rFonts w:hint="eastAsia"/>
                <w:bCs/>
                <w:color w:val="auto"/>
                <w:szCs w:val="22"/>
                <w:u w:val="none"/>
                <w:lang w:eastAsia="zh-CN"/>
              </w:rPr>
              <w:t>；</w:t>
            </w:r>
          </w:p>
          <w:p>
            <w:pPr>
              <w:pStyle w:val="48"/>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bCs/>
                <w:color w:val="auto"/>
                <w:szCs w:val="22"/>
                <w:u w:val="none"/>
              </w:rPr>
            </w:pPr>
            <w:r>
              <w:rPr>
                <w:rFonts w:hint="eastAsia"/>
                <w:bCs/>
                <w:color w:val="auto"/>
                <w:szCs w:val="22"/>
                <w:u w:val="none"/>
                <w:lang w:eastAsia="zh-CN"/>
              </w:rPr>
              <w:t>（</w:t>
            </w:r>
            <w:r>
              <w:rPr>
                <w:rFonts w:hint="eastAsia"/>
                <w:bCs/>
                <w:color w:val="auto"/>
                <w:szCs w:val="22"/>
                <w:u w:val="none"/>
                <w:lang w:val="en-US" w:eastAsia="zh-CN"/>
              </w:rPr>
              <w:t>6</w:t>
            </w:r>
            <w:r>
              <w:rPr>
                <w:rFonts w:hint="eastAsia"/>
                <w:bCs/>
                <w:color w:val="auto"/>
                <w:szCs w:val="22"/>
                <w:u w:val="none"/>
                <w:lang w:eastAsia="zh-CN"/>
              </w:rPr>
              <w:t>）</w:t>
            </w:r>
            <w:r>
              <w:rPr>
                <w:rFonts w:hint="eastAsia"/>
                <w:bCs/>
                <w:color w:val="auto"/>
                <w:szCs w:val="22"/>
                <w:u w:val="none"/>
              </w:rPr>
              <w:t>评价方法：采用检出率，超标率及超标倍数法。</w:t>
            </w:r>
          </w:p>
          <w:p>
            <w:pPr>
              <w:pStyle w:val="48"/>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bCs/>
                <w:color w:val="auto"/>
                <w:szCs w:val="22"/>
                <w:u w:val="none"/>
              </w:rPr>
            </w:pPr>
            <w:r>
              <w:rPr>
                <w:rFonts w:hint="eastAsia"/>
                <w:bCs/>
                <w:color w:val="auto"/>
                <w:szCs w:val="22"/>
                <w:u w:val="none"/>
                <w:lang w:eastAsia="zh-CN"/>
              </w:rPr>
              <w:t>（</w:t>
            </w:r>
            <w:r>
              <w:rPr>
                <w:rFonts w:hint="eastAsia"/>
                <w:bCs/>
                <w:color w:val="auto"/>
                <w:szCs w:val="22"/>
                <w:u w:val="none"/>
                <w:lang w:val="en-US" w:eastAsia="zh-CN"/>
              </w:rPr>
              <w:t>7</w:t>
            </w:r>
            <w:r>
              <w:rPr>
                <w:rFonts w:hint="eastAsia"/>
                <w:bCs/>
                <w:color w:val="auto"/>
                <w:szCs w:val="22"/>
                <w:u w:val="none"/>
                <w:lang w:eastAsia="zh-CN"/>
              </w:rPr>
              <w:t>）</w:t>
            </w:r>
            <w:r>
              <w:rPr>
                <w:rFonts w:hint="eastAsia"/>
                <w:bCs/>
                <w:color w:val="auto"/>
                <w:szCs w:val="22"/>
                <w:u w:val="none"/>
              </w:rPr>
              <w:t>评价标准：执行《地下水质量标准》（GB/T14848-2017）中III类标准。</w:t>
            </w:r>
          </w:p>
          <w:p>
            <w:pPr>
              <w:pStyle w:val="48"/>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bCs/>
                <w:color w:val="auto"/>
                <w:szCs w:val="22"/>
                <w:u w:val="none"/>
              </w:rPr>
            </w:pPr>
            <w:r>
              <w:rPr>
                <w:rFonts w:hint="eastAsia"/>
                <w:bCs/>
                <w:color w:val="auto"/>
                <w:szCs w:val="22"/>
                <w:u w:val="none"/>
              </w:rPr>
              <w:t>（</w:t>
            </w:r>
            <w:r>
              <w:rPr>
                <w:rFonts w:hint="eastAsia"/>
                <w:bCs/>
                <w:color w:val="auto"/>
                <w:szCs w:val="22"/>
                <w:u w:val="none"/>
                <w:lang w:val="en-US" w:eastAsia="zh-CN"/>
              </w:rPr>
              <w:t>8</w:t>
            </w:r>
            <w:r>
              <w:rPr>
                <w:rFonts w:hint="eastAsia"/>
                <w:bCs/>
                <w:color w:val="auto"/>
                <w:szCs w:val="22"/>
                <w:u w:val="none"/>
              </w:rPr>
              <w:t>）监测结果</w:t>
            </w:r>
            <w:r>
              <w:rPr>
                <w:rFonts w:hint="eastAsia"/>
                <w:bCs/>
                <w:color w:val="auto"/>
                <w:szCs w:val="22"/>
                <w:u w:val="none"/>
                <w:lang w:eastAsia="zh-CN"/>
              </w:rPr>
              <w:t>：</w:t>
            </w:r>
            <w:r>
              <w:rPr>
                <w:rFonts w:hint="eastAsia"/>
                <w:bCs/>
                <w:color w:val="auto"/>
                <w:szCs w:val="22"/>
                <w:u w:val="none"/>
              </w:rPr>
              <w:t>地下水现状监测结果见表3-</w:t>
            </w:r>
            <w:r>
              <w:rPr>
                <w:rFonts w:hint="eastAsia"/>
                <w:bCs/>
                <w:color w:val="auto"/>
                <w:szCs w:val="22"/>
                <w:u w:val="none"/>
                <w:lang w:val="en-US" w:eastAsia="zh-CN"/>
              </w:rPr>
              <w:t>7</w:t>
            </w:r>
            <w:r>
              <w:rPr>
                <w:rFonts w:hint="eastAsia"/>
                <w:bCs/>
                <w:color w:val="auto"/>
                <w:szCs w:val="22"/>
                <w:u w:val="none"/>
              </w:rPr>
              <w:t>：</w:t>
            </w:r>
          </w:p>
          <w:p>
            <w:pPr>
              <w:pStyle w:val="84"/>
              <w:spacing w:line="240" w:lineRule="auto"/>
              <w:ind w:right="0" w:rightChars="0" w:firstLine="0" w:firstLineChars="0"/>
              <w:jc w:val="center"/>
              <w:rPr>
                <w:rFonts w:hint="default" w:ascii="Times New Roman" w:hAnsi="Times New Roman" w:cs="Times New Roman"/>
                <w:b/>
                <w:bCs w:val="0"/>
                <w:sz w:val="21"/>
                <w:szCs w:val="21"/>
              </w:rPr>
            </w:pPr>
            <w:r>
              <w:rPr>
                <w:rFonts w:hint="default" w:ascii="Times New Roman" w:hAnsi="Times New Roman" w:cs="Times New Roman"/>
                <w:b/>
                <w:bCs w:val="0"/>
                <w:sz w:val="21"/>
                <w:szCs w:val="21"/>
              </w:rPr>
              <w:t>表</w:t>
            </w:r>
            <w:r>
              <w:rPr>
                <w:rFonts w:hint="eastAsia" w:ascii="Times New Roman" w:hAnsi="Times New Roman" w:cs="Times New Roman"/>
                <w:b/>
                <w:bCs w:val="0"/>
                <w:sz w:val="21"/>
                <w:szCs w:val="21"/>
                <w:lang w:val="en-US" w:eastAsia="zh-CN"/>
              </w:rPr>
              <w:t>3-7</w:t>
            </w:r>
            <w:r>
              <w:rPr>
                <w:rFonts w:hint="default" w:ascii="Times New Roman" w:hAnsi="Times New Roman" w:cs="Times New Roman"/>
                <w:b/>
                <w:bCs w:val="0"/>
                <w:sz w:val="21"/>
                <w:szCs w:val="21"/>
              </w:rPr>
              <w:t xml:space="preserve">   地下水监测及统计结果</w:t>
            </w:r>
          </w:p>
          <w:tbl>
            <w:tblPr>
              <w:tblStyle w:val="27"/>
              <w:tblW w:w="88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282"/>
              <w:gridCol w:w="1233"/>
              <w:gridCol w:w="1144"/>
              <w:gridCol w:w="1227"/>
              <w:gridCol w:w="1191"/>
              <w:gridCol w:w="12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577" w:type="dxa"/>
                  <w:vMerge w:val="restart"/>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采样点位</w:t>
                  </w:r>
                </w:p>
              </w:tc>
              <w:tc>
                <w:tcPr>
                  <w:tcW w:w="1282" w:type="dxa"/>
                  <w:vMerge w:val="restart"/>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检测因子</w:t>
                  </w:r>
                </w:p>
              </w:tc>
              <w:tc>
                <w:tcPr>
                  <w:tcW w:w="1233" w:type="dxa"/>
                  <w:vMerge w:val="restart"/>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单位</w:t>
                  </w:r>
                </w:p>
              </w:tc>
              <w:tc>
                <w:tcPr>
                  <w:tcW w:w="3562" w:type="dxa"/>
                  <w:gridSpan w:val="3"/>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采样时间及检测结果</w:t>
                  </w:r>
                </w:p>
              </w:tc>
              <w:tc>
                <w:tcPr>
                  <w:tcW w:w="1244" w:type="dxa"/>
                  <w:vMerge w:val="restart"/>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vMerge w:val="continue"/>
                  <w:noWrap w:val="0"/>
                  <w:vAlign w:val="center"/>
                </w:tcPr>
                <w:p>
                  <w:pPr>
                    <w:widowControl/>
                    <w:jc w:val="center"/>
                    <w:rPr>
                      <w:rFonts w:hint="default" w:ascii="Times New Roman" w:hAnsi="Times New Roman" w:cs="Times New Roman"/>
                      <w:kern w:val="0"/>
                      <w:szCs w:val="21"/>
                    </w:rPr>
                  </w:pPr>
                </w:p>
              </w:tc>
              <w:tc>
                <w:tcPr>
                  <w:tcW w:w="1233" w:type="dxa"/>
                  <w:vMerge w:val="continue"/>
                  <w:noWrap w:val="0"/>
                  <w:vAlign w:val="center"/>
                </w:tcPr>
                <w:p>
                  <w:pPr>
                    <w:widowControl/>
                    <w:jc w:val="center"/>
                    <w:rPr>
                      <w:rFonts w:hint="default" w:ascii="Times New Roman" w:hAnsi="Times New Roman" w:cs="Times New Roman"/>
                      <w:kern w:val="0"/>
                      <w:szCs w:val="21"/>
                    </w:rPr>
                  </w:pPr>
                </w:p>
              </w:tc>
              <w:tc>
                <w:tcPr>
                  <w:tcW w:w="1144" w:type="dxa"/>
                  <w:noWrap w:val="0"/>
                  <w:vAlign w:val="center"/>
                </w:tcPr>
                <w:p>
                  <w:pPr>
                    <w:widowControl/>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1</w:t>
                  </w:r>
                  <w:r>
                    <w:rPr>
                      <w:rFonts w:hint="eastAsia" w:ascii="Times New Roman" w:hAnsi="Times New Roman" w:cs="Times New Roman"/>
                      <w:kern w:val="0"/>
                      <w:szCs w:val="21"/>
                      <w:lang w:val="en-US" w:eastAsia="zh-CN"/>
                    </w:rPr>
                    <w:t>2</w:t>
                  </w:r>
                  <w:r>
                    <w:rPr>
                      <w:rFonts w:hint="default" w:ascii="Times New Roman" w:hAnsi="Times New Roman" w:cs="Times New Roman"/>
                      <w:kern w:val="0"/>
                      <w:szCs w:val="21"/>
                    </w:rPr>
                    <w:t>月</w:t>
                  </w:r>
                  <w:r>
                    <w:rPr>
                      <w:rFonts w:hint="eastAsia" w:ascii="Times New Roman" w:hAnsi="Times New Roman" w:cs="Times New Roman"/>
                      <w:kern w:val="0"/>
                      <w:szCs w:val="21"/>
                      <w:lang w:val="en-US" w:eastAsia="zh-CN"/>
                    </w:rPr>
                    <w:t>18</w:t>
                  </w:r>
                  <w:r>
                    <w:rPr>
                      <w:rFonts w:hint="default" w:ascii="Times New Roman" w:hAnsi="Times New Roman" w:cs="Times New Roman"/>
                      <w:kern w:val="0"/>
                      <w:szCs w:val="21"/>
                    </w:rPr>
                    <w:t>日</w:t>
                  </w:r>
                </w:p>
              </w:tc>
              <w:tc>
                <w:tcPr>
                  <w:tcW w:w="1227" w:type="dxa"/>
                  <w:noWrap w:val="0"/>
                  <w:vAlign w:val="center"/>
                </w:tcPr>
                <w:p>
                  <w:pPr>
                    <w:widowControl/>
                    <w:adjustRightInd w:val="0"/>
                    <w:snapToGrid w:val="0"/>
                    <w:jc w:val="center"/>
                    <w:rPr>
                      <w:rFonts w:hint="default" w:ascii="Times New Roman" w:hAnsi="Times New Roman" w:cs="Times New Roman"/>
                      <w:kern w:val="0"/>
                      <w:szCs w:val="21"/>
                    </w:rPr>
                  </w:pPr>
                  <w:r>
                    <w:rPr>
                      <w:rFonts w:hint="eastAsia" w:ascii="Times New Roman" w:hAnsi="Times New Roman" w:cs="Times New Roman"/>
                      <w:kern w:val="0"/>
                      <w:szCs w:val="21"/>
                      <w:lang w:val="en-US" w:eastAsia="zh-CN"/>
                    </w:rPr>
                    <w:t>12</w:t>
                  </w:r>
                  <w:r>
                    <w:rPr>
                      <w:rFonts w:hint="default" w:ascii="Times New Roman" w:hAnsi="Times New Roman" w:cs="Times New Roman"/>
                      <w:kern w:val="0"/>
                      <w:szCs w:val="21"/>
                    </w:rPr>
                    <w:t>月</w:t>
                  </w:r>
                  <w:r>
                    <w:rPr>
                      <w:rFonts w:hint="eastAsia" w:ascii="Times New Roman" w:hAnsi="Times New Roman" w:cs="Times New Roman"/>
                      <w:kern w:val="0"/>
                      <w:szCs w:val="21"/>
                      <w:lang w:val="en-US" w:eastAsia="zh-CN"/>
                    </w:rPr>
                    <w:t>19</w:t>
                  </w:r>
                  <w:r>
                    <w:rPr>
                      <w:rFonts w:hint="default" w:ascii="Times New Roman" w:hAnsi="Times New Roman" w:cs="Times New Roman"/>
                      <w:kern w:val="0"/>
                      <w:szCs w:val="21"/>
                    </w:rPr>
                    <w:t>日</w:t>
                  </w:r>
                </w:p>
              </w:tc>
              <w:tc>
                <w:tcPr>
                  <w:tcW w:w="1191" w:type="dxa"/>
                  <w:noWrap w:val="0"/>
                  <w:vAlign w:val="center"/>
                </w:tcPr>
                <w:p>
                  <w:pPr>
                    <w:widowControl/>
                    <w:adjustRightInd w:val="0"/>
                    <w:snapToGrid w:val="0"/>
                    <w:jc w:val="center"/>
                    <w:rPr>
                      <w:rFonts w:hint="default" w:ascii="Times New Roman" w:hAnsi="Times New Roman" w:cs="Times New Roman"/>
                      <w:kern w:val="0"/>
                      <w:szCs w:val="21"/>
                    </w:rPr>
                  </w:pPr>
                  <w:r>
                    <w:rPr>
                      <w:rFonts w:hint="eastAsia" w:ascii="Times New Roman" w:hAnsi="Times New Roman" w:cs="Times New Roman"/>
                      <w:kern w:val="0"/>
                      <w:szCs w:val="21"/>
                      <w:lang w:val="en-US" w:eastAsia="zh-CN"/>
                    </w:rPr>
                    <w:t>12</w:t>
                  </w:r>
                  <w:r>
                    <w:rPr>
                      <w:rFonts w:hint="default" w:ascii="Times New Roman" w:hAnsi="Times New Roman" w:cs="Times New Roman"/>
                      <w:kern w:val="0"/>
                      <w:szCs w:val="21"/>
                    </w:rPr>
                    <w:t>月</w:t>
                  </w:r>
                  <w:r>
                    <w:rPr>
                      <w:rFonts w:hint="eastAsia" w:ascii="Times New Roman" w:hAnsi="Times New Roman" w:cs="Times New Roman"/>
                      <w:kern w:val="0"/>
                      <w:szCs w:val="21"/>
                      <w:lang w:val="en-US" w:eastAsia="zh-CN"/>
                    </w:rPr>
                    <w:t>20</w:t>
                  </w:r>
                  <w:r>
                    <w:rPr>
                      <w:rFonts w:hint="default" w:ascii="Times New Roman" w:hAnsi="Times New Roman" w:cs="Times New Roman"/>
                      <w:kern w:val="0"/>
                      <w:szCs w:val="21"/>
                    </w:rPr>
                    <w:t>日</w:t>
                  </w:r>
                </w:p>
              </w:tc>
              <w:tc>
                <w:tcPr>
                  <w:tcW w:w="1244" w:type="dxa"/>
                  <w:vMerge w:val="continue"/>
                  <w:noWrap w:val="0"/>
                  <w:vAlign w:val="center"/>
                </w:tcPr>
                <w:p>
                  <w:pPr>
                    <w:widowControl/>
                    <w:ind w:left="-63" w:leftChars="-30" w:right="-63" w:rightChars="-30"/>
                    <w:jc w:val="center"/>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restart"/>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D1</w:t>
                  </w:r>
                </w:p>
              </w:tc>
              <w:tc>
                <w:tcPr>
                  <w:tcW w:w="1282" w:type="dxa"/>
                  <w:noWrap w:val="0"/>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pH值</w:t>
                  </w:r>
                </w:p>
              </w:tc>
              <w:tc>
                <w:tcPr>
                  <w:tcW w:w="1233"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无量纲</w:t>
                  </w:r>
                </w:p>
              </w:tc>
              <w:tc>
                <w:tcPr>
                  <w:tcW w:w="1144" w:type="dxa"/>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7.56</w:t>
                  </w:r>
                </w:p>
              </w:tc>
              <w:tc>
                <w:tcPr>
                  <w:tcW w:w="1227" w:type="dxa"/>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7.51</w:t>
                  </w:r>
                </w:p>
              </w:tc>
              <w:tc>
                <w:tcPr>
                  <w:tcW w:w="1191" w:type="dxa"/>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7.56</w:t>
                  </w:r>
                </w:p>
              </w:tc>
              <w:tc>
                <w:tcPr>
                  <w:tcW w:w="1244"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6.5~8.5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szCs w:val="21"/>
                      <w:u w:val="none"/>
                    </w:rPr>
                    <w:t>耗氧量</w:t>
                  </w:r>
                </w:p>
              </w:tc>
              <w:tc>
                <w:tcPr>
                  <w:tcW w:w="1233"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lang w:val="en-US" w:eastAsia="zh-CN"/>
                    </w:rPr>
                    <w:t>0.67</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lang w:val="en-US" w:eastAsia="zh-CN"/>
                    </w:rPr>
                    <w:t>0.60</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lang w:val="en-US" w:eastAsia="zh-CN"/>
                    </w:rPr>
                    <w:t>0.64</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氨氮</w:t>
                  </w:r>
                </w:p>
              </w:tc>
              <w:tc>
                <w:tcPr>
                  <w:tcW w:w="1233"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lang w:val="en-US" w:eastAsia="zh-CN"/>
                    </w:rPr>
                    <w:t>0.324</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lang w:val="en-US" w:eastAsia="zh-CN"/>
                    </w:rPr>
                    <w:t>0.318</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lang w:val="en-US" w:eastAsia="zh-CN"/>
                    </w:rPr>
                    <w:t>0.313</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硝酸盐</w:t>
                  </w:r>
                </w:p>
                <w:p>
                  <w:pPr>
                    <w:jc w:val="center"/>
                    <w:rPr>
                      <w:rFonts w:hint="default" w:ascii="Times New Roman" w:hAnsi="Times New Roman" w:cs="Times New Roman"/>
                      <w:szCs w:val="21"/>
                    </w:rPr>
                  </w:pPr>
                  <w:r>
                    <w:rPr>
                      <w:rFonts w:hint="default" w:ascii="Times New Roman" w:hAnsi="Times New Roman" w:cs="Times New Roman"/>
                      <w:szCs w:val="21"/>
                    </w:rPr>
                    <w:t>（以N计）</w:t>
                  </w:r>
                </w:p>
              </w:tc>
              <w:tc>
                <w:tcPr>
                  <w:tcW w:w="1233"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10.1</w:t>
                  </w:r>
                </w:p>
              </w:tc>
              <w:tc>
                <w:tcPr>
                  <w:tcW w:w="1227" w:type="dxa"/>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9.97</w:t>
                  </w:r>
                </w:p>
              </w:tc>
              <w:tc>
                <w:tcPr>
                  <w:tcW w:w="1191" w:type="dxa"/>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10.2</w:t>
                  </w:r>
                </w:p>
              </w:tc>
              <w:tc>
                <w:tcPr>
                  <w:tcW w:w="1244"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硫酸盐</w:t>
                  </w:r>
                </w:p>
              </w:tc>
              <w:tc>
                <w:tcPr>
                  <w:tcW w:w="1233"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46.2</w:t>
                  </w:r>
                </w:p>
              </w:tc>
              <w:tc>
                <w:tcPr>
                  <w:tcW w:w="1227" w:type="dxa"/>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46.0</w:t>
                  </w:r>
                </w:p>
              </w:tc>
              <w:tc>
                <w:tcPr>
                  <w:tcW w:w="1191" w:type="dxa"/>
                  <w:noWrap w:val="0"/>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46.6</w:t>
                  </w:r>
                </w:p>
              </w:tc>
              <w:tc>
                <w:tcPr>
                  <w:tcW w:w="1244"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总硬度</w:t>
                  </w:r>
                </w:p>
              </w:tc>
              <w:tc>
                <w:tcPr>
                  <w:tcW w:w="1233"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197</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200</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199</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eastAsia="zh-CN"/>
                    </w:rPr>
                    <w:t>氰</w:t>
                  </w:r>
                  <w:r>
                    <w:rPr>
                      <w:rFonts w:hint="default" w:ascii="Times New Roman" w:hAnsi="Times New Roman" w:cs="Times New Roman"/>
                      <w:szCs w:val="21"/>
                    </w:rPr>
                    <w:t>化物</w:t>
                  </w:r>
                </w:p>
              </w:tc>
              <w:tc>
                <w:tcPr>
                  <w:tcW w:w="1233"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ND</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ND</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ND</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w:t>
                  </w:r>
                  <w:r>
                    <w:rPr>
                      <w:rFonts w:hint="eastAsia" w:ascii="Times New Roman" w:hAnsi="Times New Roman" w:cs="Times New Roman"/>
                      <w:kern w:val="0"/>
                      <w:szCs w:val="21"/>
                      <w:lang w:val="en-US" w:eastAsia="zh-CN"/>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铜</w:t>
                  </w:r>
                </w:p>
              </w:tc>
              <w:tc>
                <w:tcPr>
                  <w:tcW w:w="1233" w:type="dxa"/>
                  <w:noWrap w:val="0"/>
                  <w:vAlign w:val="center"/>
                </w:tcPr>
                <w:p>
                  <w:pPr>
                    <w:widowControl/>
                    <w:ind w:left="-105" w:leftChars="-50" w:right="-105" w:rightChars="-50"/>
                    <w:jc w:val="center"/>
                    <w:rPr>
                      <w:rFonts w:hint="default" w:ascii="Times New Roman" w:hAnsi="Times New Roman" w:cs="Times New Roman"/>
                      <w:kern w:val="0"/>
                      <w:sz w:val="18"/>
                      <w:szCs w:val="18"/>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ND</w:t>
                  </w:r>
                </w:p>
              </w:tc>
              <w:tc>
                <w:tcPr>
                  <w:tcW w:w="1227"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ND</w:t>
                  </w:r>
                </w:p>
              </w:tc>
              <w:tc>
                <w:tcPr>
                  <w:tcW w:w="1191"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ND</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w:t>
                  </w:r>
                  <w:r>
                    <w:rPr>
                      <w:rFonts w:hint="eastAsia" w:ascii="Times New Roman" w:hAnsi="Times New Roman" w:cs="Times New Roman"/>
                      <w:kern w:val="0"/>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cs="Times New Roman"/>
                      <w:szCs w:val="21"/>
                    </w:rPr>
                  </w:pPr>
                  <w:r>
                    <w:rPr>
                      <w:rFonts w:hint="default" w:ascii="Times New Roman" w:hAnsi="Times New Roman" w:cs="Times New Roman"/>
                      <w:kern w:val="44"/>
                      <w:szCs w:val="21"/>
                      <w:lang w:eastAsia="zh-CN"/>
                    </w:rPr>
                    <w:t>铅</w:t>
                  </w:r>
                </w:p>
              </w:tc>
              <w:tc>
                <w:tcPr>
                  <w:tcW w:w="1233" w:type="dxa"/>
                  <w:noWrap w:val="0"/>
                  <w:vAlign w:val="center"/>
                </w:tcPr>
                <w:p>
                  <w:pPr>
                    <w:widowControl/>
                    <w:ind w:left="-105" w:leftChars="-50" w:right="-105" w:rightChars="-50"/>
                    <w:jc w:val="center"/>
                    <w:rPr>
                      <w:rFonts w:hint="default" w:ascii="Times New Roman" w:hAnsi="Times New Roman" w:cs="Times New Roman"/>
                      <w:kern w:val="0"/>
                      <w:sz w:val="18"/>
                      <w:szCs w:val="18"/>
                    </w:rPr>
                  </w:pPr>
                  <w:r>
                    <w:rPr>
                      <w:rFonts w:hint="default" w:ascii="Times New Roman" w:hAnsi="Times New Roman" w:cs="Times New Roman"/>
                      <w:kern w:val="0"/>
                      <w:szCs w:val="21"/>
                    </w:rPr>
                    <w:t>mg/L</w:t>
                  </w:r>
                </w:p>
              </w:tc>
              <w:tc>
                <w:tcPr>
                  <w:tcW w:w="1144" w:type="dxa"/>
                  <w:noWrap w:val="0"/>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highlight w:val="none"/>
                      <w:lang w:val="en-US" w:eastAsia="zh-CN"/>
                    </w:rPr>
                    <w:t>2.7</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3</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highlight w:val="none"/>
                      <w:lang w:val="en-US" w:eastAsia="zh-CN"/>
                    </w:rPr>
                    <w:t>2.6</w:t>
                  </w:r>
                  <w:r>
                    <w:rPr>
                      <w:rFonts w:hint="default" w:ascii="Times New Roman" w:hAnsi="Times New Roman" w:cs="Times New Roman"/>
                      <w:kern w:val="0"/>
                      <w:szCs w:val="21"/>
                      <w:highlight w:val="none"/>
                    </w:rPr>
                    <w:t>×10</w:t>
                  </w:r>
                  <w:r>
                    <w:rPr>
                      <w:rFonts w:hint="eastAsia" w:ascii="Times New Roman" w:hAnsi="Times New Roman" w:cs="Times New Roman"/>
                      <w:kern w:val="0"/>
                      <w:szCs w:val="21"/>
                      <w:highlight w:val="none"/>
                      <w:vertAlign w:val="superscript"/>
                      <w:lang w:val="en-US" w:eastAsia="zh-CN"/>
                    </w:rPr>
                    <w:t>-3</w:t>
                  </w:r>
                </w:p>
              </w:tc>
              <w:tc>
                <w:tcPr>
                  <w:tcW w:w="1191" w:type="dxa"/>
                  <w:noWrap w:val="0"/>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highlight w:val="none"/>
                      <w:lang w:val="en-US" w:eastAsia="zh-CN"/>
                    </w:rPr>
                    <w:t>2.5</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3</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w:t>
                  </w:r>
                  <w:r>
                    <w:rPr>
                      <w:rFonts w:hint="default" w:ascii="Times New Roman" w:hAnsi="Times New Roman" w:cs="Times New Roman"/>
                      <w:kern w:val="0"/>
                      <w:szCs w:val="21"/>
                      <w:lang w:val="en-US" w:eastAsia="zh-CN"/>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44"/>
                      <w:sz w:val="21"/>
                      <w:szCs w:val="21"/>
                      <w:highlight w:val="none"/>
                      <w:lang w:val="en-US" w:eastAsia="zh-CN" w:bidi="ar-SA"/>
                    </w:rPr>
                  </w:pPr>
                  <w:r>
                    <w:rPr>
                      <w:rFonts w:hint="default" w:ascii="Times New Roman" w:hAnsi="Times New Roman" w:cs="Times New Roman"/>
                      <w:kern w:val="44"/>
                      <w:szCs w:val="21"/>
                      <w:highlight w:val="none"/>
                      <w:lang w:eastAsia="zh-CN"/>
                    </w:rPr>
                    <w:t>镉</w:t>
                  </w:r>
                </w:p>
              </w:tc>
              <w:tc>
                <w:tcPr>
                  <w:tcW w:w="1233" w:type="dxa"/>
                  <w:noWrap w:val="0"/>
                  <w:vAlign w:val="center"/>
                </w:tcPr>
                <w:p>
                  <w:pPr>
                    <w:widowControl/>
                    <w:ind w:left="-105" w:leftChars="-50" w:right="-105" w:rightChars="-50"/>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Cs w:val="21"/>
                      <w:highlight w:val="none"/>
                    </w:rPr>
                    <w:t>mg/L</w:t>
                  </w:r>
                </w:p>
              </w:tc>
              <w:tc>
                <w:tcPr>
                  <w:tcW w:w="1144" w:type="dxa"/>
                  <w:noWrap w:val="0"/>
                  <w:vAlign w:val="center"/>
                </w:tcPr>
                <w:p>
                  <w:pPr>
                    <w:widowControl/>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Cs w:val="21"/>
                      <w:highlight w:val="none"/>
                      <w:lang w:val="en-US" w:eastAsia="zh-CN"/>
                    </w:rPr>
                    <w:t>4</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4</w:t>
                  </w:r>
                </w:p>
              </w:tc>
              <w:tc>
                <w:tcPr>
                  <w:tcW w:w="1227" w:type="dxa"/>
                  <w:noWrap w:val="0"/>
                  <w:vAlign w:val="center"/>
                </w:tcPr>
                <w:p>
                  <w:pPr>
                    <w:widowControl/>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Cs w:val="21"/>
                      <w:highlight w:val="none"/>
                      <w:lang w:val="en-US" w:eastAsia="zh-CN"/>
                    </w:rPr>
                    <w:t>3</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4</w:t>
                  </w:r>
                </w:p>
              </w:tc>
              <w:tc>
                <w:tcPr>
                  <w:tcW w:w="1191" w:type="dxa"/>
                  <w:noWrap w:val="0"/>
                  <w:vAlign w:val="center"/>
                </w:tcPr>
                <w:p>
                  <w:pPr>
                    <w:widowControl/>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Cs w:val="21"/>
                      <w:highlight w:val="none"/>
                      <w:lang w:val="en-US" w:eastAsia="zh-CN"/>
                    </w:rPr>
                    <w:t>3</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4</w:t>
                  </w:r>
                </w:p>
              </w:tc>
              <w:tc>
                <w:tcPr>
                  <w:tcW w:w="1244"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Cs w:val="21"/>
                      <w:highlight w:val="none"/>
                    </w:rPr>
                    <w:t>≤</w:t>
                  </w:r>
                  <w:r>
                    <w:rPr>
                      <w:rFonts w:hint="default" w:ascii="Times New Roman" w:hAnsi="Times New Roman" w:cs="Times New Roman"/>
                      <w:kern w:val="0"/>
                      <w:szCs w:val="21"/>
                      <w:highlight w:val="none"/>
                      <w:lang w:val="en-US" w:eastAsia="zh-CN"/>
                    </w:rPr>
                    <w:t>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44"/>
                      <w:szCs w:val="21"/>
                      <w:lang w:eastAsia="zh-CN"/>
                    </w:rPr>
                    <w:t>砷</w:t>
                  </w:r>
                </w:p>
              </w:tc>
              <w:tc>
                <w:tcPr>
                  <w:tcW w:w="1233" w:type="dxa"/>
                  <w:noWrap w:val="0"/>
                  <w:vAlign w:val="center"/>
                </w:tcPr>
                <w:p>
                  <w:pPr>
                    <w:widowControl/>
                    <w:ind w:left="-105" w:leftChars="-50" w:right="-105" w:rightChars="-50"/>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highlight w:val="none"/>
                      <w:lang w:val="en-US" w:eastAsia="zh-CN"/>
                    </w:rPr>
                    <w:t>1.50</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4</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highlight w:val="none"/>
                      <w:lang w:val="en-US" w:eastAsia="zh-CN"/>
                    </w:rPr>
                    <w:t>1.49</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4</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highlight w:val="none"/>
                      <w:lang w:val="en-US" w:eastAsia="zh-CN"/>
                    </w:rPr>
                    <w:t>1.53</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4</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w:t>
                  </w:r>
                  <w:r>
                    <w:rPr>
                      <w:rFonts w:hint="default" w:ascii="Times New Roman" w:hAnsi="Times New Roman" w:cs="Times New Roman"/>
                      <w:kern w:val="0"/>
                      <w:szCs w:val="21"/>
                      <w:lang w:val="en-US" w:eastAsia="zh-CN"/>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44"/>
                      <w:sz w:val="21"/>
                      <w:szCs w:val="21"/>
                      <w:highlight w:val="none"/>
                      <w:lang w:val="en-US" w:eastAsia="zh-CN" w:bidi="ar-SA"/>
                    </w:rPr>
                  </w:pPr>
                  <w:r>
                    <w:rPr>
                      <w:rFonts w:hint="eastAsia" w:ascii="Times New Roman" w:hAnsi="Times New Roman" w:cs="Times New Roman"/>
                      <w:kern w:val="44"/>
                      <w:szCs w:val="21"/>
                      <w:highlight w:val="none"/>
                      <w:lang w:eastAsia="zh-CN"/>
                    </w:rPr>
                    <w:t>六价铬</w:t>
                  </w:r>
                </w:p>
              </w:tc>
              <w:tc>
                <w:tcPr>
                  <w:tcW w:w="1233" w:type="dxa"/>
                  <w:noWrap w:val="0"/>
                  <w:vAlign w:val="center"/>
                </w:tcPr>
                <w:p>
                  <w:pPr>
                    <w:widowControl/>
                    <w:ind w:left="-105" w:leftChars="-50" w:right="-105" w:rightChars="-50"/>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Cs w:val="21"/>
                      <w:highlight w:val="none"/>
                    </w:rPr>
                    <w:t>mg/L</w:t>
                  </w:r>
                </w:p>
              </w:tc>
              <w:tc>
                <w:tcPr>
                  <w:tcW w:w="1144"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0.006</w:t>
                  </w:r>
                </w:p>
              </w:tc>
              <w:tc>
                <w:tcPr>
                  <w:tcW w:w="1227"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0.005</w:t>
                  </w:r>
                </w:p>
              </w:tc>
              <w:tc>
                <w:tcPr>
                  <w:tcW w:w="1191"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0.007</w:t>
                  </w:r>
                </w:p>
              </w:tc>
              <w:tc>
                <w:tcPr>
                  <w:tcW w:w="1244"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Cs w:val="21"/>
                      <w:highlight w:val="none"/>
                    </w:rPr>
                    <w:t>≤</w:t>
                  </w:r>
                  <w:r>
                    <w:rPr>
                      <w:rFonts w:hint="default" w:ascii="Times New Roman" w:hAnsi="Times New Roman" w:cs="Times New Roman"/>
                      <w:kern w:val="0"/>
                      <w:szCs w:val="21"/>
                      <w:highlight w:val="none"/>
                      <w:lang w:val="en-US" w:eastAsia="zh-CN"/>
                    </w:rPr>
                    <w:t>0.0</w:t>
                  </w:r>
                  <w:r>
                    <w:rPr>
                      <w:rFonts w:hint="eastAsia" w:ascii="Times New Roman" w:hAnsi="Times New Roman" w:cs="Times New Roman"/>
                      <w:kern w:val="0"/>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eastAsia" w:ascii="Times New Roman" w:hAnsi="Times New Roman" w:cs="Times New Roman"/>
                      <w:kern w:val="44"/>
                      <w:szCs w:val="21"/>
                      <w:highlight w:val="none"/>
                      <w:lang w:eastAsia="zh-CN"/>
                    </w:rPr>
                  </w:pPr>
                  <w:r>
                    <w:rPr>
                      <w:rFonts w:hint="eastAsia" w:ascii="Times New Roman" w:hAnsi="Times New Roman" w:cs="Times New Roman"/>
                      <w:kern w:val="44"/>
                      <w:szCs w:val="21"/>
                      <w:highlight w:val="none"/>
                      <w:lang w:eastAsia="zh-CN"/>
                    </w:rPr>
                    <w:t>总大肠菌群</w:t>
                  </w:r>
                </w:p>
              </w:tc>
              <w:tc>
                <w:tcPr>
                  <w:tcW w:w="1233" w:type="dxa"/>
                  <w:noWrap w:val="0"/>
                  <w:vAlign w:val="center"/>
                </w:tcPr>
                <w:p>
                  <w:pPr>
                    <w:widowControl/>
                    <w:ind w:left="-105" w:leftChars="-50" w:right="-105" w:rightChars="-50"/>
                    <w:jc w:val="center"/>
                    <w:rPr>
                      <w:rFonts w:hint="default" w:ascii="Times New Roman" w:hAnsi="Times New Roman" w:eastAsia="宋体" w:cs="Times New Roman"/>
                      <w:color w:val="FF0000"/>
                      <w:kern w:val="0"/>
                      <w:szCs w:val="21"/>
                      <w:highlight w:val="none"/>
                      <w:u w:val="wave"/>
                      <w:lang w:val="en-US" w:eastAsia="zh-CN"/>
                    </w:rPr>
                  </w:pPr>
                  <w:r>
                    <w:rPr>
                      <w:rFonts w:hint="eastAsia" w:cs="Times New Roman"/>
                      <w:color w:val="FF0000"/>
                      <w:kern w:val="0"/>
                      <w:szCs w:val="21"/>
                      <w:highlight w:val="none"/>
                      <w:u w:val="wave"/>
                      <w:lang w:val="en-US" w:eastAsia="zh-CN"/>
                    </w:rPr>
                    <w:t>MPN/100mL</w:t>
                  </w:r>
                </w:p>
              </w:tc>
              <w:tc>
                <w:tcPr>
                  <w:tcW w:w="1144" w:type="dxa"/>
                  <w:noWrap w:val="0"/>
                  <w:vAlign w:val="center"/>
                </w:tcPr>
                <w:p>
                  <w:pPr>
                    <w:widowControl/>
                    <w:jc w:val="center"/>
                    <w:rPr>
                      <w:rFonts w:hint="default" w:ascii="Times New Roman" w:hAnsi="Times New Roman" w:cs="Times New Roman"/>
                      <w:kern w:val="0"/>
                      <w:szCs w:val="21"/>
                      <w:highlight w:val="none"/>
                      <w:lang w:val="en-US" w:eastAsia="zh-CN"/>
                    </w:rPr>
                  </w:pPr>
                  <w:r>
                    <w:rPr>
                      <w:rFonts w:hint="eastAsia" w:ascii="Times New Roman" w:hAnsi="Times New Roman" w:cs="Times New Roman"/>
                      <w:kern w:val="0"/>
                      <w:szCs w:val="21"/>
                      <w:highlight w:val="none"/>
                      <w:lang w:val="en-US" w:eastAsia="zh-CN"/>
                    </w:rPr>
                    <w:t>540</w:t>
                  </w:r>
                </w:p>
              </w:tc>
              <w:tc>
                <w:tcPr>
                  <w:tcW w:w="1227" w:type="dxa"/>
                  <w:noWrap w:val="0"/>
                  <w:vAlign w:val="center"/>
                </w:tcPr>
                <w:p>
                  <w:pPr>
                    <w:widowControl/>
                    <w:jc w:val="center"/>
                    <w:rPr>
                      <w:rFonts w:hint="default" w:ascii="Times New Roman" w:hAnsi="Times New Roman" w:cs="Times New Roman"/>
                      <w:kern w:val="0"/>
                      <w:szCs w:val="21"/>
                      <w:highlight w:val="none"/>
                      <w:lang w:val="en-US" w:eastAsia="zh-CN"/>
                    </w:rPr>
                  </w:pPr>
                  <w:r>
                    <w:rPr>
                      <w:rFonts w:hint="eastAsia" w:ascii="Times New Roman" w:hAnsi="Times New Roman" w:cs="Times New Roman"/>
                      <w:kern w:val="0"/>
                      <w:szCs w:val="21"/>
                      <w:highlight w:val="none"/>
                      <w:lang w:val="en-US" w:eastAsia="zh-CN"/>
                    </w:rPr>
                    <w:t>350</w:t>
                  </w:r>
                </w:p>
              </w:tc>
              <w:tc>
                <w:tcPr>
                  <w:tcW w:w="1191" w:type="dxa"/>
                  <w:noWrap w:val="0"/>
                  <w:vAlign w:val="center"/>
                </w:tcPr>
                <w:p>
                  <w:pPr>
                    <w:widowControl/>
                    <w:jc w:val="center"/>
                    <w:rPr>
                      <w:rFonts w:hint="default" w:ascii="Times New Roman" w:hAnsi="Times New Roman" w:cs="Times New Roman"/>
                      <w:kern w:val="0"/>
                      <w:szCs w:val="21"/>
                      <w:highlight w:val="none"/>
                      <w:lang w:val="en-US" w:eastAsia="zh-CN"/>
                    </w:rPr>
                  </w:pPr>
                  <w:r>
                    <w:rPr>
                      <w:rFonts w:hint="eastAsia" w:ascii="Times New Roman" w:hAnsi="Times New Roman" w:cs="Times New Roman"/>
                      <w:kern w:val="0"/>
                      <w:szCs w:val="21"/>
                      <w:highlight w:val="none"/>
                      <w:lang w:val="en-US" w:eastAsia="zh-CN"/>
                    </w:rPr>
                    <w:t>350</w:t>
                  </w:r>
                </w:p>
              </w:tc>
              <w:tc>
                <w:tcPr>
                  <w:tcW w:w="1244" w:type="dxa"/>
                  <w:noWrap w:val="0"/>
                  <w:vAlign w:val="center"/>
                </w:tcPr>
                <w:p>
                  <w:pPr>
                    <w:widowControl/>
                    <w:jc w:val="center"/>
                    <w:rPr>
                      <w:rFonts w:hint="default" w:ascii="Times New Roman" w:hAnsi="Times New Roman" w:eastAsia="宋体" w:cs="Times New Roman"/>
                      <w:kern w:val="0"/>
                      <w:szCs w:val="21"/>
                      <w:highlight w:val="none"/>
                      <w:lang w:val="en-US" w:eastAsia="zh-CN"/>
                    </w:rPr>
                  </w:pPr>
                  <w:r>
                    <w:rPr>
                      <w:rFonts w:hint="default" w:ascii="Times New Roman" w:hAnsi="Times New Roman" w:cs="Times New Roman"/>
                      <w:kern w:val="0"/>
                      <w:szCs w:val="21"/>
                      <w:highlight w:val="none"/>
                    </w:rPr>
                    <w:t>≤</w:t>
                  </w:r>
                  <w:r>
                    <w:rPr>
                      <w:rFonts w:hint="eastAsia" w:ascii="Times New Roman" w:hAnsi="Times New Roman" w:cs="Times New Roman"/>
                      <w:kern w:val="0"/>
                      <w:szCs w:val="21"/>
                      <w:highlight w:val="none"/>
                      <w:lang w:val="en-US" w:eastAsia="zh-CN"/>
                    </w:rPr>
                    <w:t>3.0个/L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restart"/>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D2</w:t>
                  </w:r>
                </w:p>
              </w:tc>
              <w:tc>
                <w:tcPr>
                  <w:tcW w:w="1282" w:type="dxa"/>
                  <w:noWrap w:val="0"/>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szCs w:val="21"/>
                    </w:rPr>
                    <w:t>pH值</w:t>
                  </w:r>
                </w:p>
              </w:tc>
              <w:tc>
                <w:tcPr>
                  <w:tcW w:w="1233"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无量纲</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7.49</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7.54</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7.58</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6.5~8.5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szCs w:val="21"/>
                      <w:u w:val="none"/>
                    </w:rPr>
                    <w:t>耗氧量</w:t>
                  </w:r>
                </w:p>
              </w:tc>
              <w:tc>
                <w:tcPr>
                  <w:tcW w:w="1233"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0.54</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0.59</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0.55</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氨氮</w:t>
                  </w:r>
                </w:p>
              </w:tc>
              <w:tc>
                <w:tcPr>
                  <w:tcW w:w="1233"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0.132</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0.126</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0.137</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硝酸盐</w:t>
                  </w:r>
                </w:p>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（以N计）</w:t>
                  </w:r>
                </w:p>
              </w:tc>
              <w:tc>
                <w:tcPr>
                  <w:tcW w:w="1233"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2.47</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2.47</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2.48</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硫酸盐</w:t>
                  </w:r>
                </w:p>
              </w:tc>
              <w:tc>
                <w:tcPr>
                  <w:tcW w:w="1233"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49.5</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48.9</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49.6</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总硬度</w:t>
                  </w:r>
                </w:p>
              </w:tc>
              <w:tc>
                <w:tcPr>
                  <w:tcW w:w="1233"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178</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188</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186</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eastAsia="zh-CN"/>
                    </w:rPr>
                    <w:t>氰</w:t>
                  </w:r>
                  <w:r>
                    <w:rPr>
                      <w:rFonts w:hint="default" w:ascii="Times New Roman" w:hAnsi="Times New Roman" w:cs="Times New Roman"/>
                      <w:szCs w:val="21"/>
                    </w:rPr>
                    <w:t>化物</w:t>
                  </w:r>
                </w:p>
              </w:tc>
              <w:tc>
                <w:tcPr>
                  <w:tcW w:w="1233"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ND</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ND</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ND</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w:t>
                  </w:r>
                  <w:r>
                    <w:rPr>
                      <w:rFonts w:hint="eastAsia" w:ascii="Times New Roman" w:hAnsi="Times New Roman" w:cs="Times New Roman"/>
                      <w:kern w:val="0"/>
                      <w:szCs w:val="21"/>
                      <w:lang w:val="en-US" w:eastAsia="zh-CN"/>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eastAsia="zh-CN"/>
                    </w:rPr>
                    <w:t>铜</w:t>
                  </w:r>
                </w:p>
              </w:tc>
              <w:tc>
                <w:tcPr>
                  <w:tcW w:w="1233" w:type="dxa"/>
                  <w:noWrap w:val="0"/>
                  <w:vAlign w:val="center"/>
                </w:tcPr>
                <w:p>
                  <w:pPr>
                    <w:widowControl/>
                    <w:ind w:left="-105" w:leftChars="-50" w:right="-105" w:rightChars="-50"/>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ND</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ND</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ND</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w:t>
                  </w:r>
                  <w:r>
                    <w:rPr>
                      <w:rFonts w:hint="eastAsia" w:ascii="Times New Roman" w:hAnsi="Times New Roman" w:cs="Times New Roman"/>
                      <w:kern w:val="0"/>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44"/>
                      <w:szCs w:val="21"/>
                      <w:lang w:eastAsia="zh-CN"/>
                    </w:rPr>
                    <w:t>铅</w:t>
                  </w:r>
                </w:p>
              </w:tc>
              <w:tc>
                <w:tcPr>
                  <w:tcW w:w="1233" w:type="dxa"/>
                  <w:noWrap w:val="0"/>
                  <w:vAlign w:val="center"/>
                </w:tcPr>
                <w:p>
                  <w:pPr>
                    <w:widowControl/>
                    <w:ind w:left="-105" w:leftChars="-50" w:right="-105" w:rightChars="-50"/>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highlight w:val="none"/>
                      <w:lang w:val="en-US" w:eastAsia="zh-CN"/>
                    </w:rPr>
                    <w:t>6.9</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4</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highlight w:val="none"/>
                      <w:lang w:val="en-US" w:eastAsia="zh-CN"/>
                    </w:rPr>
                    <w:t>9.5</w:t>
                  </w:r>
                  <w:r>
                    <w:rPr>
                      <w:rFonts w:hint="default" w:ascii="Times New Roman" w:hAnsi="Times New Roman" w:cs="Times New Roman"/>
                      <w:kern w:val="0"/>
                      <w:szCs w:val="21"/>
                      <w:highlight w:val="none"/>
                    </w:rPr>
                    <w:t>×10</w:t>
                  </w:r>
                  <w:r>
                    <w:rPr>
                      <w:rFonts w:hint="eastAsia" w:ascii="Times New Roman" w:hAnsi="Times New Roman" w:cs="Times New Roman"/>
                      <w:kern w:val="0"/>
                      <w:szCs w:val="21"/>
                      <w:highlight w:val="none"/>
                      <w:vertAlign w:val="superscript"/>
                      <w:lang w:val="en-US" w:eastAsia="zh-CN"/>
                    </w:rPr>
                    <w:t>-4</w:t>
                  </w:r>
                </w:p>
              </w:tc>
              <w:tc>
                <w:tcPr>
                  <w:tcW w:w="1191" w:type="dxa"/>
                  <w:noWrap w:val="0"/>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highlight w:val="none"/>
                      <w:lang w:val="en-US" w:eastAsia="zh-CN"/>
                    </w:rPr>
                    <w:t>8.1</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4</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w:t>
                  </w:r>
                  <w:r>
                    <w:rPr>
                      <w:rFonts w:hint="default" w:ascii="Times New Roman" w:hAnsi="Times New Roman" w:cs="Times New Roman"/>
                      <w:kern w:val="0"/>
                      <w:szCs w:val="21"/>
                      <w:lang w:val="en-US" w:eastAsia="zh-CN"/>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44"/>
                      <w:sz w:val="21"/>
                      <w:szCs w:val="21"/>
                      <w:highlight w:val="none"/>
                      <w:lang w:val="en-US" w:eastAsia="zh-CN" w:bidi="ar-SA"/>
                    </w:rPr>
                  </w:pPr>
                  <w:r>
                    <w:rPr>
                      <w:rFonts w:hint="default" w:ascii="Times New Roman" w:hAnsi="Times New Roman" w:cs="Times New Roman"/>
                      <w:kern w:val="44"/>
                      <w:szCs w:val="21"/>
                      <w:highlight w:val="none"/>
                      <w:lang w:eastAsia="zh-CN"/>
                    </w:rPr>
                    <w:t>镉</w:t>
                  </w:r>
                </w:p>
              </w:tc>
              <w:tc>
                <w:tcPr>
                  <w:tcW w:w="1233" w:type="dxa"/>
                  <w:noWrap w:val="0"/>
                  <w:vAlign w:val="center"/>
                </w:tcPr>
                <w:p>
                  <w:pPr>
                    <w:widowControl/>
                    <w:ind w:left="-105" w:leftChars="-50" w:right="-105" w:rightChars="-50"/>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Cs w:val="21"/>
                      <w:highlight w:val="none"/>
                    </w:rPr>
                    <w:t>mg/L</w:t>
                  </w:r>
                </w:p>
              </w:tc>
              <w:tc>
                <w:tcPr>
                  <w:tcW w:w="1144"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Cs w:val="21"/>
                      <w:highlight w:val="none"/>
                      <w:lang w:val="en-US" w:eastAsia="zh-CN"/>
                    </w:rPr>
                    <w:t>2</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4</w:t>
                  </w:r>
                </w:p>
              </w:tc>
              <w:tc>
                <w:tcPr>
                  <w:tcW w:w="1227"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Cs w:val="21"/>
                      <w:highlight w:val="none"/>
                      <w:lang w:val="en-US" w:eastAsia="zh-CN"/>
                    </w:rPr>
                    <w:t>2</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4</w:t>
                  </w:r>
                </w:p>
              </w:tc>
              <w:tc>
                <w:tcPr>
                  <w:tcW w:w="1191"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Cs w:val="21"/>
                      <w:highlight w:val="none"/>
                      <w:lang w:val="en-US" w:eastAsia="zh-CN"/>
                    </w:rPr>
                    <w:t>2</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4</w:t>
                  </w:r>
                </w:p>
              </w:tc>
              <w:tc>
                <w:tcPr>
                  <w:tcW w:w="1244"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Cs w:val="21"/>
                      <w:highlight w:val="none"/>
                    </w:rPr>
                    <w:t>≤</w:t>
                  </w:r>
                  <w:r>
                    <w:rPr>
                      <w:rFonts w:hint="default" w:ascii="Times New Roman" w:hAnsi="Times New Roman" w:cs="Times New Roman"/>
                      <w:kern w:val="0"/>
                      <w:szCs w:val="21"/>
                      <w:highlight w:val="none"/>
                      <w:lang w:val="en-US" w:eastAsia="zh-CN"/>
                    </w:rPr>
                    <w:t>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44"/>
                      <w:szCs w:val="21"/>
                      <w:lang w:eastAsia="zh-CN"/>
                    </w:rPr>
                    <w:t>砷</w:t>
                  </w:r>
                </w:p>
              </w:tc>
              <w:tc>
                <w:tcPr>
                  <w:tcW w:w="1233" w:type="dxa"/>
                  <w:noWrap w:val="0"/>
                  <w:vAlign w:val="center"/>
                </w:tcPr>
                <w:p>
                  <w:pPr>
                    <w:widowControl/>
                    <w:ind w:left="-105" w:leftChars="-50" w:right="-105" w:rightChars="-50"/>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highlight w:val="none"/>
                      <w:lang w:val="en-US" w:eastAsia="zh-CN"/>
                    </w:rPr>
                    <w:t>3.2</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4</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highlight w:val="none"/>
                      <w:lang w:val="en-US" w:eastAsia="zh-CN"/>
                    </w:rPr>
                    <w:t>3.3</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4</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highlight w:val="none"/>
                      <w:lang w:val="en-US" w:eastAsia="zh-CN"/>
                    </w:rPr>
                    <w:t>ND</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w:t>
                  </w:r>
                  <w:r>
                    <w:rPr>
                      <w:rFonts w:hint="default" w:ascii="Times New Roman" w:hAnsi="Times New Roman" w:cs="Times New Roman"/>
                      <w:kern w:val="0"/>
                      <w:szCs w:val="21"/>
                      <w:lang w:val="en-US" w:eastAsia="zh-CN"/>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44"/>
                      <w:sz w:val="21"/>
                      <w:szCs w:val="21"/>
                      <w:highlight w:val="none"/>
                      <w:lang w:val="en-US" w:eastAsia="zh-CN" w:bidi="ar-SA"/>
                    </w:rPr>
                  </w:pPr>
                  <w:r>
                    <w:rPr>
                      <w:rFonts w:hint="eastAsia" w:ascii="Times New Roman" w:hAnsi="Times New Roman" w:cs="Times New Roman"/>
                      <w:kern w:val="44"/>
                      <w:szCs w:val="21"/>
                      <w:highlight w:val="none"/>
                      <w:lang w:eastAsia="zh-CN"/>
                    </w:rPr>
                    <w:t>六价铬</w:t>
                  </w:r>
                </w:p>
              </w:tc>
              <w:tc>
                <w:tcPr>
                  <w:tcW w:w="1233" w:type="dxa"/>
                  <w:noWrap w:val="0"/>
                  <w:vAlign w:val="center"/>
                </w:tcPr>
                <w:p>
                  <w:pPr>
                    <w:widowControl/>
                    <w:ind w:left="-105" w:leftChars="-50" w:right="-105" w:rightChars="-50"/>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Cs w:val="21"/>
                      <w:highlight w:val="none"/>
                    </w:rPr>
                    <w:t>mg/L</w:t>
                  </w:r>
                </w:p>
              </w:tc>
              <w:tc>
                <w:tcPr>
                  <w:tcW w:w="1144"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0.006</w:t>
                  </w:r>
                </w:p>
              </w:tc>
              <w:tc>
                <w:tcPr>
                  <w:tcW w:w="1227"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0.005</w:t>
                  </w:r>
                </w:p>
              </w:tc>
              <w:tc>
                <w:tcPr>
                  <w:tcW w:w="1191"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0.007</w:t>
                  </w:r>
                </w:p>
              </w:tc>
              <w:tc>
                <w:tcPr>
                  <w:tcW w:w="1244"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Cs w:val="21"/>
                      <w:highlight w:val="none"/>
                    </w:rPr>
                    <w:t>≤</w:t>
                  </w:r>
                  <w:r>
                    <w:rPr>
                      <w:rFonts w:hint="default" w:ascii="Times New Roman" w:hAnsi="Times New Roman" w:cs="Times New Roman"/>
                      <w:kern w:val="0"/>
                      <w:szCs w:val="21"/>
                      <w:highlight w:val="none"/>
                      <w:lang w:val="en-US" w:eastAsia="zh-CN"/>
                    </w:rPr>
                    <w:t>0.0</w:t>
                  </w:r>
                  <w:r>
                    <w:rPr>
                      <w:rFonts w:hint="eastAsia" w:ascii="Times New Roman" w:hAnsi="Times New Roman" w:cs="Times New Roman"/>
                      <w:kern w:val="0"/>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44"/>
                      <w:sz w:val="21"/>
                      <w:szCs w:val="21"/>
                      <w:highlight w:val="none"/>
                      <w:lang w:val="en-US" w:eastAsia="zh-CN" w:bidi="ar-SA"/>
                    </w:rPr>
                  </w:pPr>
                  <w:r>
                    <w:rPr>
                      <w:rFonts w:hint="eastAsia" w:ascii="Times New Roman" w:hAnsi="Times New Roman" w:cs="Times New Roman"/>
                      <w:kern w:val="44"/>
                      <w:szCs w:val="21"/>
                      <w:highlight w:val="none"/>
                      <w:lang w:eastAsia="zh-CN"/>
                    </w:rPr>
                    <w:t>总大肠菌群</w:t>
                  </w:r>
                </w:p>
              </w:tc>
              <w:tc>
                <w:tcPr>
                  <w:tcW w:w="1233" w:type="dxa"/>
                  <w:noWrap w:val="0"/>
                  <w:vAlign w:val="center"/>
                </w:tcPr>
                <w:p>
                  <w:pPr>
                    <w:widowControl/>
                    <w:ind w:left="-105" w:leftChars="-50" w:right="-105" w:rightChars="-50"/>
                    <w:jc w:val="center"/>
                    <w:rPr>
                      <w:rFonts w:hint="default" w:ascii="Times New Roman" w:hAnsi="Times New Roman" w:eastAsia="宋体" w:cs="Times New Roman"/>
                      <w:kern w:val="0"/>
                      <w:sz w:val="21"/>
                      <w:szCs w:val="21"/>
                      <w:highlight w:val="none"/>
                      <w:lang w:val="en-US" w:eastAsia="zh-CN" w:bidi="ar-SA"/>
                    </w:rPr>
                  </w:pPr>
                  <w:r>
                    <w:rPr>
                      <w:rFonts w:hint="eastAsia" w:cs="Times New Roman"/>
                      <w:color w:val="FF0000"/>
                      <w:kern w:val="0"/>
                      <w:szCs w:val="21"/>
                      <w:highlight w:val="none"/>
                      <w:u w:val="wave"/>
                      <w:lang w:val="en-US" w:eastAsia="zh-CN"/>
                    </w:rPr>
                    <w:t>MPN/100mL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ND</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ND</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ND</w:t>
                  </w:r>
                </w:p>
              </w:tc>
              <w:tc>
                <w:tcPr>
                  <w:tcW w:w="1244"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Cs w:val="21"/>
                      <w:highlight w:val="none"/>
                    </w:rPr>
                    <w:t>≤</w:t>
                  </w:r>
                  <w:r>
                    <w:rPr>
                      <w:rFonts w:hint="eastAsia" w:ascii="Times New Roman" w:hAnsi="Times New Roman" w:cs="Times New Roman"/>
                      <w:kern w:val="0"/>
                      <w:szCs w:val="21"/>
                      <w:highlight w:val="none"/>
                      <w:lang w:val="en-US" w:eastAsia="zh-CN"/>
                    </w:rPr>
                    <w:t>3.0个/L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restart"/>
                  <w:noWrap w:val="0"/>
                  <w:vAlign w:val="center"/>
                </w:tcPr>
                <w:p>
                  <w:pPr>
                    <w:widowControl/>
                    <w:jc w:val="center"/>
                    <w:rPr>
                      <w:rFonts w:hint="default" w:ascii="Times New Roman" w:hAnsi="Times New Roman" w:cs="Times New Roman"/>
                      <w:kern w:val="0"/>
                      <w:szCs w:val="21"/>
                    </w:rPr>
                  </w:pPr>
                </w:p>
                <w:p>
                  <w:pPr>
                    <w:widowControl/>
                    <w:jc w:val="center"/>
                    <w:rPr>
                      <w:rFonts w:hint="default" w:ascii="Times New Roman" w:hAnsi="Times New Roman" w:cs="Times New Roman"/>
                      <w:kern w:val="0"/>
                      <w:szCs w:val="21"/>
                    </w:rPr>
                  </w:pPr>
                </w:p>
                <w:p>
                  <w:pPr>
                    <w:widowControl/>
                    <w:jc w:val="center"/>
                    <w:rPr>
                      <w:rFonts w:hint="default" w:ascii="Times New Roman" w:hAnsi="Times New Roman" w:cs="Times New Roman"/>
                      <w:kern w:val="0"/>
                      <w:szCs w:val="21"/>
                    </w:rPr>
                  </w:pPr>
                </w:p>
                <w:p>
                  <w:pPr>
                    <w:widowControl/>
                    <w:jc w:val="center"/>
                    <w:rPr>
                      <w:rFonts w:hint="default" w:ascii="Times New Roman" w:hAnsi="Times New Roman" w:cs="Times New Roman"/>
                      <w:kern w:val="0"/>
                      <w:szCs w:val="21"/>
                    </w:rPr>
                  </w:pPr>
                </w:p>
                <w:p>
                  <w:pPr>
                    <w:widowControl/>
                    <w:jc w:val="center"/>
                    <w:rPr>
                      <w:rFonts w:hint="default" w:ascii="Times New Roman" w:hAnsi="Times New Roman" w:cs="Times New Roman"/>
                      <w:kern w:val="0"/>
                      <w:szCs w:val="21"/>
                    </w:rPr>
                  </w:pPr>
                </w:p>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D3</w:t>
                  </w:r>
                </w:p>
              </w:tc>
              <w:tc>
                <w:tcPr>
                  <w:tcW w:w="1282" w:type="dxa"/>
                  <w:noWrap w:val="0"/>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szCs w:val="21"/>
                    </w:rPr>
                    <w:t>pH值</w:t>
                  </w:r>
                </w:p>
              </w:tc>
              <w:tc>
                <w:tcPr>
                  <w:tcW w:w="1233"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无量纲</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7.57</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7.61</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7.63</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6.5~8.5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szCs w:val="21"/>
                      <w:u w:val="none"/>
                    </w:rPr>
                    <w:t>耗氧量</w:t>
                  </w:r>
                </w:p>
              </w:tc>
              <w:tc>
                <w:tcPr>
                  <w:tcW w:w="1233"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0.51</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0.52</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0.47</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氨氮</w:t>
                  </w:r>
                </w:p>
              </w:tc>
              <w:tc>
                <w:tcPr>
                  <w:tcW w:w="1233"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0.091</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0.083</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0.097</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硝酸盐</w:t>
                  </w:r>
                </w:p>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（以N计）</w:t>
                  </w:r>
                </w:p>
              </w:tc>
              <w:tc>
                <w:tcPr>
                  <w:tcW w:w="1233"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2.61</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2.62</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2.65</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硫酸盐</w:t>
                  </w:r>
                </w:p>
              </w:tc>
              <w:tc>
                <w:tcPr>
                  <w:tcW w:w="1233"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51.0</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51.2</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51.0</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总硬度</w:t>
                  </w:r>
                </w:p>
              </w:tc>
              <w:tc>
                <w:tcPr>
                  <w:tcW w:w="1233"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ND</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ND</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ND</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eastAsia="zh-CN"/>
                    </w:rPr>
                    <w:t>氰</w:t>
                  </w:r>
                  <w:r>
                    <w:rPr>
                      <w:rFonts w:hint="default" w:ascii="Times New Roman" w:hAnsi="Times New Roman" w:cs="Times New Roman"/>
                      <w:szCs w:val="21"/>
                    </w:rPr>
                    <w:t>化物</w:t>
                  </w:r>
                </w:p>
              </w:tc>
              <w:tc>
                <w:tcPr>
                  <w:tcW w:w="1233"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ND</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ND</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ND</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w:t>
                  </w:r>
                  <w:r>
                    <w:rPr>
                      <w:rFonts w:hint="eastAsia" w:ascii="Times New Roman" w:hAnsi="Times New Roman" w:cs="Times New Roman"/>
                      <w:kern w:val="0"/>
                      <w:szCs w:val="21"/>
                      <w:lang w:val="en-US" w:eastAsia="zh-CN"/>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eastAsia="zh-CN"/>
                    </w:rPr>
                    <w:t>铜</w:t>
                  </w:r>
                </w:p>
              </w:tc>
              <w:tc>
                <w:tcPr>
                  <w:tcW w:w="1233" w:type="dxa"/>
                  <w:noWrap w:val="0"/>
                  <w:vAlign w:val="center"/>
                </w:tcPr>
                <w:p>
                  <w:pPr>
                    <w:widowControl/>
                    <w:ind w:left="-105" w:leftChars="-50" w:right="-105" w:rightChars="-50"/>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ND</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ND</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ND</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w:t>
                  </w:r>
                  <w:r>
                    <w:rPr>
                      <w:rFonts w:hint="eastAsia" w:ascii="Times New Roman" w:hAnsi="Times New Roman" w:cs="Times New Roman"/>
                      <w:kern w:val="0"/>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44"/>
                      <w:szCs w:val="21"/>
                      <w:lang w:eastAsia="zh-CN"/>
                    </w:rPr>
                    <w:t>铅</w:t>
                  </w:r>
                </w:p>
              </w:tc>
              <w:tc>
                <w:tcPr>
                  <w:tcW w:w="1233" w:type="dxa"/>
                  <w:noWrap w:val="0"/>
                  <w:vAlign w:val="center"/>
                </w:tcPr>
                <w:p>
                  <w:pPr>
                    <w:widowControl/>
                    <w:ind w:left="-105" w:leftChars="-50" w:right="-105" w:rightChars="-50"/>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highlight w:val="none"/>
                      <w:lang w:val="en-US" w:eastAsia="zh-CN"/>
                    </w:rPr>
                    <w:t>6.5</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4</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highlight w:val="none"/>
                      <w:lang w:val="en-US" w:eastAsia="zh-CN"/>
                    </w:rPr>
                    <w:t>7.7</w:t>
                  </w:r>
                  <w:r>
                    <w:rPr>
                      <w:rFonts w:hint="default" w:ascii="Times New Roman" w:hAnsi="Times New Roman" w:cs="Times New Roman"/>
                      <w:kern w:val="0"/>
                      <w:szCs w:val="21"/>
                      <w:highlight w:val="none"/>
                    </w:rPr>
                    <w:t>×10</w:t>
                  </w:r>
                  <w:r>
                    <w:rPr>
                      <w:rFonts w:hint="eastAsia" w:ascii="Times New Roman" w:hAnsi="Times New Roman" w:cs="Times New Roman"/>
                      <w:kern w:val="0"/>
                      <w:szCs w:val="21"/>
                      <w:highlight w:val="none"/>
                      <w:vertAlign w:val="superscript"/>
                      <w:lang w:val="en-US" w:eastAsia="zh-CN"/>
                    </w:rPr>
                    <w:t>-4</w:t>
                  </w:r>
                </w:p>
              </w:tc>
              <w:tc>
                <w:tcPr>
                  <w:tcW w:w="1191" w:type="dxa"/>
                  <w:noWrap w:val="0"/>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highlight w:val="none"/>
                      <w:lang w:val="en-US" w:eastAsia="zh-CN"/>
                    </w:rPr>
                    <w:t>7.7</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4</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w:t>
                  </w:r>
                  <w:r>
                    <w:rPr>
                      <w:rFonts w:hint="default" w:ascii="Times New Roman" w:hAnsi="Times New Roman" w:cs="Times New Roman"/>
                      <w:kern w:val="0"/>
                      <w:szCs w:val="21"/>
                      <w:lang w:val="en-US" w:eastAsia="zh-CN"/>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44"/>
                      <w:sz w:val="21"/>
                      <w:szCs w:val="21"/>
                      <w:highlight w:val="none"/>
                      <w:lang w:val="en-US" w:eastAsia="zh-CN" w:bidi="ar-SA"/>
                    </w:rPr>
                  </w:pPr>
                  <w:r>
                    <w:rPr>
                      <w:rFonts w:hint="default" w:ascii="Times New Roman" w:hAnsi="Times New Roman" w:cs="Times New Roman"/>
                      <w:kern w:val="44"/>
                      <w:szCs w:val="21"/>
                      <w:highlight w:val="none"/>
                      <w:lang w:eastAsia="zh-CN"/>
                    </w:rPr>
                    <w:t>镉</w:t>
                  </w:r>
                </w:p>
              </w:tc>
              <w:tc>
                <w:tcPr>
                  <w:tcW w:w="1233" w:type="dxa"/>
                  <w:noWrap w:val="0"/>
                  <w:vAlign w:val="center"/>
                </w:tcPr>
                <w:p>
                  <w:pPr>
                    <w:widowControl/>
                    <w:ind w:left="-105" w:leftChars="-50" w:right="-105" w:rightChars="-50"/>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Cs w:val="21"/>
                      <w:highlight w:val="none"/>
                    </w:rPr>
                    <w:t>mg/L</w:t>
                  </w:r>
                </w:p>
              </w:tc>
              <w:tc>
                <w:tcPr>
                  <w:tcW w:w="1144"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Cs w:val="21"/>
                      <w:highlight w:val="none"/>
                      <w:lang w:val="en-US" w:eastAsia="zh-CN"/>
                    </w:rPr>
                    <w:t>2</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4</w:t>
                  </w:r>
                </w:p>
              </w:tc>
              <w:tc>
                <w:tcPr>
                  <w:tcW w:w="1227"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Cs w:val="21"/>
                      <w:highlight w:val="none"/>
                      <w:lang w:val="en-US" w:eastAsia="zh-CN"/>
                    </w:rPr>
                    <w:t>2</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4</w:t>
                  </w:r>
                </w:p>
              </w:tc>
              <w:tc>
                <w:tcPr>
                  <w:tcW w:w="1191"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Cs w:val="21"/>
                      <w:highlight w:val="none"/>
                      <w:lang w:val="en-US" w:eastAsia="zh-CN"/>
                    </w:rPr>
                    <w:t>2</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4</w:t>
                  </w:r>
                </w:p>
              </w:tc>
              <w:tc>
                <w:tcPr>
                  <w:tcW w:w="1244"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Cs w:val="21"/>
                      <w:highlight w:val="none"/>
                    </w:rPr>
                    <w:t>≤</w:t>
                  </w:r>
                  <w:r>
                    <w:rPr>
                      <w:rFonts w:hint="default" w:ascii="Times New Roman" w:hAnsi="Times New Roman" w:cs="Times New Roman"/>
                      <w:kern w:val="0"/>
                      <w:szCs w:val="21"/>
                      <w:highlight w:val="none"/>
                      <w:lang w:val="en-US" w:eastAsia="zh-CN"/>
                    </w:rPr>
                    <w:t>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44"/>
                      <w:szCs w:val="21"/>
                      <w:lang w:eastAsia="zh-CN"/>
                    </w:rPr>
                    <w:t>砷</w:t>
                  </w:r>
                </w:p>
              </w:tc>
              <w:tc>
                <w:tcPr>
                  <w:tcW w:w="1233" w:type="dxa"/>
                  <w:noWrap w:val="0"/>
                  <w:vAlign w:val="center"/>
                </w:tcPr>
                <w:p>
                  <w:pPr>
                    <w:widowControl/>
                    <w:ind w:left="-105" w:leftChars="-50" w:right="-105" w:rightChars="-50"/>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Cs w:val="21"/>
                    </w:rPr>
                    <w:t>mg/L</w:t>
                  </w:r>
                </w:p>
              </w:tc>
              <w:tc>
                <w:tcPr>
                  <w:tcW w:w="11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highlight w:val="none"/>
                      <w:lang w:val="en-US" w:eastAsia="zh-CN"/>
                    </w:rPr>
                    <w:t>2.9</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4</w:t>
                  </w:r>
                </w:p>
              </w:tc>
              <w:tc>
                <w:tcPr>
                  <w:tcW w:w="1227"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highlight w:val="none"/>
                      <w:lang w:val="en-US" w:eastAsia="zh-CN"/>
                    </w:rPr>
                    <w:t>3.4</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4</w:t>
                  </w:r>
                </w:p>
              </w:tc>
              <w:tc>
                <w:tcPr>
                  <w:tcW w:w="1191"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Cs w:val="21"/>
                      <w:highlight w:val="none"/>
                      <w:lang w:val="en-US" w:eastAsia="zh-CN"/>
                    </w:rPr>
                    <w:t>2.8</w:t>
                  </w:r>
                  <w:r>
                    <w:rPr>
                      <w:rFonts w:hint="default" w:ascii="Times New Roman" w:hAnsi="Times New Roman" w:cs="Times New Roman"/>
                      <w:kern w:val="0"/>
                      <w:szCs w:val="21"/>
                      <w:highlight w:val="none"/>
                    </w:rPr>
                    <w:t>×10</w:t>
                  </w:r>
                  <w:r>
                    <w:rPr>
                      <w:rFonts w:hint="default" w:ascii="Times New Roman" w:hAnsi="Times New Roman" w:cs="Times New Roman"/>
                      <w:kern w:val="0"/>
                      <w:szCs w:val="21"/>
                      <w:highlight w:val="none"/>
                      <w:vertAlign w:val="superscript"/>
                    </w:rPr>
                    <w:t>-</w:t>
                  </w:r>
                  <w:r>
                    <w:rPr>
                      <w:rFonts w:hint="eastAsia" w:ascii="Times New Roman" w:hAnsi="Times New Roman" w:cs="Times New Roman"/>
                      <w:kern w:val="0"/>
                      <w:szCs w:val="21"/>
                      <w:highlight w:val="none"/>
                      <w:vertAlign w:val="superscript"/>
                      <w:lang w:val="en-US" w:eastAsia="zh-CN"/>
                    </w:rPr>
                    <w:t>4</w:t>
                  </w:r>
                </w:p>
              </w:tc>
              <w:tc>
                <w:tcPr>
                  <w:tcW w:w="1244" w:type="dxa"/>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w:t>
                  </w:r>
                  <w:r>
                    <w:rPr>
                      <w:rFonts w:hint="default" w:ascii="Times New Roman" w:hAnsi="Times New Roman" w:cs="Times New Roman"/>
                      <w:kern w:val="0"/>
                      <w:szCs w:val="21"/>
                      <w:lang w:val="en-US" w:eastAsia="zh-CN"/>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44"/>
                      <w:sz w:val="21"/>
                      <w:szCs w:val="21"/>
                      <w:highlight w:val="none"/>
                      <w:lang w:val="en-US" w:eastAsia="zh-CN" w:bidi="ar-SA"/>
                    </w:rPr>
                  </w:pPr>
                  <w:r>
                    <w:rPr>
                      <w:rFonts w:hint="eastAsia" w:ascii="Times New Roman" w:hAnsi="Times New Roman" w:cs="Times New Roman"/>
                      <w:kern w:val="44"/>
                      <w:szCs w:val="21"/>
                      <w:highlight w:val="none"/>
                      <w:lang w:eastAsia="zh-CN"/>
                    </w:rPr>
                    <w:t>六价铬</w:t>
                  </w:r>
                </w:p>
              </w:tc>
              <w:tc>
                <w:tcPr>
                  <w:tcW w:w="1233" w:type="dxa"/>
                  <w:noWrap w:val="0"/>
                  <w:vAlign w:val="center"/>
                </w:tcPr>
                <w:p>
                  <w:pPr>
                    <w:widowControl/>
                    <w:ind w:left="-105" w:leftChars="-50" w:right="-105" w:rightChars="-50"/>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Cs w:val="21"/>
                      <w:highlight w:val="none"/>
                    </w:rPr>
                    <w:t>mg/L</w:t>
                  </w:r>
                </w:p>
              </w:tc>
              <w:tc>
                <w:tcPr>
                  <w:tcW w:w="1144"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0.002</w:t>
                  </w:r>
                </w:p>
              </w:tc>
              <w:tc>
                <w:tcPr>
                  <w:tcW w:w="1227"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0.003</w:t>
                  </w:r>
                </w:p>
              </w:tc>
              <w:tc>
                <w:tcPr>
                  <w:tcW w:w="1191"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0.003</w:t>
                  </w:r>
                </w:p>
              </w:tc>
              <w:tc>
                <w:tcPr>
                  <w:tcW w:w="1244"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Cs w:val="21"/>
                      <w:highlight w:val="none"/>
                    </w:rPr>
                    <w:t>≤</w:t>
                  </w:r>
                  <w:r>
                    <w:rPr>
                      <w:rFonts w:hint="default" w:ascii="Times New Roman" w:hAnsi="Times New Roman" w:cs="Times New Roman"/>
                      <w:kern w:val="0"/>
                      <w:szCs w:val="21"/>
                      <w:highlight w:val="none"/>
                      <w:lang w:val="en-US" w:eastAsia="zh-CN"/>
                    </w:rPr>
                    <w:t>0.0</w:t>
                  </w:r>
                  <w:r>
                    <w:rPr>
                      <w:rFonts w:hint="eastAsia" w:ascii="Times New Roman" w:hAnsi="Times New Roman" w:cs="Times New Roman"/>
                      <w:kern w:val="0"/>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577" w:type="dxa"/>
                  <w:vMerge w:val="continue"/>
                  <w:noWrap w:val="0"/>
                  <w:vAlign w:val="center"/>
                </w:tcPr>
                <w:p>
                  <w:pPr>
                    <w:widowControl/>
                    <w:jc w:val="center"/>
                    <w:rPr>
                      <w:rFonts w:hint="default" w:ascii="Times New Roman" w:hAnsi="Times New Roman" w:cs="Times New Roman"/>
                      <w:kern w:val="0"/>
                      <w:szCs w:val="21"/>
                    </w:rPr>
                  </w:pPr>
                </w:p>
              </w:tc>
              <w:tc>
                <w:tcPr>
                  <w:tcW w:w="1282" w:type="dxa"/>
                  <w:noWrap w:val="0"/>
                  <w:vAlign w:val="center"/>
                </w:tcPr>
                <w:p>
                  <w:pPr>
                    <w:jc w:val="center"/>
                    <w:rPr>
                      <w:rFonts w:hint="default" w:ascii="Times New Roman" w:hAnsi="Times New Roman" w:eastAsia="宋体" w:cs="Times New Roman"/>
                      <w:kern w:val="44"/>
                      <w:sz w:val="21"/>
                      <w:szCs w:val="21"/>
                      <w:highlight w:val="none"/>
                      <w:lang w:val="en-US" w:eastAsia="zh-CN" w:bidi="ar-SA"/>
                    </w:rPr>
                  </w:pPr>
                  <w:r>
                    <w:rPr>
                      <w:rFonts w:hint="eastAsia" w:ascii="Times New Roman" w:hAnsi="Times New Roman" w:cs="Times New Roman"/>
                      <w:kern w:val="44"/>
                      <w:szCs w:val="21"/>
                      <w:highlight w:val="none"/>
                      <w:lang w:eastAsia="zh-CN"/>
                    </w:rPr>
                    <w:t>总大肠菌群</w:t>
                  </w:r>
                </w:p>
              </w:tc>
              <w:tc>
                <w:tcPr>
                  <w:tcW w:w="1233" w:type="dxa"/>
                  <w:noWrap w:val="0"/>
                  <w:vAlign w:val="center"/>
                </w:tcPr>
                <w:p>
                  <w:pPr>
                    <w:widowControl/>
                    <w:ind w:left="-105" w:leftChars="-50" w:right="-105" w:rightChars="-50"/>
                    <w:jc w:val="center"/>
                    <w:rPr>
                      <w:rFonts w:hint="default" w:ascii="Times New Roman" w:hAnsi="Times New Roman" w:eastAsia="宋体" w:cs="Times New Roman"/>
                      <w:kern w:val="0"/>
                      <w:sz w:val="21"/>
                      <w:szCs w:val="21"/>
                      <w:highlight w:val="none"/>
                      <w:lang w:val="en-US" w:eastAsia="zh-CN" w:bidi="ar-SA"/>
                    </w:rPr>
                  </w:pPr>
                  <w:r>
                    <w:rPr>
                      <w:rFonts w:hint="eastAsia" w:cs="Times New Roman"/>
                      <w:color w:val="FF0000"/>
                      <w:kern w:val="0"/>
                      <w:szCs w:val="21"/>
                      <w:highlight w:val="none"/>
                      <w:u w:val="wave"/>
                      <w:lang w:val="en-US" w:eastAsia="zh-CN"/>
                    </w:rPr>
                    <w:t>MPN/100mL</w:t>
                  </w:r>
                </w:p>
              </w:tc>
              <w:tc>
                <w:tcPr>
                  <w:tcW w:w="1144"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Cs w:val="21"/>
                      <w:lang w:val="en-US" w:eastAsia="zh-CN"/>
                    </w:rPr>
                    <w:t>ND</w:t>
                  </w:r>
                </w:p>
              </w:tc>
              <w:tc>
                <w:tcPr>
                  <w:tcW w:w="1227"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Cs w:val="21"/>
                      <w:lang w:val="en-US" w:eastAsia="zh-CN"/>
                    </w:rPr>
                    <w:t>ND</w:t>
                  </w:r>
                </w:p>
              </w:tc>
              <w:tc>
                <w:tcPr>
                  <w:tcW w:w="1191"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Cs w:val="21"/>
                      <w:lang w:val="en-US" w:eastAsia="zh-CN"/>
                    </w:rPr>
                    <w:t>ND</w:t>
                  </w:r>
                </w:p>
              </w:tc>
              <w:tc>
                <w:tcPr>
                  <w:tcW w:w="1244" w:type="dxa"/>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Cs w:val="21"/>
                      <w:highlight w:val="none"/>
                    </w:rPr>
                    <w:t>≤</w:t>
                  </w:r>
                  <w:r>
                    <w:rPr>
                      <w:rFonts w:hint="eastAsia" w:ascii="Times New Roman" w:hAnsi="Times New Roman" w:cs="Times New Roman"/>
                      <w:kern w:val="0"/>
                      <w:szCs w:val="21"/>
                      <w:highlight w:val="none"/>
                      <w:lang w:val="en-US" w:eastAsia="zh-CN"/>
                    </w:rPr>
                    <w:t>3.0个/L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98" w:type="dxa"/>
                  <w:gridSpan w:val="7"/>
                  <w:noWrap w:val="0"/>
                  <w:vAlign w:val="center"/>
                </w:tcPr>
                <w:p>
                  <w:pPr>
                    <w:widowControl/>
                    <w:ind w:firstLine="210" w:firstLineChars="100"/>
                    <w:jc w:val="left"/>
                    <w:rPr>
                      <w:rFonts w:hint="default" w:ascii="Times New Roman" w:hAnsi="Times New Roman" w:cs="Times New Roman"/>
                    </w:rPr>
                  </w:pPr>
                  <w:r>
                    <w:rPr>
                      <w:rFonts w:hint="default" w:ascii="Times New Roman" w:hAnsi="Times New Roman" w:cs="Times New Roman"/>
                      <w:szCs w:val="21"/>
                    </w:rPr>
                    <w:t>备注：</w:t>
                  </w:r>
                  <w:r>
                    <w:rPr>
                      <w:rFonts w:hint="default" w:ascii="Times New Roman" w:hAnsi="Times New Roman" w:cs="Times New Roman"/>
                      <w:kern w:val="0"/>
                      <w:szCs w:val="21"/>
                    </w:rPr>
                    <w:t>执行《地下水环境质量标准》（GB/T 14848-2017）</w:t>
                  </w:r>
                  <w:r>
                    <w:rPr>
                      <w:rFonts w:hint="default" w:ascii="Times New Roman" w:hAnsi="Times New Roman" w:cs="Times New Roman"/>
                      <w:spacing w:val="11"/>
                      <w:kern w:val="0"/>
                      <w:szCs w:val="21"/>
                    </w:rPr>
                    <w:t>表1中Ⅲ类</w:t>
                  </w:r>
                  <w:r>
                    <w:rPr>
                      <w:rFonts w:hint="default" w:ascii="Times New Roman" w:hAnsi="Times New Roman" w:cs="Times New Roman"/>
                      <w:kern w:val="0"/>
                      <w:szCs w:val="21"/>
                    </w:rPr>
                    <w:t>标准。</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lang w:eastAsia="zh-CN"/>
              </w:rPr>
              <w:t>根据表</w:t>
            </w:r>
            <w:r>
              <w:rPr>
                <w:rFonts w:hint="eastAsia"/>
                <w:sz w:val="24"/>
                <w:szCs w:val="24"/>
                <w:lang w:val="en-US" w:eastAsia="zh-CN"/>
              </w:rPr>
              <w:t>3-7可知，</w:t>
            </w:r>
            <w:r>
              <w:rPr>
                <w:rFonts w:hint="eastAsia"/>
                <w:sz w:val="24"/>
                <w:szCs w:val="24"/>
              </w:rPr>
              <w:t>本项目</w:t>
            </w:r>
            <w:r>
              <w:rPr>
                <w:rFonts w:hint="eastAsia"/>
                <w:sz w:val="24"/>
                <w:szCs w:val="24"/>
                <w:lang w:eastAsia="zh-CN"/>
              </w:rPr>
              <w:t>监测点位</w:t>
            </w:r>
            <w:r>
              <w:rPr>
                <w:rFonts w:hint="eastAsia"/>
                <w:sz w:val="24"/>
                <w:szCs w:val="24"/>
                <w:lang w:val="en-US" w:eastAsia="zh-CN"/>
              </w:rPr>
              <w:t>D2、D3</w:t>
            </w:r>
            <w:r>
              <w:rPr>
                <w:rFonts w:hint="eastAsia"/>
                <w:sz w:val="24"/>
                <w:szCs w:val="24"/>
                <w:lang w:eastAsia="zh-CN"/>
              </w:rPr>
              <w:t>所有</w:t>
            </w:r>
            <w:r>
              <w:rPr>
                <w:rFonts w:hint="eastAsia"/>
                <w:sz w:val="24"/>
                <w:szCs w:val="24"/>
              </w:rPr>
              <w:t>监测项目均能满足《地下水质量标准》（GB/T14848-2017）中的Ⅲ类标准，</w:t>
            </w:r>
            <w:r>
              <w:rPr>
                <w:rFonts w:hint="eastAsia"/>
                <w:sz w:val="24"/>
                <w:szCs w:val="24"/>
                <w:lang w:eastAsia="zh-CN"/>
              </w:rPr>
              <w:t>监测点位</w:t>
            </w:r>
            <w:r>
              <w:rPr>
                <w:rFonts w:hint="eastAsia"/>
                <w:sz w:val="24"/>
                <w:szCs w:val="24"/>
                <w:lang w:val="en-US" w:eastAsia="zh-CN"/>
              </w:rPr>
              <w:t>D1除</w:t>
            </w:r>
            <w:r>
              <w:rPr>
                <w:rFonts w:hint="eastAsia"/>
                <w:sz w:val="24"/>
                <w:szCs w:val="24"/>
              </w:rPr>
              <w:t>总大肠菌群超标外，其他监测项目均能满足《地下水质量标准》（GB/T14848-2017）中的Ⅲ类标准</w:t>
            </w:r>
            <w:r>
              <w:rPr>
                <w:rFonts w:hint="eastAsia"/>
                <w:sz w:val="24"/>
                <w:szCs w:val="24"/>
                <w:lang w:eastAsia="zh-CN"/>
              </w:rPr>
              <w:t>。</w:t>
            </w:r>
            <w:r>
              <w:rPr>
                <w:rFonts w:hint="eastAsia"/>
                <w:sz w:val="24"/>
                <w:szCs w:val="24"/>
              </w:rPr>
              <w:t>总大肠菌群的超标原因可能是由于区域农业污染源或生活污染源对其造成污染。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color w:val="auto"/>
                <w:sz w:val="28"/>
                <w:szCs w:val="28"/>
                <w:u w:val="none"/>
              </w:rPr>
            </w:pPr>
            <w:r>
              <w:rPr>
                <w:b/>
                <w:color w:val="auto"/>
                <w:sz w:val="28"/>
                <w:szCs w:val="28"/>
                <w:u w:val="none"/>
              </w:rPr>
              <w:t>3</w:t>
            </w:r>
            <w:r>
              <w:rPr>
                <w:rFonts w:hint="eastAsia"/>
                <w:b/>
                <w:color w:val="auto"/>
                <w:sz w:val="28"/>
                <w:szCs w:val="28"/>
                <w:u w:val="none"/>
              </w:rPr>
              <w:t>.4土壤环境质量现状调查与评价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u w:val="none"/>
                <w:lang w:eastAsia="zh-CN"/>
              </w:rPr>
            </w:pPr>
            <w:r>
              <w:rPr>
                <w:rFonts w:hint="eastAsia"/>
                <w:color w:val="auto"/>
                <w:sz w:val="24"/>
                <w:szCs w:val="24"/>
                <w:u w:val="none"/>
                <w:lang w:eastAsia="zh-CN"/>
              </w:rPr>
              <w:t>（</w:t>
            </w:r>
            <w:r>
              <w:rPr>
                <w:rFonts w:hint="eastAsia"/>
                <w:color w:val="auto"/>
                <w:sz w:val="24"/>
                <w:szCs w:val="24"/>
                <w:u w:val="none"/>
                <w:lang w:val="en-US" w:eastAsia="zh-CN"/>
              </w:rPr>
              <w:t>1</w:t>
            </w:r>
            <w:r>
              <w:rPr>
                <w:rFonts w:hint="eastAsia"/>
                <w:color w:val="auto"/>
                <w:sz w:val="24"/>
                <w:szCs w:val="24"/>
                <w:u w:val="none"/>
                <w:lang w:eastAsia="zh-CN"/>
              </w:rPr>
              <w:t>）监测单位：湖南中石检测有限公司；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u w:val="none"/>
                <w:lang w:val="en-US" w:eastAsia="zh-CN"/>
              </w:rPr>
            </w:pPr>
            <w:r>
              <w:rPr>
                <w:rFonts w:hint="eastAsia"/>
                <w:color w:val="auto"/>
                <w:sz w:val="24"/>
                <w:szCs w:val="24"/>
                <w:u w:val="none"/>
                <w:lang w:eastAsia="zh-CN"/>
              </w:rPr>
              <w:t>（</w:t>
            </w:r>
            <w:r>
              <w:rPr>
                <w:rFonts w:hint="eastAsia"/>
                <w:color w:val="auto"/>
                <w:sz w:val="24"/>
                <w:szCs w:val="24"/>
                <w:u w:val="none"/>
                <w:lang w:val="en-US" w:eastAsia="zh-CN"/>
              </w:rPr>
              <w:t>2</w:t>
            </w:r>
            <w:r>
              <w:rPr>
                <w:rFonts w:hint="eastAsia"/>
                <w:color w:val="auto"/>
                <w:sz w:val="24"/>
                <w:szCs w:val="24"/>
                <w:u w:val="none"/>
                <w:lang w:eastAsia="zh-CN"/>
              </w:rPr>
              <w:t>）采样时间：</w:t>
            </w:r>
            <w:r>
              <w:rPr>
                <w:rFonts w:hint="eastAsia"/>
                <w:color w:val="auto"/>
                <w:sz w:val="24"/>
                <w:szCs w:val="24"/>
                <w:u w:val="none"/>
                <w:lang w:val="en-US" w:eastAsia="zh-CN"/>
              </w:rPr>
              <w:t>2020年3月10日；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u w:val="none"/>
              </w:rPr>
            </w:pPr>
            <w:r>
              <w:rPr>
                <w:rFonts w:hint="eastAsia"/>
                <w:color w:val="auto"/>
                <w:sz w:val="24"/>
                <w:szCs w:val="24"/>
                <w:u w:val="none"/>
                <w:lang w:eastAsia="zh-CN"/>
              </w:rPr>
              <w:t>（</w:t>
            </w:r>
            <w:r>
              <w:rPr>
                <w:rFonts w:hint="eastAsia"/>
                <w:color w:val="auto"/>
                <w:sz w:val="24"/>
                <w:szCs w:val="24"/>
                <w:u w:val="none"/>
                <w:lang w:val="en-US" w:eastAsia="zh-CN"/>
              </w:rPr>
              <w:t>3</w:t>
            </w:r>
            <w:r>
              <w:rPr>
                <w:rFonts w:hint="eastAsia"/>
                <w:color w:val="auto"/>
                <w:sz w:val="24"/>
                <w:szCs w:val="24"/>
                <w:u w:val="none"/>
                <w:lang w:eastAsia="zh-CN"/>
              </w:rPr>
              <w:t>）监测布点：</w:t>
            </w:r>
            <w:r>
              <w:rPr>
                <w:rFonts w:hint="eastAsia" w:ascii="Times New Roman" w:hAnsi="Times New Roman" w:cs="Times New Roman"/>
                <w:color w:val="auto"/>
                <w:sz w:val="24"/>
                <w:szCs w:val="24"/>
                <w:u w:val="none"/>
                <w:lang w:eastAsia="zh-CN"/>
              </w:rPr>
              <w:t>监测共</w:t>
            </w:r>
            <w:r>
              <w:rPr>
                <w:rFonts w:hint="default" w:ascii="Times New Roman" w:hAnsi="Times New Roman" w:cs="Times New Roman"/>
                <w:color w:val="auto"/>
                <w:sz w:val="24"/>
                <w:szCs w:val="24"/>
                <w:u w:val="none"/>
              </w:rPr>
              <w:t>设置3个土壤质量现状监测点，具体监测</w:t>
            </w:r>
            <w:r>
              <w:rPr>
                <w:rFonts w:hint="eastAsia" w:ascii="Times New Roman" w:hAnsi="Times New Roman" w:cs="Times New Roman"/>
                <w:color w:val="auto"/>
                <w:sz w:val="24"/>
                <w:szCs w:val="24"/>
                <w:u w:val="none"/>
                <w:lang w:eastAsia="zh-CN"/>
              </w:rPr>
              <w:t>点位</w:t>
            </w:r>
            <w:r>
              <w:rPr>
                <w:rFonts w:hint="default" w:ascii="Times New Roman" w:hAnsi="Times New Roman" w:cs="Times New Roman"/>
                <w:color w:val="auto"/>
                <w:sz w:val="24"/>
                <w:szCs w:val="24"/>
                <w:u w:val="none"/>
              </w:rPr>
              <w:t>见表</w:t>
            </w:r>
            <w:r>
              <w:rPr>
                <w:rFonts w:hint="eastAsia" w:ascii="Times New Roman" w:hAnsi="Times New Roman" w:cs="Times New Roman"/>
                <w:color w:val="auto"/>
                <w:sz w:val="24"/>
                <w:szCs w:val="24"/>
                <w:u w:val="none"/>
                <w:lang w:val="en-US" w:eastAsia="zh-CN"/>
              </w:rPr>
              <w:t>3-8</w:t>
            </w:r>
            <w:r>
              <w:rPr>
                <w:rFonts w:hint="eastAsia" w:cs="Times New Roman"/>
                <w:color w:val="auto"/>
                <w:sz w:val="24"/>
                <w:szCs w:val="24"/>
                <w:u w:val="none"/>
                <w:lang w:val="en-US" w:eastAsia="zh-CN"/>
              </w:rPr>
              <w:t>：</w:t>
            </w:r>
          </w:p>
          <w:p>
            <w:pPr>
              <w:pStyle w:val="25"/>
              <w:keepNext w:val="0"/>
              <w:keepLines w:val="0"/>
              <w:pageBreakBefore w:val="0"/>
              <w:widowControl w:val="0"/>
              <w:kinsoku/>
              <w:wordWrap/>
              <w:overflowPunct/>
              <w:topLinePunct w:val="0"/>
              <w:autoSpaceDE/>
              <w:autoSpaceDN/>
              <w:bidi w:val="0"/>
              <w:adjustRightInd w:val="0"/>
              <w:snapToGrid w:val="0"/>
              <w:spacing w:beforeLines="0" w:line="240" w:lineRule="auto"/>
              <w:ind w:firstLine="422"/>
              <w:jc w:val="center"/>
              <w:textAlignment w:val="auto"/>
              <w:rPr>
                <w:rFonts w:hint="default" w:ascii="Times New Roman" w:hAnsi="Times New Roman" w:cs="Times New Roman"/>
                <w:b/>
                <w:color w:val="auto"/>
                <w:sz w:val="21"/>
                <w:szCs w:val="21"/>
                <w:u w:val="none"/>
              </w:rPr>
            </w:pPr>
            <w:r>
              <w:rPr>
                <w:rFonts w:hint="default" w:ascii="Times New Roman" w:hAnsi="Times New Roman" w:cs="Times New Roman"/>
                <w:b/>
                <w:color w:val="auto"/>
                <w:sz w:val="21"/>
                <w:szCs w:val="21"/>
                <w:u w:val="none"/>
              </w:rPr>
              <w:t>表</w:t>
            </w:r>
            <w:r>
              <w:rPr>
                <w:rFonts w:hint="eastAsia" w:ascii="Times New Roman" w:hAnsi="Times New Roman" w:cs="Times New Roman"/>
                <w:b/>
                <w:color w:val="auto"/>
                <w:sz w:val="21"/>
                <w:szCs w:val="21"/>
                <w:u w:val="none"/>
                <w:lang w:val="en-US" w:eastAsia="zh-CN"/>
              </w:rPr>
              <w:t>3-8</w:t>
            </w:r>
            <w:r>
              <w:rPr>
                <w:rFonts w:hint="default" w:ascii="Times New Roman" w:hAnsi="Times New Roman" w:cs="Times New Roman"/>
                <w:b/>
                <w:color w:val="auto"/>
                <w:sz w:val="21"/>
                <w:szCs w:val="21"/>
                <w:u w:val="none"/>
              </w:rPr>
              <w:t xml:space="preserve">  土壤环境质量现状监测方案一览表</w:t>
            </w:r>
          </w:p>
          <w:tbl>
            <w:tblPr>
              <w:tblStyle w:val="27"/>
              <w:tblW w:w="852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57"/>
              <w:gridCol w:w="1618"/>
              <w:gridCol w:w="4950"/>
              <w:gridCol w:w="120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57"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编号</w:t>
                  </w:r>
                </w:p>
              </w:tc>
              <w:tc>
                <w:tcPr>
                  <w:tcW w:w="161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监测点位</w:t>
                  </w:r>
                </w:p>
              </w:tc>
              <w:tc>
                <w:tcPr>
                  <w:tcW w:w="4950"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监测项目</w:t>
                  </w:r>
                </w:p>
              </w:tc>
              <w:tc>
                <w:tcPr>
                  <w:tcW w:w="120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监测时间及频率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57"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T1</w:t>
                  </w:r>
                </w:p>
              </w:tc>
              <w:tc>
                <w:tcPr>
                  <w:tcW w:w="1618" w:type="dxa"/>
                  <w:tcBorders>
                    <w:bottom w:val="single" w:color="000000" w:sz="4" w:space="0"/>
                  </w:tcBorders>
                  <w:noWrap w:val="0"/>
                  <w:vAlign w:val="center"/>
                </w:tcPr>
                <w:p>
                  <w:pPr>
                    <w:pStyle w:val="86"/>
                    <w:spacing w:line="240" w:lineRule="auto"/>
                    <w:rPr>
                      <w:rFonts w:hint="default" w:ascii="Times New Roman" w:hAnsi="Times New Roman" w:eastAsia="宋体" w:cs="宋体"/>
                      <w:b/>
                      <w:color w:val="auto"/>
                      <w:kern w:val="2"/>
                      <w:sz w:val="21"/>
                      <w:szCs w:val="21"/>
                      <w:u w:val="none"/>
                      <w:lang w:val="en-US" w:eastAsia="zh-CN" w:bidi="ar-SA"/>
                    </w:rPr>
                  </w:pPr>
                  <w:r>
                    <w:rPr>
                      <w:rFonts w:hint="eastAsia" w:eastAsia="宋体" w:cs="Times New Roman"/>
                      <w:color w:val="auto"/>
                      <w:u w:val="none"/>
                      <w:lang w:eastAsia="zh-CN"/>
                    </w:rPr>
                    <w:t>项目</w:t>
                  </w:r>
                  <w:r>
                    <w:rPr>
                      <w:rFonts w:hint="eastAsia" w:cs="Times New Roman"/>
                      <w:color w:val="auto"/>
                      <w:u w:val="none"/>
                      <w:lang w:eastAsia="zh-CN"/>
                    </w:rPr>
                    <w:t>拟建地中心位置</w:t>
                  </w:r>
                </w:p>
              </w:tc>
              <w:tc>
                <w:tcPr>
                  <w:tcW w:w="4950" w:type="dxa"/>
                  <w:tcBorders>
                    <w:bottom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2"/>
                      <w:highlight w:val="none"/>
                      <w:u w:val="none"/>
                      <w:lang w:val="zh-CN" w:bidi="zh-CN"/>
                    </w:rPr>
                  </w:pPr>
                  <w:r>
                    <w:rPr>
                      <w:rFonts w:hint="default" w:ascii="Times New Roman" w:hAnsi="Times New Roman" w:cs="Times New Roman"/>
                      <w:color w:val="auto"/>
                      <w:sz w:val="21"/>
                      <w:szCs w:val="22"/>
                      <w:highlight w:val="none"/>
                      <w:u w:val="none"/>
                      <w:lang w:val="zh-CN" w:bidi="zh-CN"/>
                    </w:rPr>
                    <w:t>重金属和</w:t>
                  </w:r>
                  <w:r>
                    <w:rPr>
                      <w:rFonts w:hint="eastAsia" w:ascii="Times New Roman" w:hAnsi="Times New Roman" w:cs="Times New Roman"/>
                      <w:color w:val="auto"/>
                      <w:sz w:val="21"/>
                      <w:szCs w:val="22"/>
                      <w:highlight w:val="none"/>
                      <w:u w:val="none"/>
                      <w:lang w:val="zh-CN" w:bidi="zh-CN"/>
                    </w:rPr>
                    <w:t>无</w:t>
                  </w:r>
                  <w:r>
                    <w:rPr>
                      <w:rFonts w:hint="default" w:ascii="Times New Roman" w:hAnsi="Times New Roman" w:cs="Times New Roman"/>
                      <w:color w:val="auto"/>
                      <w:sz w:val="21"/>
                      <w:szCs w:val="22"/>
                      <w:highlight w:val="none"/>
                      <w:u w:val="none"/>
                      <w:lang w:val="zh-CN" w:bidi="zh-CN"/>
                    </w:rPr>
                    <w:t>机物</w:t>
                  </w:r>
                  <w:r>
                    <w:rPr>
                      <w:rFonts w:hint="eastAsia" w:ascii="Times New Roman" w:hAnsi="Times New Roman" w:cs="Times New Roman"/>
                      <w:color w:val="auto"/>
                      <w:sz w:val="21"/>
                      <w:szCs w:val="22"/>
                      <w:highlight w:val="none"/>
                      <w:u w:val="none"/>
                      <w:lang w:val="zh-CN" w:bidi="zh-CN"/>
                    </w:rPr>
                    <w:t>：</w:t>
                  </w:r>
                  <w:r>
                    <w:rPr>
                      <w:rFonts w:hint="default" w:ascii="Times New Roman" w:hAnsi="Times New Roman" w:cs="Times New Roman"/>
                      <w:color w:val="auto"/>
                      <w:sz w:val="21"/>
                      <w:szCs w:val="22"/>
                      <w:highlight w:val="none"/>
                      <w:u w:val="none"/>
                      <w:lang w:val="zh-CN" w:bidi="zh-CN"/>
                    </w:rPr>
                    <w:t>砷、镉、铬（六价）、铜、铅、汞、镍共</w:t>
                  </w:r>
                  <w:r>
                    <w:rPr>
                      <w:rFonts w:hint="eastAsia" w:ascii="Times New Roman" w:hAnsi="Times New Roman" w:cs="Times New Roman"/>
                      <w:color w:val="auto"/>
                      <w:sz w:val="21"/>
                      <w:szCs w:val="22"/>
                      <w:highlight w:val="none"/>
                      <w:u w:val="none"/>
                      <w:lang w:val="en-US" w:bidi="zh-CN"/>
                    </w:rPr>
                    <w:t>7</w:t>
                  </w:r>
                  <w:r>
                    <w:rPr>
                      <w:rFonts w:hint="default" w:ascii="Times New Roman" w:hAnsi="Times New Roman" w:cs="Times New Roman"/>
                      <w:color w:val="auto"/>
                      <w:sz w:val="21"/>
                      <w:szCs w:val="22"/>
                      <w:highlight w:val="none"/>
                      <w:u w:val="none"/>
                      <w:lang w:val="zh-CN" w:bidi="zh-CN"/>
                    </w:rPr>
                    <w:t>项。</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2"/>
                      <w:highlight w:val="none"/>
                      <w:u w:val="none"/>
                      <w:lang w:val="zh-CN" w:bidi="zh-CN"/>
                    </w:rPr>
                  </w:pPr>
                  <w:r>
                    <w:rPr>
                      <w:rFonts w:hint="default" w:ascii="Times New Roman" w:hAnsi="Times New Roman" w:cs="Times New Roman"/>
                      <w:color w:val="auto"/>
                      <w:sz w:val="21"/>
                      <w:szCs w:val="22"/>
                      <w:highlight w:val="none"/>
                      <w:u w:val="none"/>
                      <w:lang w:val="zh-CN" w:bidi="zh-CN"/>
                    </w:rPr>
                    <w:t>挥发性有机物：四氯甲烷；氯仿；氯甲烷；1，1-二氯乙烷；1，2二氯乙烷；1，1二氯乙烯；顺-1，2-二氯乙烯；反-1，2-二氯乙烯；二氯甲烷；1，2-二氯甲烷；1，1，1，2-四氯乙烷；四氯乙烯；1，1，1三氯乙烷；1，1，2-三氯乙烷；三氯乙烯；1，2，3-三氯丙烷；氯乙烯；苯；氯苯；1，2-二氯苯；1-4-二氯苯；乙苯、苯乙烯；乙苯；苯乙烯；甲苯；间二甲苯+对二甲苯；邻二甲苯，共27项。</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 w:val="21"/>
                      <w:szCs w:val="22"/>
                      <w:highlight w:val="none"/>
                      <w:u w:val="none"/>
                      <w:lang w:val="zh-CN" w:bidi="zh-CN"/>
                    </w:rPr>
                    <w:t>半挥发性有机物：硝基苯、苯胺、2- 氯酚、苯并[a]蒽；苯并[a]芘；苯并[b]荧蒽；苯并[k]荧蒽；䓛；二苯并[a，b]蒽；茚[1，2，3-cd]并芘；萘，共11项</w:t>
                  </w:r>
                  <w:r>
                    <w:rPr>
                      <w:rFonts w:hint="eastAsia" w:ascii="Times New Roman" w:hAnsi="Times New Roman" w:cs="Times New Roman"/>
                      <w:color w:val="auto"/>
                      <w:sz w:val="21"/>
                      <w:szCs w:val="22"/>
                      <w:highlight w:val="none"/>
                      <w:u w:val="none"/>
                      <w:lang w:val="zh-CN" w:bidi="zh-CN"/>
                    </w:rPr>
                    <w:t>。</w:t>
                  </w:r>
                </w:p>
              </w:tc>
              <w:tc>
                <w:tcPr>
                  <w:tcW w:w="1203" w:type="dxa"/>
                  <w:vMerge w:val="restart"/>
                  <w:noWrap w:val="0"/>
                  <w:vAlign w:val="center"/>
                </w:tcPr>
                <w:p>
                  <w:pPr>
                    <w:pStyle w:val="86"/>
                    <w:keepNext w:val="0"/>
                    <w:keepLines w:val="0"/>
                    <w:pageBreakBefore w:val="0"/>
                    <w:widowControl w:val="0"/>
                    <w:kinsoku/>
                    <w:wordWrap/>
                    <w:overflowPunct/>
                    <w:topLinePunct w:val="0"/>
                    <w:autoSpaceDE/>
                    <w:autoSpaceDN/>
                    <w:bidi w:val="0"/>
                    <w:adjustRightInd w:val="0"/>
                    <w:snapToGrid w:val="0"/>
                    <w:spacing w:line="240" w:lineRule="auto"/>
                    <w:ind w:firstLine="0"/>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一次值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57"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T2</w:t>
                  </w:r>
                </w:p>
              </w:tc>
              <w:tc>
                <w:tcPr>
                  <w:tcW w:w="1618" w:type="dxa"/>
                  <w:tcBorders>
                    <w:top w:val="single" w:color="000000" w:sz="4" w:space="0"/>
                  </w:tcBorders>
                  <w:noWrap w:val="0"/>
                  <w:vAlign w:val="center"/>
                </w:tcPr>
                <w:p>
                  <w:pPr>
                    <w:pStyle w:val="86"/>
                    <w:spacing w:line="240" w:lineRule="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u w:val="none"/>
                      <w:lang w:eastAsia="zh-CN"/>
                    </w:rPr>
                    <w:t>项</w:t>
                  </w:r>
                  <w:r>
                    <w:rPr>
                      <w:rFonts w:hint="default" w:ascii="Times New Roman" w:hAnsi="Times New Roman" w:cs="Times New Roman"/>
                      <w:color w:val="auto"/>
                      <w:u w:val="none"/>
                      <w:lang w:eastAsia="zh-CN"/>
                    </w:rPr>
                    <w:t>目拟建地东面</w:t>
                  </w:r>
                  <w:r>
                    <w:rPr>
                      <w:rFonts w:hint="default" w:ascii="Times New Roman" w:hAnsi="Times New Roman" w:cs="Times New Roman"/>
                      <w:color w:val="auto"/>
                      <w:u w:val="none"/>
                      <w:lang w:val="en-US" w:eastAsia="zh-CN"/>
                    </w:rPr>
                    <w:t>5m处土壤</w:t>
                  </w:r>
                </w:p>
              </w:tc>
              <w:tc>
                <w:tcPr>
                  <w:tcW w:w="4950" w:type="dxa"/>
                  <w:vMerge w:val="restart"/>
                  <w:tcBorders>
                    <w:top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2"/>
                      <w:highlight w:val="none"/>
                      <w:u w:val="none"/>
                      <w:lang w:val="zh-CN" w:eastAsia="zh-CN" w:bidi="zh-CN"/>
                    </w:rPr>
                  </w:pPr>
                  <w:r>
                    <w:rPr>
                      <w:rFonts w:hint="default" w:ascii="Times New Roman" w:hAnsi="Times New Roman" w:cs="Times New Roman"/>
                      <w:color w:val="auto"/>
                      <w:sz w:val="21"/>
                      <w:szCs w:val="22"/>
                      <w:highlight w:val="none"/>
                      <w:u w:val="none"/>
                      <w:lang w:val="zh-CN" w:eastAsia="zh-CN" w:bidi="zh-CN"/>
                    </w:rPr>
                    <w:t>pH值、铜、锌、铅、</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2"/>
                      <w:highlight w:val="none"/>
                      <w:u w:val="none"/>
                      <w:lang w:val="zh-CN" w:eastAsia="zh-CN" w:bidi="zh-CN"/>
                    </w:rPr>
                  </w:pPr>
                  <w:r>
                    <w:rPr>
                      <w:rFonts w:hint="default" w:ascii="Times New Roman" w:hAnsi="Times New Roman" w:cs="Times New Roman"/>
                      <w:color w:val="auto"/>
                      <w:sz w:val="21"/>
                      <w:szCs w:val="22"/>
                      <w:highlight w:val="none"/>
                      <w:u w:val="none"/>
                      <w:lang w:val="zh-CN" w:eastAsia="zh-CN" w:bidi="zh-CN"/>
                    </w:rPr>
                    <w:t>镉、砷、铬、汞、镍</w:t>
                  </w:r>
                </w:p>
              </w:tc>
              <w:tc>
                <w:tcPr>
                  <w:tcW w:w="1203" w:type="dxa"/>
                  <w:vMerge w:val="continue"/>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hint="default" w:ascii="Times New Roman" w:hAnsi="Times New Roman" w:eastAsia="宋体" w:cs="Times New Roman"/>
                      <w:color w:val="auto"/>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57"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T3</w:t>
                  </w:r>
                </w:p>
              </w:tc>
              <w:tc>
                <w:tcPr>
                  <w:tcW w:w="1618" w:type="dxa"/>
                  <w:noWrap w:val="0"/>
                  <w:vAlign w:val="center"/>
                </w:tcPr>
                <w:p>
                  <w:pPr>
                    <w:pStyle w:val="86"/>
                    <w:spacing w:line="240" w:lineRule="auto"/>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u w:val="none"/>
                      <w:lang w:eastAsia="zh-CN"/>
                    </w:rPr>
                    <w:t>项</w:t>
                  </w:r>
                  <w:r>
                    <w:rPr>
                      <w:rFonts w:hint="default" w:ascii="Times New Roman" w:hAnsi="Times New Roman" w:cs="Times New Roman"/>
                      <w:color w:val="auto"/>
                      <w:u w:val="none"/>
                      <w:lang w:eastAsia="zh-CN"/>
                    </w:rPr>
                    <w:t>目拟建地</w:t>
                  </w:r>
                  <w:r>
                    <w:rPr>
                      <w:rFonts w:hint="eastAsia" w:ascii="Times New Roman" w:hAnsi="Times New Roman" w:cs="Times New Roman"/>
                      <w:color w:val="auto"/>
                      <w:u w:val="none"/>
                      <w:lang w:eastAsia="zh-CN"/>
                    </w:rPr>
                    <w:t>南</w:t>
                  </w:r>
                  <w:r>
                    <w:rPr>
                      <w:rFonts w:hint="default" w:ascii="Times New Roman" w:hAnsi="Times New Roman" w:cs="Times New Roman"/>
                      <w:color w:val="auto"/>
                      <w:u w:val="none"/>
                      <w:lang w:eastAsia="zh-CN"/>
                    </w:rPr>
                    <w:t>面</w:t>
                  </w:r>
                  <w:r>
                    <w:rPr>
                      <w:rFonts w:hint="eastAsia" w:ascii="Times New Roman" w:hAnsi="Times New Roman" w:cs="Times New Roman"/>
                      <w:color w:val="auto"/>
                      <w:u w:val="none"/>
                      <w:lang w:val="en-US" w:eastAsia="zh-CN"/>
                    </w:rPr>
                    <w:t>5</w:t>
                  </w:r>
                  <w:r>
                    <w:rPr>
                      <w:rFonts w:hint="default" w:ascii="Times New Roman" w:hAnsi="Times New Roman" w:cs="Times New Roman"/>
                      <w:color w:val="auto"/>
                      <w:u w:val="none"/>
                      <w:lang w:val="en-US" w:eastAsia="zh-CN"/>
                    </w:rPr>
                    <w:t>m处土壤</w:t>
                  </w:r>
                </w:p>
              </w:tc>
              <w:tc>
                <w:tcPr>
                  <w:tcW w:w="4950" w:type="dxa"/>
                  <w:vMerge w:val="continue"/>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hint="default" w:ascii="Times New Roman" w:hAnsi="Times New Roman" w:eastAsia="宋体" w:cs="Times New Roman"/>
                      <w:color w:val="auto"/>
                      <w:sz w:val="21"/>
                      <w:szCs w:val="21"/>
                      <w:u w:val="none"/>
                    </w:rPr>
                  </w:pPr>
                </w:p>
              </w:tc>
              <w:tc>
                <w:tcPr>
                  <w:tcW w:w="1203" w:type="dxa"/>
                  <w:vMerge w:val="continue"/>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hint="default" w:ascii="Times New Roman" w:hAnsi="Times New Roman" w:eastAsia="宋体" w:cs="Times New Roman"/>
                      <w:color w:val="auto"/>
                      <w:sz w:val="21"/>
                      <w:szCs w:val="21"/>
                      <w:u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u w:val="none"/>
                <w:lang w:val="en-US"/>
              </w:rPr>
            </w:pPr>
            <w:r>
              <w:rPr>
                <w:rFonts w:hint="eastAsia"/>
                <w:color w:val="auto"/>
                <w:sz w:val="24"/>
                <w:szCs w:val="24"/>
                <w:u w:val="none"/>
                <w:lang w:val="zh-CN"/>
              </w:rPr>
              <w:t>（</w:t>
            </w:r>
            <w:r>
              <w:rPr>
                <w:rFonts w:hint="eastAsia"/>
                <w:color w:val="auto"/>
                <w:sz w:val="24"/>
                <w:szCs w:val="24"/>
                <w:u w:val="none"/>
                <w:lang w:val="en-US" w:eastAsia="zh-CN"/>
              </w:rPr>
              <w:t>4</w:t>
            </w:r>
            <w:r>
              <w:rPr>
                <w:rFonts w:hint="eastAsia"/>
                <w:color w:val="auto"/>
                <w:sz w:val="24"/>
                <w:szCs w:val="24"/>
                <w:u w:val="none"/>
                <w:lang w:val="zh-CN"/>
              </w:rPr>
              <w:t>）监测结果详见表</w:t>
            </w:r>
            <w:r>
              <w:rPr>
                <w:rFonts w:hint="eastAsia"/>
                <w:color w:val="auto"/>
                <w:sz w:val="24"/>
                <w:szCs w:val="24"/>
                <w:u w:val="none"/>
                <w:lang w:val="en-US" w:eastAsia="zh-CN"/>
              </w:rPr>
              <w:t>3-9：</w:t>
            </w:r>
          </w:p>
          <w:p>
            <w:pPr>
              <w:pStyle w:val="25"/>
              <w:keepNext w:val="0"/>
              <w:keepLines w:val="0"/>
              <w:pageBreakBefore w:val="0"/>
              <w:widowControl w:val="0"/>
              <w:kinsoku/>
              <w:wordWrap/>
              <w:overflowPunct/>
              <w:topLinePunct w:val="0"/>
              <w:autoSpaceDE/>
              <w:autoSpaceDN/>
              <w:bidi w:val="0"/>
              <w:adjustRightInd w:val="0"/>
              <w:snapToGrid w:val="0"/>
              <w:spacing w:beforeLines="0" w:line="240" w:lineRule="auto"/>
              <w:ind w:firstLine="422"/>
              <w:jc w:val="center"/>
              <w:textAlignment w:val="auto"/>
              <w:rPr>
                <w:rFonts w:hint="default" w:eastAsia="宋体"/>
                <w:b/>
                <w:color w:val="auto"/>
                <w:sz w:val="21"/>
                <w:szCs w:val="21"/>
                <w:u w:val="none"/>
                <w:lang w:val="en-US" w:eastAsia="zh-CN"/>
              </w:rPr>
            </w:pPr>
            <w:r>
              <w:rPr>
                <w:rFonts w:hint="eastAsia"/>
                <w:b/>
                <w:color w:val="auto"/>
                <w:sz w:val="21"/>
                <w:szCs w:val="21"/>
                <w:u w:val="none"/>
              </w:rPr>
              <w:t>表3-</w:t>
            </w:r>
            <w:r>
              <w:rPr>
                <w:rFonts w:hint="eastAsia"/>
                <w:b/>
                <w:color w:val="auto"/>
                <w:sz w:val="21"/>
                <w:szCs w:val="21"/>
                <w:u w:val="none"/>
                <w:lang w:val="en-US" w:eastAsia="zh-CN"/>
              </w:rPr>
              <w:t>9</w:t>
            </w:r>
            <w:r>
              <w:rPr>
                <w:rFonts w:hint="eastAsia"/>
                <w:b/>
                <w:color w:val="auto"/>
                <w:sz w:val="21"/>
                <w:szCs w:val="21"/>
                <w:u w:val="none"/>
              </w:rPr>
              <w:t xml:space="preserve">    土壤检测结果</w:t>
            </w:r>
            <w:r>
              <w:rPr>
                <w:rFonts w:hint="eastAsia"/>
                <w:b/>
                <w:color w:val="auto"/>
                <w:sz w:val="21"/>
                <w:szCs w:val="21"/>
                <w:u w:val="none"/>
                <w:lang w:val="en-US" w:eastAsia="zh-CN"/>
              </w:rPr>
              <w:t xml:space="preserve">  单位：mg/kg  pH无量纲</w:t>
            </w:r>
          </w:p>
          <w:tbl>
            <w:tblPr>
              <w:tblStyle w:val="27"/>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568"/>
              <w:gridCol w:w="1840"/>
              <w:gridCol w:w="2659"/>
              <w:gridCol w:w="3055"/>
              <w:gridCol w:w="1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818" w:hRule="atLeast"/>
                <w:jc w:val="center"/>
              </w:trPr>
              <w:tc>
                <w:tcPr>
                  <w:tcW w:w="858" w:type="pct"/>
                  <w:vMerge w:val="restart"/>
                  <w:tcBorders>
                    <w:tl2br w:val="nil"/>
                    <w:tr2bl w:val="nil"/>
                  </w:tcBorders>
                  <w:vAlign w:val="center"/>
                </w:tcPr>
                <w:p>
                  <w:pPr>
                    <w:widowControl/>
                    <w:jc w:val="center"/>
                    <w:textAlignment w:val="center"/>
                    <w:rPr>
                      <w:rFonts w:hint="default"/>
                      <w:bCs/>
                      <w:color w:val="auto"/>
                      <w:szCs w:val="21"/>
                      <w:highlight w:val="yellow"/>
                      <w:u w:val="none"/>
                      <w:lang w:val="en-US" w:eastAsia="zh-CN"/>
                    </w:rPr>
                  </w:pPr>
                  <w:r>
                    <w:rPr>
                      <w:bCs/>
                      <w:color w:val="auto"/>
                      <w:szCs w:val="21"/>
                      <w:u w:val="none"/>
                    </w:rPr>
                    <w:t>20</w:t>
                  </w:r>
                  <w:r>
                    <w:rPr>
                      <w:rFonts w:hint="eastAsia"/>
                      <w:bCs/>
                      <w:color w:val="auto"/>
                      <w:szCs w:val="21"/>
                      <w:u w:val="none"/>
                      <w:lang w:val="en-US" w:eastAsia="zh-CN"/>
                    </w:rPr>
                    <w:t>20.3.10</w:t>
                  </w:r>
                </w:p>
              </w:tc>
              <w:tc>
                <w:tcPr>
                  <w:tcW w:w="1007" w:type="pct"/>
                  <w:vMerge w:val="restart"/>
                  <w:tcBorders>
                    <w:tl2br w:val="nil"/>
                    <w:tr2bl w:val="nil"/>
                  </w:tcBorders>
                  <w:vAlign w:val="center"/>
                </w:tcPr>
                <w:p>
                  <w:pPr>
                    <w:widowControl/>
                    <w:jc w:val="center"/>
                    <w:textAlignment w:val="center"/>
                    <w:rPr>
                      <w:bCs/>
                      <w:color w:val="auto"/>
                      <w:szCs w:val="21"/>
                      <w:u w:val="none"/>
                    </w:rPr>
                  </w:pPr>
                  <w:r>
                    <w:rPr>
                      <w:bCs/>
                      <w:color w:val="auto"/>
                      <w:kern w:val="0"/>
                      <w:szCs w:val="21"/>
                      <w:u w:val="none"/>
                    </w:rPr>
                    <w:t>检测项目</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szCs w:val="21"/>
                      <w:u w:val="none"/>
                    </w:rPr>
                    <w:t>采样点位</w:t>
                  </w:r>
                  <w:r>
                    <w:rPr>
                      <w:bCs/>
                      <w:color w:val="auto"/>
                      <w:kern w:val="0"/>
                      <w:szCs w:val="21"/>
                      <w:u w:val="none"/>
                    </w:rPr>
                    <w:t>及检测结果</w:t>
                  </w:r>
                </w:p>
                <w:p>
                  <w:pPr>
                    <w:widowControl/>
                    <w:jc w:val="center"/>
                    <w:textAlignment w:val="center"/>
                    <w:rPr>
                      <w:bCs/>
                      <w:color w:val="auto"/>
                      <w:szCs w:val="21"/>
                      <w:u w:val="none"/>
                    </w:rPr>
                  </w:pPr>
                  <w:r>
                    <w:rPr>
                      <w:bCs/>
                      <w:color w:val="auto"/>
                      <w:kern w:val="0"/>
                      <w:szCs w:val="21"/>
                      <w:u w:val="none"/>
                    </w:rPr>
                    <w:t>（单位：</w:t>
                  </w:r>
                  <w:r>
                    <w:rPr>
                      <w:rFonts w:hint="eastAsia"/>
                      <w:bCs/>
                      <w:color w:val="auto"/>
                      <w:kern w:val="0"/>
                      <w:szCs w:val="21"/>
                      <w:u w:val="none"/>
                      <w:lang w:val="en-US" w:eastAsia="zh-CN"/>
                    </w:rPr>
                    <w:t>m</w:t>
                  </w:r>
                  <w:r>
                    <w:rPr>
                      <w:bCs/>
                      <w:color w:val="auto"/>
                      <w:kern w:val="0"/>
                      <w:szCs w:val="21"/>
                      <w:u w:val="none"/>
                    </w:rPr>
                    <w:t>g/kg，pH值无量纲）</w:t>
                  </w:r>
                </w:p>
              </w:tc>
              <w:tc>
                <w:tcPr>
                  <w:tcW w:w="1678" w:type="pct"/>
                  <w:gridSpan w:val="2"/>
                  <w:tcBorders>
                    <w:tl2br w:val="nil"/>
                    <w:tr2bl w:val="nil"/>
                  </w:tcBorders>
                  <w:vAlign w:val="center"/>
                </w:tcPr>
                <w:p>
                  <w:pPr>
                    <w:widowControl/>
                    <w:jc w:val="center"/>
                    <w:textAlignment w:val="center"/>
                    <w:rPr>
                      <w:bCs/>
                      <w:color w:val="auto"/>
                      <w:szCs w:val="21"/>
                      <w:u w:val="none"/>
                    </w:rPr>
                  </w:pPr>
                  <w:r>
                    <w:rPr>
                      <w:bCs/>
                      <w:color w:val="auto"/>
                      <w:szCs w:val="21"/>
                      <w:u w:val="none"/>
                    </w:rPr>
                    <w:t>《土壤环境质量建设用地土壤污染风险管控标准试行》GB36600-2018表1中</w:t>
                  </w:r>
                  <w:r>
                    <w:rPr>
                      <w:rFonts w:hint="eastAsia"/>
                      <w:bCs/>
                      <w:color w:val="auto"/>
                      <w:szCs w:val="21"/>
                      <w:u w:val="none"/>
                    </w:rPr>
                    <w:t>二</w:t>
                  </w:r>
                  <w:r>
                    <w:rPr>
                      <w:bCs/>
                      <w:color w:val="auto"/>
                      <w:szCs w:val="21"/>
                      <w:u w:val="none"/>
                    </w:rPr>
                    <w:t>类用地</w:t>
                  </w:r>
                  <w:r>
                    <w:rPr>
                      <w:rFonts w:hint="eastAsia"/>
                      <w:bCs/>
                      <w:color w:val="auto"/>
                      <w:szCs w:val="21"/>
                      <w:u w:val="none"/>
                    </w:rPr>
                    <w:t>风险筛选值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16"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vMerge w:val="continue"/>
                  <w:tcBorders>
                    <w:tl2br w:val="nil"/>
                    <w:tr2bl w:val="nil"/>
                  </w:tcBorders>
                  <w:vAlign w:val="center"/>
                </w:tcPr>
                <w:p>
                  <w:pPr>
                    <w:widowControl/>
                    <w:jc w:val="center"/>
                    <w:textAlignment w:val="center"/>
                    <w:rPr>
                      <w:bCs/>
                      <w:color w:val="auto"/>
                      <w:szCs w:val="21"/>
                      <w:u w:val="none"/>
                    </w:rPr>
                  </w:pPr>
                </w:p>
              </w:tc>
              <w:tc>
                <w:tcPr>
                  <w:tcW w:w="1455" w:type="pct"/>
                  <w:tcBorders>
                    <w:tl2br w:val="nil"/>
                    <w:tr2bl w:val="nil"/>
                  </w:tcBorders>
                  <w:vAlign w:val="center"/>
                </w:tcPr>
                <w:p>
                  <w:pPr>
                    <w:jc w:val="center"/>
                    <w:rPr>
                      <w:bCs/>
                      <w:color w:val="auto"/>
                      <w:szCs w:val="21"/>
                      <w:u w:val="none"/>
                    </w:rPr>
                  </w:pPr>
                  <w:r>
                    <w:rPr>
                      <w:rFonts w:hint="eastAsia"/>
                      <w:bCs/>
                      <w:color w:val="auto"/>
                      <w:szCs w:val="21"/>
                      <w:u w:val="none"/>
                      <w:lang w:val="en-US" w:eastAsia="zh-CN"/>
                    </w:rPr>
                    <w:t>T1</w:t>
                  </w:r>
                  <w:r>
                    <w:rPr>
                      <w:rFonts w:hint="eastAsia"/>
                      <w:bCs/>
                      <w:color w:val="auto"/>
                      <w:szCs w:val="21"/>
                      <w:u w:val="none"/>
                      <w:lang w:eastAsia="zh-CN"/>
                    </w:rPr>
                    <w:t>项目</w:t>
                  </w:r>
                  <w:r>
                    <w:rPr>
                      <w:rFonts w:hint="default" w:ascii="Times New Roman" w:hAnsi="Times New Roman" w:cs="Times New Roman"/>
                      <w:bCs/>
                      <w:color w:val="auto"/>
                      <w:szCs w:val="21"/>
                      <w:u w:val="none"/>
                      <w:lang w:eastAsia="zh-CN"/>
                    </w:rPr>
                    <w:t>拟建地中心位置</w:t>
                  </w:r>
                </w:p>
              </w:tc>
              <w:tc>
                <w:tcPr>
                  <w:tcW w:w="1672" w:type="pct"/>
                  <w:tcBorders>
                    <w:tl2br w:val="nil"/>
                    <w:tr2bl w:val="nil"/>
                  </w:tcBorders>
                  <w:vAlign w:val="center"/>
                </w:tcPr>
                <w:p>
                  <w:pPr>
                    <w:jc w:val="center"/>
                    <w:rPr>
                      <w:rFonts w:hint="eastAsia" w:eastAsia="宋体"/>
                      <w:bCs/>
                      <w:color w:val="auto"/>
                      <w:szCs w:val="21"/>
                      <w:u w:val="none"/>
                      <w:lang w:val="en-US" w:eastAsia="zh-CN"/>
                    </w:rPr>
                  </w:pPr>
                  <w:r>
                    <w:rPr>
                      <w:rFonts w:hint="eastAsia"/>
                      <w:bCs/>
                      <w:color w:val="auto"/>
                      <w:szCs w:val="21"/>
                      <w:u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90"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kern w:val="0"/>
                      <w:szCs w:val="21"/>
                      <w:u w:val="none"/>
                    </w:rPr>
                  </w:pPr>
                  <w:r>
                    <w:rPr>
                      <w:bCs/>
                      <w:color w:val="auto"/>
                      <w:szCs w:val="21"/>
                      <w:u w:val="none"/>
                    </w:rPr>
                    <w:t>砷</w:t>
                  </w:r>
                </w:p>
              </w:tc>
              <w:tc>
                <w:tcPr>
                  <w:tcW w:w="1455" w:type="pct"/>
                  <w:tcBorders>
                    <w:tl2br w:val="nil"/>
                    <w:tr2bl w:val="nil"/>
                  </w:tcBorders>
                  <w:vAlign w:val="center"/>
                </w:tcPr>
                <w:p>
                  <w:pPr>
                    <w:widowControl/>
                    <w:jc w:val="center"/>
                    <w:textAlignment w:val="center"/>
                    <w:rPr>
                      <w:rFonts w:hint="default" w:eastAsia="宋体"/>
                      <w:bCs/>
                      <w:color w:val="auto"/>
                      <w:kern w:val="0"/>
                      <w:szCs w:val="21"/>
                      <w:u w:val="none"/>
                      <w:lang w:val="en-US" w:eastAsia="zh-CN"/>
                    </w:rPr>
                  </w:pPr>
                  <w:r>
                    <w:rPr>
                      <w:rFonts w:hint="eastAsia"/>
                      <w:bCs/>
                      <w:color w:val="auto"/>
                      <w:kern w:val="0"/>
                      <w:szCs w:val="21"/>
                      <w:u w:val="none"/>
                      <w:lang w:val="en-US" w:eastAsia="zh-CN"/>
                    </w:rPr>
                    <w:t>21.0</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7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kern w:val="0"/>
                      <w:szCs w:val="21"/>
                      <w:u w:val="none"/>
                    </w:rPr>
                  </w:pPr>
                  <w:r>
                    <w:rPr>
                      <w:bCs/>
                      <w:color w:val="auto"/>
                      <w:szCs w:val="21"/>
                      <w:u w:val="none"/>
                    </w:rPr>
                    <w:t>镉</w:t>
                  </w:r>
                </w:p>
              </w:tc>
              <w:tc>
                <w:tcPr>
                  <w:tcW w:w="1455" w:type="pct"/>
                  <w:tcBorders>
                    <w:tl2br w:val="nil"/>
                    <w:tr2bl w:val="nil"/>
                  </w:tcBorders>
                  <w:vAlign w:val="center"/>
                </w:tcPr>
                <w:p>
                  <w:pPr>
                    <w:widowControl/>
                    <w:jc w:val="center"/>
                    <w:textAlignment w:val="center"/>
                    <w:rPr>
                      <w:rFonts w:hint="default" w:eastAsia="宋体"/>
                      <w:bCs/>
                      <w:color w:val="auto"/>
                      <w:kern w:val="0"/>
                      <w:szCs w:val="21"/>
                      <w:u w:val="none"/>
                      <w:lang w:val="en-US" w:eastAsia="zh-CN"/>
                    </w:rPr>
                  </w:pPr>
                  <w:r>
                    <w:rPr>
                      <w:rFonts w:hint="eastAsia"/>
                      <w:bCs/>
                      <w:color w:val="auto"/>
                      <w:kern w:val="0"/>
                      <w:szCs w:val="21"/>
                      <w:u w:val="none"/>
                      <w:lang w:val="en-US" w:eastAsia="zh-CN"/>
                    </w:rPr>
                    <w:t>0.70</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62"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六价铬</w:t>
                  </w:r>
                </w:p>
              </w:tc>
              <w:tc>
                <w:tcPr>
                  <w:tcW w:w="1455" w:type="pct"/>
                  <w:tcBorders>
                    <w:tl2br w:val="nil"/>
                    <w:tr2bl w:val="nil"/>
                  </w:tcBorders>
                  <w:vAlign w:val="center"/>
                </w:tcPr>
                <w:p>
                  <w:pPr>
                    <w:widowControl/>
                    <w:jc w:val="center"/>
                    <w:textAlignment w:val="center"/>
                    <w:rPr>
                      <w:rFonts w:hint="default" w:eastAsia="宋体"/>
                      <w:bCs/>
                      <w:color w:val="auto"/>
                      <w:kern w:val="0"/>
                      <w:szCs w:val="21"/>
                      <w:u w:val="none"/>
                      <w:lang w:val="en-US" w:eastAsia="zh-CN"/>
                    </w:rPr>
                  </w:pPr>
                  <w:r>
                    <w:rPr>
                      <w:rFonts w:hint="eastAsia"/>
                      <w:bCs/>
                      <w:color w:val="auto"/>
                      <w:szCs w:val="21"/>
                      <w:u w:val="none"/>
                      <w:lang w:val="en-US" w:eastAsia="zh-CN"/>
                    </w:rPr>
                    <w:t>3.78</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5.7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4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kern w:val="0"/>
                      <w:szCs w:val="21"/>
                      <w:u w:val="none"/>
                    </w:rPr>
                  </w:pPr>
                  <w:r>
                    <w:rPr>
                      <w:bCs/>
                      <w:color w:val="auto"/>
                      <w:szCs w:val="21"/>
                      <w:u w:val="none"/>
                    </w:rPr>
                    <w:t>铜</w:t>
                  </w:r>
                </w:p>
              </w:tc>
              <w:tc>
                <w:tcPr>
                  <w:tcW w:w="1455" w:type="pct"/>
                  <w:tcBorders>
                    <w:tl2br w:val="nil"/>
                    <w:tr2bl w:val="nil"/>
                  </w:tcBorders>
                  <w:vAlign w:val="center"/>
                </w:tcPr>
                <w:p>
                  <w:pPr>
                    <w:widowControl/>
                    <w:jc w:val="center"/>
                    <w:textAlignment w:val="center"/>
                    <w:rPr>
                      <w:rFonts w:hint="default" w:eastAsia="宋体"/>
                      <w:bCs/>
                      <w:color w:val="auto"/>
                      <w:kern w:val="0"/>
                      <w:szCs w:val="21"/>
                      <w:u w:val="none"/>
                      <w:lang w:val="en-US" w:eastAsia="zh-CN"/>
                    </w:rPr>
                  </w:pPr>
                  <w:r>
                    <w:rPr>
                      <w:rFonts w:hint="eastAsia"/>
                      <w:bCs/>
                      <w:color w:val="auto"/>
                      <w:kern w:val="0"/>
                      <w:szCs w:val="21"/>
                      <w:u w:val="none"/>
                      <w:lang w:val="en-US" w:eastAsia="zh-CN"/>
                    </w:rPr>
                    <w:t>25</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18000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92"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kern w:val="0"/>
                      <w:szCs w:val="21"/>
                      <w:u w:val="none"/>
                    </w:rPr>
                  </w:pPr>
                  <w:r>
                    <w:rPr>
                      <w:bCs/>
                      <w:color w:val="auto"/>
                      <w:szCs w:val="21"/>
                      <w:u w:val="none"/>
                    </w:rPr>
                    <w:t>铅</w:t>
                  </w:r>
                </w:p>
              </w:tc>
              <w:tc>
                <w:tcPr>
                  <w:tcW w:w="1455" w:type="pct"/>
                  <w:tcBorders>
                    <w:tl2br w:val="nil"/>
                    <w:tr2bl w:val="nil"/>
                  </w:tcBorders>
                  <w:vAlign w:val="center"/>
                </w:tcPr>
                <w:p>
                  <w:pPr>
                    <w:widowControl/>
                    <w:jc w:val="center"/>
                    <w:textAlignment w:val="center"/>
                    <w:rPr>
                      <w:rFonts w:hint="default" w:eastAsia="宋体"/>
                      <w:bCs/>
                      <w:color w:val="auto"/>
                      <w:kern w:val="0"/>
                      <w:szCs w:val="21"/>
                      <w:u w:val="none"/>
                      <w:lang w:val="en-US" w:eastAsia="zh-CN"/>
                    </w:rPr>
                  </w:pPr>
                  <w:r>
                    <w:rPr>
                      <w:rFonts w:hint="eastAsia"/>
                      <w:bCs/>
                      <w:color w:val="auto"/>
                      <w:kern w:val="0"/>
                      <w:szCs w:val="21"/>
                      <w:u w:val="none"/>
                      <w:lang w:val="en-US" w:eastAsia="zh-CN"/>
                    </w:rPr>
                    <w:t>17.5</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800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30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kern w:val="0"/>
                      <w:szCs w:val="21"/>
                      <w:u w:val="none"/>
                    </w:rPr>
                  </w:pPr>
                  <w:r>
                    <w:rPr>
                      <w:bCs/>
                      <w:color w:val="auto"/>
                      <w:szCs w:val="21"/>
                      <w:u w:val="none"/>
                    </w:rPr>
                    <w:t>汞</w:t>
                  </w:r>
                </w:p>
              </w:tc>
              <w:tc>
                <w:tcPr>
                  <w:tcW w:w="1455" w:type="pct"/>
                  <w:tcBorders>
                    <w:tl2br w:val="nil"/>
                    <w:tr2bl w:val="nil"/>
                  </w:tcBorders>
                  <w:vAlign w:val="center"/>
                </w:tcPr>
                <w:p>
                  <w:pPr>
                    <w:widowControl/>
                    <w:jc w:val="center"/>
                    <w:textAlignment w:val="center"/>
                    <w:rPr>
                      <w:rFonts w:hint="default" w:eastAsia="宋体"/>
                      <w:bCs/>
                      <w:color w:val="auto"/>
                      <w:kern w:val="0"/>
                      <w:szCs w:val="21"/>
                      <w:u w:val="none"/>
                      <w:lang w:val="en-US" w:eastAsia="zh-CN"/>
                    </w:rPr>
                  </w:pPr>
                  <w:r>
                    <w:rPr>
                      <w:rFonts w:hint="eastAsia"/>
                      <w:bCs/>
                      <w:color w:val="auto"/>
                      <w:kern w:val="0"/>
                      <w:szCs w:val="21"/>
                      <w:u w:val="none"/>
                      <w:lang w:val="en-US" w:eastAsia="zh-CN"/>
                    </w:rPr>
                    <w:t>0.276</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3</w:t>
                  </w:r>
                  <w:r>
                    <w:rPr>
                      <w:bCs/>
                      <w:color w:val="auto"/>
                      <w:kern w:val="0"/>
                      <w:szCs w:val="21"/>
                      <w:u w:val="none"/>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70"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kern w:val="0"/>
                      <w:szCs w:val="21"/>
                      <w:u w:val="none"/>
                    </w:rPr>
                  </w:pPr>
                  <w:r>
                    <w:rPr>
                      <w:bCs/>
                      <w:color w:val="auto"/>
                      <w:szCs w:val="21"/>
                      <w:u w:val="none"/>
                    </w:rPr>
                    <w:t>镍</w:t>
                  </w:r>
                </w:p>
              </w:tc>
              <w:tc>
                <w:tcPr>
                  <w:tcW w:w="1455" w:type="pct"/>
                  <w:tcBorders>
                    <w:tl2br w:val="nil"/>
                    <w:tr2bl w:val="nil"/>
                  </w:tcBorders>
                  <w:vAlign w:val="center"/>
                </w:tcPr>
                <w:p>
                  <w:pPr>
                    <w:widowControl/>
                    <w:jc w:val="center"/>
                    <w:textAlignment w:val="center"/>
                    <w:rPr>
                      <w:rFonts w:hint="default" w:eastAsia="宋体"/>
                      <w:bCs/>
                      <w:color w:val="auto"/>
                      <w:kern w:val="0"/>
                      <w:szCs w:val="21"/>
                      <w:u w:val="none"/>
                      <w:lang w:val="en-US" w:eastAsia="zh-CN"/>
                    </w:rPr>
                  </w:pPr>
                  <w:r>
                    <w:rPr>
                      <w:rFonts w:hint="eastAsia"/>
                      <w:bCs/>
                      <w:color w:val="auto"/>
                      <w:kern w:val="0"/>
                      <w:szCs w:val="21"/>
                      <w:u w:val="none"/>
                      <w:lang w:val="en-US" w:eastAsia="zh-CN"/>
                    </w:rPr>
                    <w:t>37</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900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7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kern w:val="0"/>
                      <w:szCs w:val="21"/>
                      <w:u w:val="none"/>
                    </w:rPr>
                  </w:pPr>
                  <w:r>
                    <w:rPr>
                      <w:bCs/>
                      <w:color w:val="auto"/>
                      <w:szCs w:val="21"/>
                      <w:u w:val="none"/>
                    </w:rPr>
                    <w:t>四氯化碳</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2.8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12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kern w:val="0"/>
                      <w:szCs w:val="21"/>
                      <w:u w:val="none"/>
                    </w:rPr>
                  </w:pPr>
                  <w:r>
                    <w:rPr>
                      <w:bCs/>
                      <w:color w:val="auto"/>
                      <w:szCs w:val="21"/>
                      <w:u w:val="none"/>
                    </w:rPr>
                    <w:t>氯仿</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0.9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15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kern w:val="0"/>
                      <w:szCs w:val="21"/>
                      <w:u w:val="none"/>
                    </w:rPr>
                    <w:t>氯甲烷</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37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62"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kern w:val="0"/>
                      <w:szCs w:val="21"/>
                      <w:u w:val="none"/>
                    </w:rPr>
                  </w:pPr>
                  <w:r>
                    <w:rPr>
                      <w:bCs/>
                      <w:color w:val="auto"/>
                      <w:szCs w:val="21"/>
                      <w:u w:val="none"/>
                    </w:rPr>
                    <w:t>1,1-二氯乙烷</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7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kern w:val="0"/>
                      <w:szCs w:val="21"/>
                      <w:u w:val="none"/>
                    </w:rPr>
                  </w:pPr>
                  <w:r>
                    <w:rPr>
                      <w:bCs/>
                      <w:color w:val="auto"/>
                      <w:szCs w:val="21"/>
                      <w:u w:val="none"/>
                    </w:rPr>
                    <w:t>1,2-二氯乙烷</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1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kern w:val="0"/>
                      <w:szCs w:val="21"/>
                      <w:u w:val="none"/>
                    </w:rPr>
                  </w:pPr>
                  <w:r>
                    <w:rPr>
                      <w:bCs/>
                      <w:color w:val="auto"/>
                      <w:szCs w:val="21"/>
                      <w:u w:val="none"/>
                    </w:rPr>
                    <w:t>1,1-二氯乙烯</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66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172"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kern w:val="0"/>
                      <w:szCs w:val="21"/>
                      <w:u w:val="none"/>
                    </w:rPr>
                  </w:pPr>
                  <w:r>
                    <w:rPr>
                      <w:bCs/>
                      <w:color w:val="auto"/>
                      <w:szCs w:val="21"/>
                      <w:u w:val="none"/>
                    </w:rPr>
                    <w:t>顺-1,2-二氯乙烯</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596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18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kern w:val="0"/>
                      <w:szCs w:val="21"/>
                      <w:u w:val="none"/>
                    </w:rPr>
                  </w:pPr>
                  <w:r>
                    <w:rPr>
                      <w:bCs/>
                      <w:color w:val="auto"/>
                      <w:szCs w:val="21"/>
                      <w:u w:val="none"/>
                    </w:rPr>
                    <w:t>反-1,2-二氯乙烯</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54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112"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kern w:val="0"/>
                      <w:szCs w:val="21"/>
                      <w:u w:val="none"/>
                    </w:rPr>
                  </w:pPr>
                  <w:r>
                    <w:rPr>
                      <w:bCs/>
                      <w:color w:val="auto"/>
                      <w:szCs w:val="21"/>
                      <w:u w:val="none"/>
                    </w:rPr>
                    <w:t>二氯甲烷</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616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18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kern w:val="0"/>
                      <w:szCs w:val="21"/>
                      <w:u w:val="none"/>
                    </w:rPr>
                    <w:t>1,2-二氯丙烷</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90"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kern w:val="0"/>
                      <w:szCs w:val="21"/>
                      <w:u w:val="none"/>
                    </w:rPr>
                  </w:pPr>
                  <w:r>
                    <w:rPr>
                      <w:bCs/>
                      <w:color w:val="auto"/>
                      <w:szCs w:val="21"/>
                      <w:u w:val="none"/>
                    </w:rPr>
                    <w:t>1,1,1,2-四氯乙烷</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4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kern w:val="0"/>
                      <w:szCs w:val="21"/>
                      <w:u w:val="none"/>
                    </w:rPr>
                  </w:pPr>
                  <w:r>
                    <w:rPr>
                      <w:bCs/>
                      <w:color w:val="auto"/>
                      <w:szCs w:val="21"/>
                      <w:u w:val="none"/>
                    </w:rPr>
                    <w:t>1,1,2,2-四氯乙烷</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6.8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92"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四氯乙烯</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53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112"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1,1,1-三氯乙烷</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840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18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1,1,2-三氯乙烷</w:t>
                  </w:r>
                </w:p>
              </w:tc>
              <w:tc>
                <w:tcPr>
                  <w:tcW w:w="1455" w:type="pct"/>
                  <w:tcBorders>
                    <w:tl2br w:val="nil"/>
                    <w:tr2bl w:val="nil"/>
                  </w:tcBorders>
                  <w:vAlign w:val="center"/>
                </w:tcPr>
                <w:p>
                  <w:pPr>
                    <w:jc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jc w:val="center"/>
                    <w:rPr>
                      <w:bCs/>
                      <w:color w:val="auto"/>
                      <w:kern w:val="0"/>
                      <w:szCs w:val="21"/>
                      <w:u w:val="none"/>
                    </w:rPr>
                  </w:pPr>
                  <w:r>
                    <w:rPr>
                      <w:rFonts w:hint="eastAsia"/>
                      <w:bCs/>
                      <w:color w:val="auto"/>
                      <w:kern w:val="0"/>
                      <w:szCs w:val="21"/>
                      <w:u w:val="none"/>
                    </w:rPr>
                    <w:t>2.8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112"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三氯乙烯</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2.8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172"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1,2,3-三氯丙烷</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18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氯乙烯</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0.43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112"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苯</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4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氯苯</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270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322"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1,2-二氯苯</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560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1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1,4-二氯苯</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15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乙苯</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28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30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苯乙烯</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1290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4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甲苯</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1200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142"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间，对-二甲苯</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570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62"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邻二甲苯</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640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4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硝基苯</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76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15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苯胺类</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260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7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2-氯酚</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2256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0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苯并[a]蒽</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1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苯并[a]芘</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15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苯并[b]荧蒽</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172"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苯并[k]荧蒽</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151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02"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shd w:val="clear" w:color="auto" w:fill="FFFFFF"/>
                    </w:rPr>
                    <w:t>䓛</w:t>
                  </w:r>
                </w:p>
              </w:tc>
              <w:tc>
                <w:tcPr>
                  <w:tcW w:w="1455" w:type="pct"/>
                  <w:tcBorders>
                    <w:tl2br w:val="nil"/>
                    <w:tr2bl w:val="nil"/>
                  </w:tcBorders>
                  <w:vAlign w:val="center"/>
                </w:tcPr>
                <w:p>
                  <w:pPr>
                    <w:jc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jc w:val="center"/>
                    <w:rPr>
                      <w:bCs/>
                      <w:color w:val="auto"/>
                      <w:kern w:val="0"/>
                      <w:szCs w:val="21"/>
                      <w:u w:val="none"/>
                    </w:rPr>
                  </w:pPr>
                  <w:r>
                    <w:rPr>
                      <w:rFonts w:hint="eastAsia"/>
                      <w:bCs/>
                      <w:color w:val="auto"/>
                      <w:kern w:val="0"/>
                      <w:szCs w:val="21"/>
                      <w:u w:val="none"/>
                    </w:rPr>
                    <w:t>1293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112"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二苯并[a,h]蒽</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0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茚并[1,2,3-cd]芘</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27" w:hRule="atLeast"/>
                <w:jc w:val="center"/>
              </w:trPr>
              <w:tc>
                <w:tcPr>
                  <w:tcW w:w="858" w:type="pct"/>
                  <w:vMerge w:val="continue"/>
                  <w:tcBorders>
                    <w:tl2br w:val="nil"/>
                    <w:tr2bl w:val="nil"/>
                  </w:tcBorders>
                  <w:vAlign w:val="center"/>
                </w:tcPr>
                <w:p>
                  <w:pPr>
                    <w:jc w:val="center"/>
                    <w:rPr>
                      <w:bCs/>
                      <w:color w:val="auto"/>
                      <w:szCs w:val="21"/>
                      <w:u w:val="none"/>
                    </w:rPr>
                  </w:pPr>
                </w:p>
              </w:tc>
              <w:tc>
                <w:tcPr>
                  <w:tcW w:w="1007" w:type="pct"/>
                  <w:tcBorders>
                    <w:tl2br w:val="nil"/>
                    <w:tr2bl w:val="nil"/>
                  </w:tcBorders>
                  <w:vAlign w:val="center"/>
                </w:tcPr>
                <w:p>
                  <w:pPr>
                    <w:jc w:val="center"/>
                    <w:rPr>
                      <w:bCs/>
                      <w:color w:val="auto"/>
                      <w:szCs w:val="21"/>
                      <w:u w:val="none"/>
                    </w:rPr>
                  </w:pPr>
                  <w:r>
                    <w:rPr>
                      <w:bCs/>
                      <w:color w:val="auto"/>
                      <w:szCs w:val="21"/>
                      <w:u w:val="none"/>
                    </w:rPr>
                    <w:t>萘</w:t>
                  </w:r>
                </w:p>
              </w:tc>
              <w:tc>
                <w:tcPr>
                  <w:tcW w:w="1455" w:type="pct"/>
                  <w:tcBorders>
                    <w:tl2br w:val="nil"/>
                    <w:tr2bl w:val="nil"/>
                  </w:tcBorders>
                  <w:vAlign w:val="center"/>
                </w:tcPr>
                <w:p>
                  <w:pPr>
                    <w:widowControl/>
                    <w:jc w:val="center"/>
                    <w:textAlignment w:val="center"/>
                    <w:rPr>
                      <w:bCs/>
                      <w:color w:val="auto"/>
                      <w:kern w:val="0"/>
                      <w:szCs w:val="21"/>
                      <w:u w:val="none"/>
                    </w:rPr>
                  </w:pPr>
                  <w:r>
                    <w:rPr>
                      <w:bCs/>
                      <w:color w:val="auto"/>
                      <w:kern w:val="0"/>
                      <w:szCs w:val="21"/>
                      <w:u w:val="none"/>
                    </w:rPr>
                    <w:t>ND</w:t>
                  </w:r>
                </w:p>
              </w:tc>
              <w:tc>
                <w:tcPr>
                  <w:tcW w:w="1672" w:type="pct"/>
                  <w:tcBorders>
                    <w:tl2br w:val="nil"/>
                    <w:tr2bl w:val="nil"/>
                  </w:tcBorders>
                  <w:vAlign w:val="center"/>
                </w:tcPr>
                <w:p>
                  <w:pPr>
                    <w:widowControl/>
                    <w:jc w:val="center"/>
                    <w:textAlignment w:val="center"/>
                    <w:rPr>
                      <w:bCs/>
                      <w:color w:val="auto"/>
                      <w:kern w:val="0"/>
                      <w:szCs w:val="21"/>
                      <w:u w:val="none"/>
                    </w:rPr>
                  </w:pPr>
                  <w:r>
                    <w:rPr>
                      <w:rFonts w:hint="eastAsia"/>
                      <w:bCs/>
                      <w:color w:val="auto"/>
                      <w:kern w:val="0"/>
                      <w:szCs w:val="21"/>
                      <w:u w:val="none"/>
                    </w:rPr>
                    <w:t>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27" w:hRule="atLeast"/>
                <w:jc w:val="center"/>
              </w:trPr>
              <w:tc>
                <w:tcPr>
                  <w:tcW w:w="858" w:type="pct"/>
                  <w:vMerge w:val="continue"/>
                  <w:tcBorders>
                    <w:tl2br w:val="nil"/>
                    <w:tr2bl w:val="nil"/>
                  </w:tcBorders>
                  <w:vAlign w:val="center"/>
                </w:tcPr>
                <w:p>
                  <w:pPr>
                    <w:jc w:val="center"/>
                    <w:rPr>
                      <w:rFonts w:hint="eastAsia"/>
                      <w:bCs/>
                      <w:color w:val="auto"/>
                      <w:szCs w:val="21"/>
                      <w:highlight w:val="yellow"/>
                      <w:u w:val="none"/>
                      <w:lang w:val="en-US" w:eastAsia="zh-CN"/>
                    </w:rPr>
                  </w:pPr>
                </w:p>
              </w:tc>
              <w:tc>
                <w:tcPr>
                  <w:tcW w:w="1007" w:type="pct"/>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检测项目</w:t>
                  </w:r>
                </w:p>
              </w:tc>
              <w:tc>
                <w:tcPr>
                  <w:tcW w:w="1455" w:type="pct"/>
                  <w:tcBorders>
                    <w:tl2br w:val="nil"/>
                    <w:tr2bl w:val="nil"/>
                  </w:tcBorders>
                  <w:vAlign w:val="center"/>
                </w:tcPr>
                <w:p>
                  <w:pPr>
                    <w:widowControl/>
                    <w:jc w:val="center"/>
                    <w:textAlignment w:val="center"/>
                    <w:rPr>
                      <w:rFonts w:hint="eastAsia"/>
                      <w:bCs/>
                      <w:color w:val="auto"/>
                      <w:kern w:val="0"/>
                      <w:szCs w:val="21"/>
                      <w:highlight w:val="yellow"/>
                      <w:u w:val="none"/>
                    </w:rPr>
                  </w:pPr>
                  <w:r>
                    <w:rPr>
                      <w:rFonts w:hint="default" w:ascii="Times New Roman" w:hAnsi="Times New Roman" w:eastAsia="宋体" w:cs="Times New Roman"/>
                      <w:color w:val="auto"/>
                      <w:szCs w:val="21"/>
                      <w:u w:val="none"/>
                      <w:lang w:val="en-US" w:eastAsia="zh-CN"/>
                    </w:rPr>
                    <w:t>T2</w:t>
                  </w:r>
                  <w:r>
                    <w:rPr>
                      <w:rFonts w:hint="eastAsia" w:cs="Times New Roman"/>
                      <w:color w:val="auto"/>
                      <w:u w:val="none"/>
                      <w:lang w:eastAsia="zh-CN"/>
                    </w:rPr>
                    <w:t>项</w:t>
                  </w:r>
                  <w:r>
                    <w:rPr>
                      <w:rFonts w:hint="default" w:ascii="Times New Roman" w:hAnsi="Times New Roman" w:cs="Times New Roman"/>
                      <w:color w:val="auto"/>
                      <w:u w:val="none"/>
                      <w:lang w:eastAsia="zh-CN"/>
                    </w:rPr>
                    <w:t>目拟建地东面</w:t>
                  </w:r>
                  <w:r>
                    <w:rPr>
                      <w:rFonts w:hint="default" w:ascii="Times New Roman" w:hAnsi="Times New Roman" w:cs="Times New Roman"/>
                      <w:color w:val="auto"/>
                      <w:u w:val="none"/>
                      <w:lang w:val="en-US" w:eastAsia="zh-CN"/>
                    </w:rPr>
                    <w:t>5m处土壤</w:t>
                  </w:r>
                </w:p>
              </w:tc>
              <w:tc>
                <w:tcPr>
                  <w:tcW w:w="1672" w:type="pct"/>
                  <w:tcBorders>
                    <w:tl2br w:val="nil"/>
                    <w:tr2bl w:val="nil"/>
                  </w:tcBorders>
                  <w:vAlign w:val="center"/>
                </w:tcPr>
                <w:p>
                  <w:pPr>
                    <w:widowControl/>
                    <w:jc w:val="center"/>
                    <w:textAlignment w:val="center"/>
                    <w:rPr>
                      <w:rFonts w:hint="eastAsia"/>
                      <w:bCs/>
                      <w:color w:val="auto"/>
                      <w:kern w:val="0"/>
                      <w:szCs w:val="21"/>
                      <w:highlight w:val="yellow"/>
                      <w:u w:val="none"/>
                    </w:rPr>
                  </w:pPr>
                  <w:r>
                    <w:rPr>
                      <w:bCs/>
                      <w:color w:val="auto"/>
                      <w:szCs w:val="21"/>
                      <w:u w:val="none"/>
                    </w:rPr>
                    <w:t>《土壤环境质量建设用地土壤污染风险管控标准试行》GB36600-2018表1中</w:t>
                  </w:r>
                  <w:r>
                    <w:rPr>
                      <w:rFonts w:hint="eastAsia"/>
                      <w:bCs/>
                      <w:color w:val="auto"/>
                      <w:szCs w:val="21"/>
                      <w:u w:val="none"/>
                    </w:rPr>
                    <w:t>二</w:t>
                  </w:r>
                  <w:r>
                    <w:rPr>
                      <w:bCs/>
                      <w:color w:val="auto"/>
                      <w:szCs w:val="21"/>
                      <w:u w:val="none"/>
                    </w:rPr>
                    <w:t>类用地</w:t>
                  </w:r>
                  <w:r>
                    <w:rPr>
                      <w:rFonts w:hint="eastAsia"/>
                      <w:bCs/>
                      <w:color w:val="auto"/>
                      <w:szCs w:val="21"/>
                      <w:u w:val="none"/>
                    </w:rPr>
                    <w:t>风险筛选值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27" w:hRule="atLeast"/>
                <w:jc w:val="center"/>
              </w:trPr>
              <w:tc>
                <w:tcPr>
                  <w:tcW w:w="858" w:type="pct"/>
                  <w:vMerge w:val="continue"/>
                  <w:tcBorders>
                    <w:tl2br w:val="nil"/>
                    <w:tr2bl w:val="nil"/>
                  </w:tcBorders>
                  <w:vAlign w:val="center"/>
                </w:tcPr>
                <w:p>
                  <w:pPr>
                    <w:jc w:val="center"/>
                    <w:rPr>
                      <w:rFonts w:hint="eastAsia"/>
                      <w:bCs/>
                      <w:color w:val="auto"/>
                      <w:szCs w:val="21"/>
                      <w:highlight w:val="yellow"/>
                      <w:u w:val="none"/>
                      <w:lang w:val="en-US" w:eastAsia="zh-CN"/>
                    </w:rPr>
                  </w:pPr>
                </w:p>
              </w:tc>
              <w:tc>
                <w:tcPr>
                  <w:tcW w:w="1007" w:type="pct"/>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PH值</w:t>
                  </w:r>
                </w:p>
              </w:tc>
              <w:tc>
                <w:tcPr>
                  <w:tcW w:w="1455" w:type="pct"/>
                  <w:tcBorders>
                    <w:tl2br w:val="nil"/>
                    <w:tr2bl w:val="nil"/>
                  </w:tcBorders>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7.12</w:t>
                  </w:r>
                </w:p>
              </w:tc>
              <w:tc>
                <w:tcPr>
                  <w:tcW w:w="1672" w:type="pct"/>
                  <w:tcBorders>
                    <w:tl2br w:val="nil"/>
                    <w:tr2bl w:val="nil"/>
                  </w:tcBorders>
                  <w:vAlign w:val="center"/>
                </w:tcPr>
                <w:p>
                  <w:pPr>
                    <w:widowControl/>
                    <w:jc w:val="center"/>
                    <w:textAlignment w:val="center"/>
                    <w:rPr>
                      <w:rFonts w:hint="eastAsia"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27" w:hRule="atLeast"/>
                <w:jc w:val="center"/>
              </w:trPr>
              <w:tc>
                <w:tcPr>
                  <w:tcW w:w="858" w:type="pct"/>
                  <w:vMerge w:val="continue"/>
                  <w:tcBorders>
                    <w:tl2br w:val="nil"/>
                    <w:tr2bl w:val="nil"/>
                  </w:tcBorders>
                  <w:vAlign w:val="center"/>
                </w:tcPr>
                <w:p>
                  <w:pPr>
                    <w:jc w:val="center"/>
                    <w:rPr>
                      <w:rFonts w:hint="eastAsia"/>
                      <w:bCs/>
                      <w:color w:val="auto"/>
                      <w:szCs w:val="21"/>
                      <w:highlight w:val="yellow"/>
                      <w:u w:val="none"/>
                      <w:lang w:val="en-US" w:eastAsia="zh-CN"/>
                    </w:rPr>
                  </w:pPr>
                </w:p>
              </w:tc>
              <w:tc>
                <w:tcPr>
                  <w:tcW w:w="1007" w:type="pct"/>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铜</w:t>
                  </w:r>
                </w:p>
              </w:tc>
              <w:tc>
                <w:tcPr>
                  <w:tcW w:w="1455" w:type="pct"/>
                  <w:tcBorders>
                    <w:tl2br w:val="nil"/>
                    <w:tr2bl w:val="nil"/>
                  </w:tcBorders>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25</w:t>
                  </w:r>
                </w:p>
              </w:tc>
              <w:tc>
                <w:tcPr>
                  <w:tcW w:w="1672" w:type="pct"/>
                  <w:tcBorders>
                    <w:tl2br w:val="nil"/>
                    <w:tr2bl w:val="nil"/>
                  </w:tcBorders>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25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27" w:hRule="atLeast"/>
                <w:jc w:val="center"/>
              </w:trPr>
              <w:tc>
                <w:tcPr>
                  <w:tcW w:w="858" w:type="pct"/>
                  <w:vMerge w:val="continue"/>
                  <w:tcBorders>
                    <w:tl2br w:val="nil"/>
                    <w:tr2bl w:val="nil"/>
                  </w:tcBorders>
                  <w:vAlign w:val="center"/>
                </w:tcPr>
                <w:p>
                  <w:pPr>
                    <w:jc w:val="center"/>
                    <w:rPr>
                      <w:rFonts w:hint="eastAsia"/>
                      <w:bCs/>
                      <w:color w:val="auto"/>
                      <w:szCs w:val="21"/>
                      <w:highlight w:val="yellow"/>
                      <w:u w:val="none"/>
                      <w:lang w:val="en-US" w:eastAsia="zh-CN"/>
                    </w:rPr>
                  </w:pPr>
                </w:p>
              </w:tc>
              <w:tc>
                <w:tcPr>
                  <w:tcW w:w="1007" w:type="pct"/>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锌</w:t>
                  </w:r>
                </w:p>
              </w:tc>
              <w:tc>
                <w:tcPr>
                  <w:tcW w:w="1455" w:type="pct"/>
                  <w:tcBorders>
                    <w:tl2br w:val="nil"/>
                    <w:tr2bl w:val="nil"/>
                  </w:tcBorders>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92.4</w:t>
                  </w:r>
                </w:p>
              </w:tc>
              <w:tc>
                <w:tcPr>
                  <w:tcW w:w="1672" w:type="pct"/>
                  <w:tcBorders>
                    <w:tl2br w:val="nil"/>
                    <w:tr2bl w:val="nil"/>
                  </w:tcBorders>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103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27" w:hRule="atLeast"/>
                <w:jc w:val="center"/>
              </w:trPr>
              <w:tc>
                <w:tcPr>
                  <w:tcW w:w="858" w:type="pct"/>
                  <w:vMerge w:val="continue"/>
                  <w:tcBorders>
                    <w:tl2br w:val="nil"/>
                    <w:tr2bl w:val="nil"/>
                  </w:tcBorders>
                  <w:vAlign w:val="center"/>
                </w:tcPr>
                <w:p>
                  <w:pPr>
                    <w:jc w:val="center"/>
                    <w:rPr>
                      <w:rFonts w:hint="eastAsia"/>
                      <w:bCs/>
                      <w:color w:val="auto"/>
                      <w:szCs w:val="21"/>
                      <w:highlight w:val="yellow"/>
                      <w:u w:val="none"/>
                      <w:lang w:val="en-US" w:eastAsia="zh-CN"/>
                    </w:rPr>
                  </w:pPr>
                </w:p>
              </w:tc>
              <w:tc>
                <w:tcPr>
                  <w:tcW w:w="10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铅</w:t>
                  </w:r>
                </w:p>
              </w:tc>
              <w:tc>
                <w:tcPr>
                  <w:tcW w:w="1455" w:type="pct"/>
                  <w:tcBorders>
                    <w:tl2br w:val="nil"/>
                    <w:tr2bl w:val="nil"/>
                  </w:tcBorders>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23.5</w:t>
                  </w:r>
                </w:p>
              </w:tc>
              <w:tc>
                <w:tcPr>
                  <w:tcW w:w="1672" w:type="pct"/>
                  <w:tcBorders>
                    <w:tl2br w:val="nil"/>
                    <w:tr2bl w:val="nil"/>
                  </w:tcBorders>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27.1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27" w:hRule="atLeast"/>
                <w:jc w:val="center"/>
              </w:trPr>
              <w:tc>
                <w:tcPr>
                  <w:tcW w:w="858" w:type="pct"/>
                  <w:vMerge w:val="continue"/>
                  <w:tcBorders>
                    <w:tl2br w:val="nil"/>
                    <w:tr2bl w:val="nil"/>
                  </w:tcBorders>
                  <w:vAlign w:val="center"/>
                </w:tcPr>
                <w:p>
                  <w:pPr>
                    <w:jc w:val="center"/>
                    <w:rPr>
                      <w:rFonts w:hint="eastAsia"/>
                      <w:bCs/>
                      <w:color w:val="auto"/>
                      <w:szCs w:val="21"/>
                      <w:highlight w:val="yellow"/>
                      <w:u w:val="none"/>
                      <w:lang w:val="en-US" w:eastAsia="zh-CN"/>
                    </w:rPr>
                  </w:pPr>
                </w:p>
              </w:tc>
              <w:tc>
                <w:tcPr>
                  <w:tcW w:w="10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镉</w:t>
                  </w:r>
                </w:p>
              </w:tc>
              <w:tc>
                <w:tcPr>
                  <w:tcW w:w="1455" w:type="pct"/>
                  <w:tcBorders>
                    <w:tl2br w:val="nil"/>
                    <w:tr2bl w:val="nil"/>
                  </w:tcBorders>
                  <w:vAlign w:val="center"/>
                </w:tcPr>
                <w:p>
                  <w:pPr>
                    <w:widowControl/>
                    <w:jc w:val="center"/>
                    <w:textAlignment w:val="center"/>
                    <w:rPr>
                      <w:rFonts w:hint="eastAsia"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1.35</w:t>
                  </w:r>
                </w:p>
              </w:tc>
              <w:tc>
                <w:tcPr>
                  <w:tcW w:w="1672" w:type="pct"/>
                  <w:tcBorders>
                    <w:tl2br w:val="nil"/>
                    <w:tr2bl w:val="nil"/>
                  </w:tcBorders>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0.27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27" w:hRule="atLeast"/>
                <w:jc w:val="center"/>
              </w:trPr>
              <w:tc>
                <w:tcPr>
                  <w:tcW w:w="858" w:type="pct"/>
                  <w:vMerge w:val="continue"/>
                  <w:tcBorders>
                    <w:tl2br w:val="nil"/>
                    <w:tr2bl w:val="nil"/>
                  </w:tcBorders>
                  <w:vAlign w:val="center"/>
                </w:tcPr>
                <w:p>
                  <w:pPr>
                    <w:jc w:val="center"/>
                    <w:rPr>
                      <w:rFonts w:hint="eastAsia"/>
                      <w:bCs/>
                      <w:color w:val="auto"/>
                      <w:szCs w:val="21"/>
                      <w:highlight w:val="yellow"/>
                      <w:u w:val="none"/>
                      <w:lang w:val="en-US" w:eastAsia="zh-CN"/>
                    </w:rPr>
                  </w:pPr>
                </w:p>
              </w:tc>
              <w:tc>
                <w:tcPr>
                  <w:tcW w:w="10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砷</w:t>
                  </w:r>
                </w:p>
              </w:tc>
              <w:tc>
                <w:tcPr>
                  <w:tcW w:w="1455" w:type="pct"/>
                  <w:tcBorders>
                    <w:tl2br w:val="nil"/>
                    <w:tr2bl w:val="nil"/>
                  </w:tcBorders>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21.1</w:t>
                  </w:r>
                </w:p>
              </w:tc>
              <w:tc>
                <w:tcPr>
                  <w:tcW w:w="1672" w:type="pct"/>
                  <w:tcBorders>
                    <w:tl2br w:val="nil"/>
                    <w:tr2bl w:val="nil"/>
                  </w:tcBorders>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22.2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27" w:hRule="atLeast"/>
                <w:jc w:val="center"/>
              </w:trPr>
              <w:tc>
                <w:tcPr>
                  <w:tcW w:w="858" w:type="pct"/>
                  <w:vMerge w:val="continue"/>
                  <w:tcBorders>
                    <w:tl2br w:val="nil"/>
                    <w:tr2bl w:val="nil"/>
                  </w:tcBorders>
                  <w:vAlign w:val="center"/>
                </w:tcPr>
                <w:p>
                  <w:pPr>
                    <w:jc w:val="center"/>
                    <w:rPr>
                      <w:rFonts w:hint="eastAsia"/>
                      <w:bCs/>
                      <w:color w:val="auto"/>
                      <w:szCs w:val="21"/>
                      <w:highlight w:val="yellow"/>
                      <w:u w:val="none"/>
                      <w:lang w:val="en-US" w:eastAsia="zh-CN"/>
                    </w:rPr>
                  </w:pPr>
                </w:p>
              </w:tc>
              <w:tc>
                <w:tcPr>
                  <w:tcW w:w="10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铬</w:t>
                  </w:r>
                </w:p>
              </w:tc>
              <w:tc>
                <w:tcPr>
                  <w:tcW w:w="1455" w:type="pct"/>
                  <w:tcBorders>
                    <w:tl2br w:val="nil"/>
                    <w:tr2bl w:val="nil"/>
                  </w:tcBorders>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50</w:t>
                  </w:r>
                </w:p>
              </w:tc>
              <w:tc>
                <w:tcPr>
                  <w:tcW w:w="1672" w:type="pct"/>
                  <w:tcBorders>
                    <w:tl2br w:val="nil"/>
                    <w:tr2bl w:val="nil"/>
                  </w:tcBorders>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58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27" w:hRule="atLeast"/>
                <w:jc w:val="center"/>
              </w:trPr>
              <w:tc>
                <w:tcPr>
                  <w:tcW w:w="858" w:type="pct"/>
                  <w:vMerge w:val="continue"/>
                  <w:tcBorders>
                    <w:tl2br w:val="nil"/>
                    <w:tr2bl w:val="nil"/>
                  </w:tcBorders>
                  <w:vAlign w:val="center"/>
                </w:tcPr>
                <w:p>
                  <w:pPr>
                    <w:jc w:val="center"/>
                    <w:rPr>
                      <w:rFonts w:hint="eastAsia"/>
                      <w:bCs/>
                      <w:color w:val="auto"/>
                      <w:szCs w:val="21"/>
                      <w:highlight w:val="yellow"/>
                      <w:u w:val="none"/>
                      <w:lang w:val="en-US" w:eastAsia="zh-CN"/>
                    </w:rPr>
                  </w:pPr>
                </w:p>
              </w:tc>
              <w:tc>
                <w:tcPr>
                  <w:tcW w:w="10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汞</w:t>
                  </w:r>
                </w:p>
              </w:tc>
              <w:tc>
                <w:tcPr>
                  <w:tcW w:w="1455" w:type="pct"/>
                  <w:tcBorders>
                    <w:tl2br w:val="nil"/>
                    <w:tr2bl w:val="nil"/>
                  </w:tcBorders>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0.232</w:t>
                  </w:r>
                </w:p>
              </w:tc>
              <w:tc>
                <w:tcPr>
                  <w:tcW w:w="1672" w:type="pct"/>
                  <w:tcBorders>
                    <w:tl2br w:val="nil"/>
                    <w:tr2bl w:val="nil"/>
                  </w:tcBorders>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0.494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27" w:hRule="atLeast"/>
                <w:jc w:val="center"/>
              </w:trPr>
              <w:tc>
                <w:tcPr>
                  <w:tcW w:w="858" w:type="pct"/>
                  <w:vMerge w:val="continue"/>
                  <w:tcBorders>
                    <w:tl2br w:val="nil"/>
                    <w:tr2bl w:val="nil"/>
                  </w:tcBorders>
                  <w:vAlign w:val="center"/>
                </w:tcPr>
                <w:p>
                  <w:pPr>
                    <w:jc w:val="center"/>
                    <w:rPr>
                      <w:rFonts w:hint="eastAsia"/>
                      <w:bCs/>
                      <w:color w:val="auto"/>
                      <w:szCs w:val="21"/>
                      <w:highlight w:val="yellow"/>
                      <w:u w:val="none"/>
                      <w:lang w:val="en-US" w:eastAsia="zh-CN"/>
                    </w:rPr>
                  </w:pPr>
                </w:p>
              </w:tc>
              <w:tc>
                <w:tcPr>
                  <w:tcW w:w="10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镍</w:t>
                  </w:r>
                </w:p>
              </w:tc>
              <w:tc>
                <w:tcPr>
                  <w:tcW w:w="1455" w:type="pct"/>
                  <w:tcBorders>
                    <w:tl2br w:val="nil"/>
                    <w:tr2bl w:val="nil"/>
                  </w:tcBorders>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42</w:t>
                  </w:r>
                </w:p>
              </w:tc>
              <w:tc>
                <w:tcPr>
                  <w:tcW w:w="1672" w:type="pct"/>
                  <w:tcBorders>
                    <w:tl2br w:val="nil"/>
                    <w:tr2bl w:val="nil"/>
                  </w:tcBorders>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27" w:hRule="atLeast"/>
                <w:jc w:val="center"/>
              </w:trPr>
              <w:tc>
                <w:tcPr>
                  <w:tcW w:w="858" w:type="pct"/>
                  <w:vMerge w:val="continue"/>
                  <w:tcBorders>
                    <w:tl2br w:val="nil"/>
                    <w:tr2bl w:val="nil"/>
                  </w:tcBorders>
                  <w:vAlign w:val="center"/>
                </w:tcPr>
                <w:p>
                  <w:pPr>
                    <w:jc w:val="center"/>
                    <w:rPr>
                      <w:rFonts w:hint="eastAsia"/>
                      <w:bCs/>
                      <w:color w:val="auto"/>
                      <w:szCs w:val="21"/>
                      <w:highlight w:val="yellow"/>
                      <w:u w:val="none"/>
                      <w:lang w:val="en-US" w:eastAsia="zh-CN"/>
                    </w:rPr>
                  </w:pPr>
                </w:p>
              </w:tc>
              <w:tc>
                <w:tcPr>
                  <w:tcW w:w="1007" w:type="pct"/>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检测项目</w:t>
                  </w:r>
                </w:p>
              </w:tc>
              <w:tc>
                <w:tcPr>
                  <w:tcW w:w="1455" w:type="pct"/>
                  <w:tcBorders>
                    <w:tl2br w:val="nil"/>
                    <w:tr2bl w:val="nil"/>
                  </w:tcBorders>
                  <w:vAlign w:val="center"/>
                </w:tcPr>
                <w:p>
                  <w:pPr>
                    <w:widowControl/>
                    <w:jc w:val="center"/>
                    <w:textAlignment w:val="center"/>
                    <w:rPr>
                      <w:rFonts w:hint="eastAsia" w:ascii="Times New Roman" w:hAnsi="Times New Roman" w:eastAsia="宋体" w:cs="Times New Roman"/>
                      <w:bCs/>
                      <w:color w:val="auto"/>
                      <w:kern w:val="0"/>
                      <w:sz w:val="21"/>
                      <w:szCs w:val="21"/>
                      <w:highlight w:val="yellow"/>
                      <w:u w:val="none"/>
                      <w:lang w:val="en-US" w:eastAsia="zh-CN" w:bidi="ar-SA"/>
                    </w:rPr>
                  </w:pPr>
                  <w:r>
                    <w:rPr>
                      <w:rFonts w:hint="default" w:ascii="Times New Roman" w:hAnsi="Times New Roman" w:eastAsia="宋体" w:cs="Times New Roman"/>
                      <w:color w:val="auto"/>
                      <w:szCs w:val="21"/>
                      <w:u w:val="none"/>
                      <w:lang w:val="en-US" w:eastAsia="zh-CN"/>
                    </w:rPr>
                    <w:t>T</w:t>
                  </w:r>
                  <w:r>
                    <w:rPr>
                      <w:rFonts w:hint="eastAsia" w:ascii="Times New Roman" w:hAnsi="Times New Roman" w:cs="Times New Roman"/>
                      <w:color w:val="auto"/>
                      <w:szCs w:val="21"/>
                      <w:u w:val="none"/>
                      <w:lang w:val="en-US" w:eastAsia="zh-CN"/>
                    </w:rPr>
                    <w:t>3</w:t>
                  </w:r>
                  <w:r>
                    <w:rPr>
                      <w:rFonts w:hint="eastAsia" w:cs="Times New Roman"/>
                      <w:color w:val="auto"/>
                      <w:u w:val="none"/>
                      <w:lang w:eastAsia="zh-CN"/>
                    </w:rPr>
                    <w:t>项</w:t>
                  </w:r>
                  <w:r>
                    <w:rPr>
                      <w:rFonts w:hint="default" w:ascii="Times New Roman" w:hAnsi="Times New Roman" w:cs="Times New Roman"/>
                      <w:color w:val="auto"/>
                      <w:u w:val="none"/>
                      <w:lang w:eastAsia="zh-CN"/>
                    </w:rPr>
                    <w:t>目拟建地</w:t>
                  </w:r>
                  <w:r>
                    <w:rPr>
                      <w:rFonts w:hint="eastAsia" w:ascii="Times New Roman" w:hAnsi="Times New Roman" w:cs="Times New Roman"/>
                      <w:color w:val="auto"/>
                      <w:u w:val="none"/>
                      <w:lang w:eastAsia="zh-CN"/>
                    </w:rPr>
                    <w:t>南</w:t>
                  </w:r>
                  <w:r>
                    <w:rPr>
                      <w:rFonts w:hint="default" w:ascii="Times New Roman" w:hAnsi="Times New Roman" w:cs="Times New Roman"/>
                      <w:color w:val="auto"/>
                      <w:u w:val="none"/>
                      <w:lang w:eastAsia="zh-CN"/>
                    </w:rPr>
                    <w:t>面</w:t>
                  </w:r>
                  <w:r>
                    <w:rPr>
                      <w:rFonts w:hint="default" w:ascii="Times New Roman" w:hAnsi="Times New Roman" w:cs="Times New Roman"/>
                      <w:color w:val="auto"/>
                      <w:u w:val="none"/>
                      <w:lang w:val="en-US" w:eastAsia="zh-CN"/>
                    </w:rPr>
                    <w:t>5m处土壤</w:t>
                  </w:r>
                </w:p>
              </w:tc>
              <w:tc>
                <w:tcPr>
                  <w:tcW w:w="1672" w:type="pct"/>
                  <w:tcBorders>
                    <w:tl2br w:val="nil"/>
                    <w:tr2bl w:val="nil"/>
                  </w:tcBorders>
                  <w:vAlign w:val="center"/>
                </w:tcPr>
                <w:p>
                  <w:pPr>
                    <w:widowControl/>
                    <w:jc w:val="center"/>
                    <w:textAlignment w:val="center"/>
                    <w:rPr>
                      <w:rFonts w:hint="eastAsia" w:ascii="Times New Roman" w:hAnsi="Times New Roman" w:eastAsia="宋体" w:cs="Times New Roman"/>
                      <w:bCs/>
                      <w:color w:val="auto"/>
                      <w:kern w:val="0"/>
                      <w:sz w:val="21"/>
                      <w:szCs w:val="21"/>
                      <w:highlight w:val="yellow"/>
                      <w:u w:val="none"/>
                      <w:lang w:val="en-US" w:eastAsia="zh-CN" w:bidi="ar-SA"/>
                    </w:rPr>
                  </w:pPr>
                  <w:r>
                    <w:rPr>
                      <w:bCs/>
                      <w:color w:val="auto"/>
                      <w:szCs w:val="21"/>
                      <w:u w:val="none"/>
                    </w:rPr>
                    <w:t>《土壤环境质量建设用地土壤污染风险管控标准试行》GB36600-2018表1中</w:t>
                  </w:r>
                  <w:r>
                    <w:rPr>
                      <w:rFonts w:hint="eastAsia"/>
                      <w:bCs/>
                      <w:color w:val="auto"/>
                      <w:szCs w:val="21"/>
                      <w:u w:val="none"/>
                    </w:rPr>
                    <w:t>二</w:t>
                  </w:r>
                  <w:r>
                    <w:rPr>
                      <w:bCs/>
                      <w:color w:val="auto"/>
                      <w:szCs w:val="21"/>
                      <w:u w:val="none"/>
                    </w:rPr>
                    <w:t>类用地</w:t>
                  </w:r>
                  <w:r>
                    <w:rPr>
                      <w:rFonts w:hint="eastAsia"/>
                      <w:bCs/>
                      <w:color w:val="auto"/>
                      <w:szCs w:val="21"/>
                      <w:u w:val="none"/>
                    </w:rPr>
                    <w:t>风险筛选值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27" w:hRule="atLeast"/>
                <w:jc w:val="center"/>
              </w:trPr>
              <w:tc>
                <w:tcPr>
                  <w:tcW w:w="858" w:type="pct"/>
                  <w:vMerge w:val="continue"/>
                  <w:tcBorders>
                    <w:tl2br w:val="nil"/>
                    <w:tr2bl w:val="nil"/>
                  </w:tcBorders>
                  <w:vAlign w:val="center"/>
                </w:tcPr>
                <w:p>
                  <w:pPr>
                    <w:jc w:val="center"/>
                    <w:rPr>
                      <w:rFonts w:hint="eastAsia"/>
                      <w:bCs/>
                      <w:color w:val="auto"/>
                      <w:szCs w:val="21"/>
                      <w:highlight w:val="yellow"/>
                      <w:u w:val="none"/>
                      <w:lang w:val="en-US" w:eastAsia="zh-CN"/>
                    </w:rPr>
                  </w:pPr>
                </w:p>
              </w:tc>
              <w:tc>
                <w:tcPr>
                  <w:tcW w:w="1007" w:type="pct"/>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PH值</w:t>
                  </w:r>
                </w:p>
              </w:tc>
              <w:tc>
                <w:tcPr>
                  <w:tcW w:w="1455" w:type="pct"/>
                  <w:tcBorders>
                    <w:tl2br w:val="nil"/>
                    <w:tr2bl w:val="nil"/>
                  </w:tcBorders>
                  <w:vAlign w:val="center"/>
                </w:tcPr>
                <w:p>
                  <w:pPr>
                    <w:widowControl/>
                    <w:jc w:val="center"/>
                    <w:textAlignment w:val="center"/>
                    <w:rPr>
                      <w:rFonts w:hint="default" w:ascii="Times New Roman" w:hAnsi="Times New Roman" w:eastAsia="宋体" w:cs="Times New Roman"/>
                      <w:color w:val="auto"/>
                      <w:szCs w:val="21"/>
                      <w:u w:val="none"/>
                      <w:lang w:val="en-US" w:eastAsia="zh-CN"/>
                    </w:rPr>
                  </w:pPr>
                  <w:r>
                    <w:rPr>
                      <w:rFonts w:hint="eastAsia" w:ascii="Times New Roman" w:hAnsi="Times New Roman" w:cs="Times New Roman"/>
                      <w:color w:val="auto"/>
                      <w:szCs w:val="21"/>
                      <w:u w:val="none"/>
                      <w:lang w:val="en-US" w:eastAsia="zh-CN"/>
                    </w:rPr>
                    <w:t>7.02</w:t>
                  </w:r>
                </w:p>
              </w:tc>
              <w:tc>
                <w:tcPr>
                  <w:tcW w:w="1672" w:type="pct"/>
                  <w:tcBorders>
                    <w:tl2br w:val="nil"/>
                    <w:tr2bl w:val="nil"/>
                  </w:tcBorders>
                  <w:vAlign w:val="center"/>
                </w:tcPr>
                <w:p>
                  <w:pPr>
                    <w:widowControl/>
                    <w:jc w:val="center"/>
                    <w:textAlignment w:val="center"/>
                    <w:rPr>
                      <w:rFonts w:hint="eastAsia"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27" w:hRule="atLeast"/>
                <w:jc w:val="center"/>
              </w:trPr>
              <w:tc>
                <w:tcPr>
                  <w:tcW w:w="858" w:type="pct"/>
                  <w:vMerge w:val="continue"/>
                </w:tcPr>
                <w:p>
                  <w:pPr>
                    <w:jc w:val="center"/>
                    <w:rPr>
                      <w:rFonts w:hint="eastAsia"/>
                      <w:bCs/>
                      <w:color w:val="auto"/>
                      <w:szCs w:val="21"/>
                      <w:highlight w:val="yellow"/>
                      <w:u w:val="none"/>
                      <w:lang w:val="en-US" w:eastAsia="zh-CN"/>
                    </w:rPr>
                  </w:pPr>
                </w:p>
              </w:tc>
              <w:tc>
                <w:tcPr>
                  <w:tcW w:w="0" w:type="auto"/>
                  <w:vAlign w:val="center"/>
                </w:tcPr>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铜</w:t>
                  </w:r>
                </w:p>
              </w:tc>
              <w:tc>
                <w:tcPr>
                  <w:tcW w:w="0" w:type="auto"/>
                </w:tcPr>
                <w:p>
                  <w:pPr>
                    <w:widowControl/>
                    <w:jc w:val="center"/>
                    <w:textAlignment w:val="center"/>
                    <w:rPr>
                      <w:rFonts w:hint="default" w:ascii="Times New Roman" w:hAnsi="Times New Roman" w:eastAsia="宋体" w:cs="Times New Roman"/>
                      <w:color w:val="auto"/>
                      <w:szCs w:val="21"/>
                      <w:u w:val="none"/>
                      <w:lang w:val="en-US" w:eastAsia="zh-CN"/>
                    </w:rPr>
                  </w:pPr>
                  <w:r>
                    <w:rPr>
                      <w:rFonts w:hint="eastAsia" w:ascii="Times New Roman" w:hAnsi="Times New Roman" w:cs="Times New Roman"/>
                      <w:color w:val="auto"/>
                      <w:szCs w:val="21"/>
                      <w:u w:val="none"/>
                      <w:lang w:val="en-US" w:eastAsia="zh-CN"/>
                    </w:rPr>
                    <w:t>25</w:t>
                  </w:r>
                </w:p>
              </w:tc>
              <w:tc>
                <w:tcPr>
                  <w:tcW w:w="0" w:type="auto"/>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25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27" w:hRule="atLeast"/>
                <w:jc w:val="center"/>
              </w:trPr>
              <w:tc>
                <w:tcPr>
                  <w:tcW w:w="858" w:type="pct"/>
                  <w:vMerge w:val="continue"/>
                </w:tcPr>
                <w:p>
                  <w:pPr>
                    <w:jc w:val="center"/>
                    <w:rPr>
                      <w:rFonts w:hint="eastAsia"/>
                      <w:bCs/>
                      <w:color w:val="auto"/>
                      <w:szCs w:val="21"/>
                      <w:highlight w:val="yellow"/>
                      <w:u w:val="none"/>
                      <w:lang w:val="en-US" w:eastAsia="zh-CN"/>
                    </w:rPr>
                  </w:pPr>
                </w:p>
              </w:tc>
              <w:tc>
                <w:tcPr>
                  <w:tcW w:w="0" w:type="auto"/>
                  <w:vAlign w:val="center"/>
                </w:tcPr>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锌</w:t>
                  </w:r>
                </w:p>
              </w:tc>
              <w:tc>
                <w:tcPr>
                  <w:tcW w:w="0" w:type="auto"/>
                </w:tcPr>
                <w:p>
                  <w:pPr>
                    <w:widowControl/>
                    <w:jc w:val="center"/>
                    <w:textAlignment w:val="center"/>
                    <w:rPr>
                      <w:rFonts w:hint="default" w:ascii="Times New Roman" w:hAnsi="Times New Roman" w:eastAsia="宋体" w:cs="Times New Roman"/>
                      <w:color w:val="auto"/>
                      <w:szCs w:val="21"/>
                      <w:u w:val="none"/>
                      <w:lang w:val="en-US" w:eastAsia="zh-CN"/>
                    </w:rPr>
                  </w:pPr>
                  <w:r>
                    <w:rPr>
                      <w:rFonts w:hint="eastAsia" w:ascii="Times New Roman" w:hAnsi="Times New Roman" w:cs="Times New Roman"/>
                      <w:color w:val="auto"/>
                      <w:szCs w:val="21"/>
                      <w:u w:val="none"/>
                      <w:lang w:val="en-US" w:eastAsia="zh-CN"/>
                    </w:rPr>
                    <w:t>103</w:t>
                  </w:r>
                </w:p>
              </w:tc>
              <w:tc>
                <w:tcPr>
                  <w:tcW w:w="0" w:type="auto"/>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103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27" w:hRule="atLeast"/>
                <w:jc w:val="center"/>
              </w:trPr>
              <w:tc>
                <w:tcPr>
                  <w:tcW w:w="858" w:type="pct"/>
                  <w:vMerge w:val="continue"/>
                </w:tcPr>
                <w:p>
                  <w:pPr>
                    <w:jc w:val="center"/>
                    <w:rPr>
                      <w:rFonts w:hint="eastAsia"/>
                      <w:bCs/>
                      <w:color w:val="auto"/>
                      <w:szCs w:val="21"/>
                      <w:highlight w:val="yellow"/>
                      <w:u w:val="none"/>
                      <w:lang w:val="en-US"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铅</w:t>
                  </w:r>
                </w:p>
              </w:tc>
              <w:tc>
                <w:tcPr>
                  <w:tcW w:w="0" w:type="auto"/>
                </w:tcPr>
                <w:p>
                  <w:pPr>
                    <w:widowControl/>
                    <w:jc w:val="center"/>
                    <w:textAlignment w:val="center"/>
                    <w:rPr>
                      <w:rFonts w:hint="default" w:ascii="Times New Roman" w:hAnsi="Times New Roman" w:eastAsia="宋体" w:cs="Times New Roman"/>
                      <w:color w:val="auto"/>
                      <w:szCs w:val="21"/>
                      <w:u w:val="none"/>
                      <w:lang w:val="en-US" w:eastAsia="zh-CN"/>
                    </w:rPr>
                  </w:pPr>
                  <w:r>
                    <w:rPr>
                      <w:rFonts w:hint="eastAsia" w:ascii="Times New Roman" w:hAnsi="Times New Roman" w:cs="Times New Roman"/>
                      <w:color w:val="auto"/>
                      <w:szCs w:val="21"/>
                      <w:u w:val="none"/>
                      <w:lang w:val="en-US" w:eastAsia="zh-CN"/>
                    </w:rPr>
                    <w:t>27.1</w:t>
                  </w:r>
                </w:p>
              </w:tc>
              <w:tc>
                <w:tcPr>
                  <w:tcW w:w="0" w:type="auto"/>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27.1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27" w:hRule="atLeast"/>
                <w:jc w:val="center"/>
              </w:trPr>
              <w:tc>
                <w:tcPr>
                  <w:tcW w:w="858" w:type="pct"/>
                  <w:vMerge w:val="continue"/>
                </w:tcPr>
                <w:p>
                  <w:pPr>
                    <w:jc w:val="center"/>
                    <w:rPr>
                      <w:rFonts w:hint="eastAsia"/>
                      <w:bCs/>
                      <w:color w:val="auto"/>
                      <w:szCs w:val="21"/>
                      <w:highlight w:val="yellow"/>
                      <w:u w:val="none"/>
                      <w:lang w:val="en-US"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镉</w:t>
                  </w:r>
                </w:p>
              </w:tc>
              <w:tc>
                <w:tcPr>
                  <w:tcW w:w="0" w:type="auto"/>
                </w:tcPr>
                <w:p>
                  <w:pPr>
                    <w:widowControl/>
                    <w:jc w:val="center"/>
                    <w:textAlignment w:val="center"/>
                    <w:rPr>
                      <w:rFonts w:hint="default" w:ascii="Times New Roman" w:hAnsi="Times New Roman" w:eastAsia="宋体" w:cs="Times New Roman"/>
                      <w:color w:val="auto"/>
                      <w:szCs w:val="21"/>
                      <w:u w:val="none"/>
                      <w:lang w:val="en-US" w:eastAsia="zh-CN"/>
                    </w:rPr>
                  </w:pPr>
                  <w:r>
                    <w:rPr>
                      <w:rFonts w:hint="eastAsia" w:ascii="Times New Roman" w:hAnsi="Times New Roman" w:cs="Times New Roman"/>
                      <w:color w:val="auto"/>
                      <w:szCs w:val="21"/>
                      <w:u w:val="none"/>
                      <w:lang w:val="en-US" w:eastAsia="zh-CN"/>
                    </w:rPr>
                    <w:t>0.27</w:t>
                  </w:r>
                </w:p>
              </w:tc>
              <w:tc>
                <w:tcPr>
                  <w:tcW w:w="0" w:type="auto"/>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0.27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27" w:hRule="atLeast"/>
                <w:jc w:val="center"/>
              </w:trPr>
              <w:tc>
                <w:tcPr>
                  <w:tcW w:w="858" w:type="pct"/>
                  <w:vMerge w:val="continue"/>
                </w:tcPr>
                <w:p>
                  <w:pPr>
                    <w:jc w:val="center"/>
                    <w:rPr>
                      <w:rFonts w:hint="eastAsia"/>
                      <w:bCs/>
                      <w:color w:val="auto"/>
                      <w:szCs w:val="21"/>
                      <w:highlight w:val="yellow"/>
                      <w:u w:val="none"/>
                      <w:lang w:val="en-US"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砷</w:t>
                  </w:r>
                </w:p>
              </w:tc>
              <w:tc>
                <w:tcPr>
                  <w:tcW w:w="0" w:type="auto"/>
                </w:tcPr>
                <w:p>
                  <w:pPr>
                    <w:widowControl/>
                    <w:jc w:val="center"/>
                    <w:textAlignment w:val="center"/>
                    <w:rPr>
                      <w:rFonts w:hint="default" w:ascii="Times New Roman" w:hAnsi="Times New Roman" w:eastAsia="宋体" w:cs="Times New Roman"/>
                      <w:color w:val="auto"/>
                      <w:szCs w:val="21"/>
                      <w:u w:val="none"/>
                      <w:lang w:val="en-US" w:eastAsia="zh-CN"/>
                    </w:rPr>
                  </w:pPr>
                  <w:r>
                    <w:rPr>
                      <w:rFonts w:hint="eastAsia" w:ascii="Times New Roman" w:hAnsi="Times New Roman" w:cs="Times New Roman"/>
                      <w:color w:val="auto"/>
                      <w:szCs w:val="21"/>
                      <w:u w:val="none"/>
                      <w:lang w:val="en-US" w:eastAsia="zh-CN"/>
                    </w:rPr>
                    <w:t>22.2</w:t>
                  </w:r>
                </w:p>
              </w:tc>
              <w:tc>
                <w:tcPr>
                  <w:tcW w:w="0" w:type="auto"/>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22.2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27" w:hRule="atLeast"/>
                <w:jc w:val="center"/>
              </w:trPr>
              <w:tc>
                <w:tcPr>
                  <w:tcW w:w="858" w:type="pct"/>
                  <w:vMerge w:val="continue"/>
                </w:tcPr>
                <w:p>
                  <w:pPr>
                    <w:jc w:val="center"/>
                    <w:rPr>
                      <w:rFonts w:hint="eastAsia"/>
                      <w:bCs/>
                      <w:color w:val="auto"/>
                      <w:szCs w:val="21"/>
                      <w:highlight w:val="yellow"/>
                      <w:u w:val="none"/>
                      <w:lang w:val="en-US"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铬</w:t>
                  </w:r>
                </w:p>
              </w:tc>
              <w:tc>
                <w:tcPr>
                  <w:tcW w:w="0" w:type="auto"/>
                </w:tcPr>
                <w:p>
                  <w:pPr>
                    <w:widowControl/>
                    <w:jc w:val="center"/>
                    <w:textAlignment w:val="center"/>
                    <w:rPr>
                      <w:rFonts w:hint="default" w:ascii="Times New Roman" w:hAnsi="Times New Roman" w:eastAsia="宋体" w:cs="Times New Roman"/>
                      <w:color w:val="auto"/>
                      <w:szCs w:val="21"/>
                      <w:u w:val="none"/>
                      <w:lang w:val="en-US" w:eastAsia="zh-CN"/>
                    </w:rPr>
                  </w:pPr>
                  <w:r>
                    <w:rPr>
                      <w:rFonts w:hint="eastAsia" w:ascii="Times New Roman" w:hAnsi="Times New Roman" w:cs="Times New Roman"/>
                      <w:color w:val="auto"/>
                      <w:szCs w:val="21"/>
                      <w:u w:val="none"/>
                      <w:lang w:val="en-US" w:eastAsia="zh-CN"/>
                    </w:rPr>
                    <w:t>58</w:t>
                  </w:r>
                </w:p>
              </w:tc>
              <w:tc>
                <w:tcPr>
                  <w:tcW w:w="0" w:type="auto"/>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58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27" w:hRule="atLeast"/>
                <w:jc w:val="center"/>
              </w:trPr>
              <w:tc>
                <w:tcPr>
                  <w:tcW w:w="858" w:type="pct"/>
                  <w:vMerge w:val="continue"/>
                </w:tcPr>
                <w:p>
                  <w:pPr>
                    <w:jc w:val="center"/>
                    <w:rPr>
                      <w:rFonts w:hint="eastAsia"/>
                      <w:bCs/>
                      <w:color w:val="auto"/>
                      <w:szCs w:val="21"/>
                      <w:highlight w:val="yellow"/>
                      <w:u w:val="none"/>
                      <w:lang w:val="en-US"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汞</w:t>
                  </w:r>
                </w:p>
              </w:tc>
              <w:tc>
                <w:tcPr>
                  <w:tcW w:w="0" w:type="auto"/>
                </w:tcPr>
                <w:p>
                  <w:pPr>
                    <w:widowControl/>
                    <w:jc w:val="center"/>
                    <w:textAlignment w:val="center"/>
                    <w:rPr>
                      <w:rFonts w:hint="default" w:ascii="Times New Roman" w:hAnsi="Times New Roman" w:eastAsia="宋体" w:cs="Times New Roman"/>
                      <w:color w:val="auto"/>
                      <w:szCs w:val="21"/>
                      <w:u w:val="none"/>
                      <w:lang w:val="en-US" w:eastAsia="zh-CN"/>
                    </w:rPr>
                  </w:pPr>
                  <w:r>
                    <w:rPr>
                      <w:rFonts w:hint="eastAsia" w:ascii="Times New Roman" w:hAnsi="Times New Roman" w:cs="Times New Roman"/>
                      <w:color w:val="auto"/>
                      <w:szCs w:val="21"/>
                      <w:u w:val="none"/>
                      <w:lang w:val="en-US" w:eastAsia="zh-CN"/>
                    </w:rPr>
                    <w:t>0.494</w:t>
                  </w:r>
                </w:p>
              </w:tc>
              <w:tc>
                <w:tcPr>
                  <w:tcW w:w="0" w:type="auto"/>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0.494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gridAfter w:val="1"/>
                <w:wAfter w:w="6" w:type="pct"/>
                <w:trHeight w:val="227" w:hRule="atLeast"/>
                <w:jc w:val="center"/>
              </w:trPr>
              <w:tc>
                <w:tcPr>
                  <w:tcW w:w="858" w:type="pct"/>
                  <w:vMerge w:val="continue"/>
                </w:tcPr>
                <w:p>
                  <w:pPr>
                    <w:jc w:val="center"/>
                    <w:rPr>
                      <w:rFonts w:hint="eastAsia"/>
                      <w:bCs/>
                      <w:color w:val="auto"/>
                      <w:szCs w:val="21"/>
                      <w:highlight w:val="yellow"/>
                      <w:u w:val="none"/>
                      <w:lang w:val="en-US"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镍</w:t>
                  </w:r>
                </w:p>
              </w:tc>
              <w:tc>
                <w:tcPr>
                  <w:tcW w:w="0" w:type="auto"/>
                </w:tcPr>
                <w:p>
                  <w:pPr>
                    <w:widowControl/>
                    <w:jc w:val="center"/>
                    <w:textAlignment w:val="center"/>
                    <w:rPr>
                      <w:rFonts w:hint="default" w:ascii="Times New Roman" w:hAnsi="Times New Roman" w:eastAsia="宋体" w:cs="Times New Roman"/>
                      <w:color w:val="auto"/>
                      <w:szCs w:val="21"/>
                      <w:u w:val="none"/>
                      <w:lang w:val="en-US" w:eastAsia="zh-CN"/>
                    </w:rPr>
                  </w:pPr>
                  <w:r>
                    <w:rPr>
                      <w:rFonts w:hint="eastAsia" w:ascii="Times New Roman" w:hAnsi="Times New Roman" w:cs="Times New Roman"/>
                      <w:color w:val="auto"/>
                      <w:szCs w:val="21"/>
                      <w:u w:val="none"/>
                      <w:lang w:val="en-US" w:eastAsia="zh-CN"/>
                    </w:rPr>
                    <w:t>34</w:t>
                  </w:r>
                </w:p>
              </w:tc>
              <w:tc>
                <w:tcPr>
                  <w:tcW w:w="0" w:type="auto"/>
                  <w:vAlign w:val="center"/>
                </w:tcPr>
                <w:p>
                  <w:pPr>
                    <w:widowControl/>
                    <w:jc w:val="center"/>
                    <w:textAlignment w:val="center"/>
                    <w:rPr>
                      <w:rFonts w:hint="default" w:ascii="Times New Roman" w:hAnsi="Times New Roman" w:eastAsia="宋体" w:cs="Times New Roman"/>
                      <w:bCs/>
                      <w:color w:val="auto"/>
                      <w:kern w:val="2"/>
                      <w:sz w:val="21"/>
                      <w:szCs w:val="21"/>
                      <w:u w:val="none"/>
                      <w:lang w:val="en-US" w:eastAsia="zh-CN" w:bidi="ar-SA"/>
                    </w:rPr>
                  </w:pPr>
                  <w:r>
                    <w:rPr>
                      <w:rFonts w:hint="eastAsia" w:ascii="Times New Roman" w:hAnsi="Times New Roman" w:eastAsia="宋体" w:cs="Times New Roman"/>
                      <w:bCs/>
                      <w:color w:val="auto"/>
                      <w:kern w:val="2"/>
                      <w:sz w:val="21"/>
                      <w:szCs w:val="21"/>
                      <w:u w:val="none"/>
                      <w:lang w:val="en-US" w:eastAsia="zh-CN" w:bidi="ar-SA"/>
                    </w:rPr>
                    <w:t>34</w:t>
                  </w:r>
                </w:p>
              </w:tc>
            </w:tr>
          </w:tbl>
          <w:p>
            <w:pPr>
              <w:pStyle w:val="48"/>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color w:val="auto"/>
                <w:szCs w:val="24"/>
                <w:u w:val="none"/>
                <w:lang w:val="zh-CN"/>
              </w:rPr>
            </w:pPr>
            <w:r>
              <w:rPr>
                <w:rFonts w:hint="default"/>
                <w:color w:val="auto"/>
                <w:szCs w:val="24"/>
                <w:u w:val="none"/>
                <w:lang w:val="zh-CN"/>
              </w:rPr>
              <w:t>由</w:t>
            </w:r>
            <w:r>
              <w:rPr>
                <w:rFonts w:hint="eastAsia"/>
                <w:color w:val="auto"/>
                <w:szCs w:val="24"/>
                <w:u w:val="none"/>
                <w:lang w:val="zh-CN"/>
              </w:rPr>
              <w:t>上表</w:t>
            </w:r>
            <w:r>
              <w:rPr>
                <w:rFonts w:hint="default"/>
                <w:color w:val="auto"/>
                <w:szCs w:val="24"/>
                <w:u w:val="none"/>
                <w:lang w:val="zh-CN"/>
              </w:rPr>
              <w:t>可知，砷、镉、六价铬、铜、铅、汞、镍、四氯甲烷、氯仿、氯甲烷、1,1-二氯乙烷、硝基苯、苯胺、2-氯酚、苯并[a]蒽等45个因子的监测值均满足《土壤环境质量</w:t>
            </w:r>
            <w:r>
              <w:rPr>
                <w:rFonts w:hint="eastAsia"/>
                <w:color w:val="auto"/>
                <w:szCs w:val="24"/>
                <w:u w:val="none"/>
                <w:lang w:val="en-US"/>
              </w:rPr>
              <w:t xml:space="preserve">  </w:t>
            </w:r>
            <w:r>
              <w:rPr>
                <w:rFonts w:hint="default"/>
                <w:color w:val="auto"/>
                <w:szCs w:val="24"/>
                <w:u w:val="none"/>
                <w:lang w:val="zh-CN"/>
              </w:rPr>
              <w:t>建设用地土壤污染风险管控标准》（试行）GB36600-2018。</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color w:val="auto"/>
                <w:sz w:val="28"/>
                <w:szCs w:val="28"/>
                <w:u w:val="none"/>
              </w:rPr>
            </w:pPr>
            <w:r>
              <w:rPr>
                <w:rFonts w:hint="eastAsia"/>
                <w:b/>
                <w:color w:val="auto"/>
                <w:sz w:val="28"/>
                <w:szCs w:val="28"/>
                <w:u w:val="none"/>
              </w:rPr>
              <w:t xml:space="preserve">3.5 </w:t>
            </w:r>
            <w:r>
              <w:rPr>
                <w:b/>
                <w:color w:val="auto"/>
                <w:sz w:val="28"/>
                <w:szCs w:val="28"/>
                <w:u w:val="none"/>
              </w:rPr>
              <w:t>声环境质量现状</w:t>
            </w:r>
          </w:p>
          <w:p>
            <w:pPr>
              <w:pStyle w:val="48"/>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eastAsia="宋体"/>
                <w:color w:val="auto"/>
                <w:szCs w:val="24"/>
                <w:u w:val="none"/>
                <w:lang w:eastAsia="zh-CN"/>
              </w:rPr>
            </w:pPr>
            <w:r>
              <w:rPr>
                <w:rFonts w:hint="eastAsia"/>
                <w:color w:val="auto"/>
                <w:szCs w:val="24"/>
                <w:u w:val="none"/>
                <w:lang w:eastAsia="zh-CN"/>
              </w:rPr>
              <w:t>（</w:t>
            </w:r>
            <w:r>
              <w:rPr>
                <w:rFonts w:hint="eastAsia"/>
                <w:color w:val="auto"/>
                <w:szCs w:val="24"/>
                <w:u w:val="none"/>
                <w:lang w:val="en-US" w:eastAsia="zh-CN"/>
              </w:rPr>
              <w:t>1</w:t>
            </w:r>
            <w:r>
              <w:rPr>
                <w:rFonts w:hint="eastAsia"/>
                <w:color w:val="auto"/>
                <w:szCs w:val="24"/>
                <w:u w:val="none"/>
                <w:lang w:eastAsia="zh-CN"/>
              </w:rPr>
              <w:t>）监测时间：</w:t>
            </w:r>
            <w:r>
              <w:rPr>
                <w:color w:val="auto"/>
                <w:szCs w:val="24"/>
                <w:u w:val="none"/>
              </w:rPr>
              <w:t>201</w:t>
            </w:r>
            <w:r>
              <w:rPr>
                <w:rFonts w:hint="eastAsia"/>
                <w:color w:val="auto"/>
                <w:szCs w:val="24"/>
                <w:u w:val="none"/>
              </w:rPr>
              <w:t>9</w:t>
            </w:r>
            <w:r>
              <w:rPr>
                <w:color w:val="auto"/>
                <w:szCs w:val="24"/>
                <w:u w:val="none"/>
              </w:rPr>
              <w:t>年</w:t>
            </w:r>
            <w:r>
              <w:rPr>
                <w:rFonts w:hint="eastAsia"/>
                <w:color w:val="auto"/>
                <w:szCs w:val="24"/>
                <w:u w:val="none"/>
                <w:lang w:eastAsia="zh-CN"/>
              </w:rPr>
              <w:t>12月</w:t>
            </w:r>
            <w:r>
              <w:rPr>
                <w:rFonts w:hint="eastAsia"/>
                <w:color w:val="auto"/>
                <w:szCs w:val="24"/>
                <w:u w:val="none"/>
                <w:lang w:val="en-US" w:eastAsia="zh-CN"/>
              </w:rPr>
              <w:t>21</w:t>
            </w:r>
            <w:r>
              <w:rPr>
                <w:rFonts w:hint="eastAsia"/>
                <w:color w:val="auto"/>
                <w:szCs w:val="24"/>
                <w:u w:val="none"/>
                <w:lang w:eastAsia="zh-CN"/>
              </w:rPr>
              <w:t>日</w:t>
            </w:r>
            <w:r>
              <w:rPr>
                <w:color w:val="auto"/>
                <w:szCs w:val="24"/>
                <w:u w:val="none"/>
              </w:rPr>
              <w:t>-</w:t>
            </w:r>
            <w:r>
              <w:rPr>
                <w:rFonts w:hint="eastAsia"/>
                <w:color w:val="auto"/>
                <w:szCs w:val="24"/>
                <w:u w:val="none"/>
                <w:lang w:val="en-US" w:eastAsia="zh-CN"/>
              </w:rPr>
              <w:t>22</w:t>
            </w:r>
            <w:r>
              <w:rPr>
                <w:color w:val="auto"/>
                <w:szCs w:val="24"/>
                <w:u w:val="none"/>
              </w:rPr>
              <w:t>日</w:t>
            </w:r>
            <w:r>
              <w:rPr>
                <w:rFonts w:hint="eastAsia"/>
                <w:color w:val="auto"/>
                <w:szCs w:val="24"/>
                <w:u w:val="none"/>
                <w:lang w:eastAsia="zh-CN"/>
              </w:rPr>
              <w:t>，</w:t>
            </w:r>
            <w:r>
              <w:rPr>
                <w:color w:val="auto"/>
                <w:szCs w:val="24"/>
                <w:u w:val="none"/>
              </w:rPr>
              <w:t>共</w:t>
            </w:r>
            <w:r>
              <w:rPr>
                <w:rFonts w:hint="eastAsia"/>
                <w:color w:val="auto"/>
                <w:szCs w:val="24"/>
                <w:u w:val="none"/>
                <w:lang w:eastAsia="zh-CN"/>
              </w:rPr>
              <w:t>监测</w:t>
            </w:r>
            <w:r>
              <w:rPr>
                <w:color w:val="auto"/>
                <w:szCs w:val="24"/>
                <w:u w:val="none"/>
              </w:rPr>
              <w:t>2天，白天及夜间各监测1次</w:t>
            </w:r>
            <w:r>
              <w:rPr>
                <w:rFonts w:hint="eastAsia"/>
                <w:color w:val="auto"/>
                <w:szCs w:val="24"/>
                <w:u w:val="none"/>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u w:val="none"/>
              </w:rPr>
            </w:pPr>
            <w:r>
              <w:rPr>
                <w:rFonts w:hint="eastAsia"/>
                <w:color w:val="auto"/>
                <w:sz w:val="24"/>
                <w:szCs w:val="24"/>
                <w:u w:val="none"/>
              </w:rPr>
              <w:t>（</w:t>
            </w:r>
            <w:r>
              <w:rPr>
                <w:rFonts w:hint="eastAsia"/>
                <w:color w:val="auto"/>
                <w:sz w:val="24"/>
                <w:szCs w:val="24"/>
                <w:u w:val="none"/>
                <w:lang w:val="en-US" w:eastAsia="zh-CN"/>
              </w:rPr>
              <w:t>2</w:t>
            </w:r>
            <w:r>
              <w:rPr>
                <w:rFonts w:hint="eastAsia"/>
                <w:color w:val="auto"/>
                <w:sz w:val="24"/>
                <w:szCs w:val="24"/>
                <w:u w:val="none"/>
              </w:rPr>
              <w:t>）</w:t>
            </w:r>
            <w:r>
              <w:rPr>
                <w:color w:val="auto"/>
                <w:sz w:val="24"/>
                <w:szCs w:val="24"/>
                <w:u w:val="none"/>
              </w:rPr>
              <w:t>监测点位：</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u w:val="none"/>
              </w:rPr>
            </w:pPr>
            <w:r>
              <w:rPr>
                <w:color w:val="auto"/>
                <w:sz w:val="24"/>
                <w:szCs w:val="24"/>
                <w:u w:val="none"/>
              </w:rPr>
              <w:t>N1：场界东侧1m处；</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u w:val="none"/>
              </w:rPr>
            </w:pPr>
            <w:r>
              <w:rPr>
                <w:color w:val="auto"/>
                <w:sz w:val="24"/>
                <w:u w:val="none"/>
              </w:rPr>
              <w:t>N2：场界南侧1m处；</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u w:val="none"/>
              </w:rPr>
            </w:pPr>
            <w:r>
              <w:rPr>
                <w:color w:val="auto"/>
                <w:sz w:val="24"/>
                <w:u w:val="none"/>
              </w:rPr>
              <w:t>N3：场界西侧1m处；</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u w:val="none"/>
                <w:lang w:eastAsia="zh-CN"/>
              </w:rPr>
            </w:pPr>
            <w:r>
              <w:rPr>
                <w:color w:val="auto"/>
                <w:sz w:val="24"/>
                <w:u w:val="none"/>
              </w:rPr>
              <w:t>N4：场界北侧1m处</w:t>
            </w:r>
            <w:r>
              <w:rPr>
                <w:rFonts w:hint="eastAsia"/>
                <w:color w:val="auto"/>
                <w:sz w:val="24"/>
                <w:u w:val="none"/>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u w:val="none"/>
                <w:lang w:val="en-US" w:eastAsia="zh-CN"/>
              </w:rPr>
            </w:pPr>
            <w:r>
              <w:rPr>
                <w:rFonts w:hint="eastAsia"/>
                <w:color w:val="auto"/>
                <w:sz w:val="24"/>
                <w:u w:val="none"/>
                <w:lang w:val="en-US" w:eastAsia="zh-CN"/>
              </w:rPr>
              <w:t>N5：北面158m处居民点窗前1m处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color w:val="auto"/>
                <w:sz w:val="24"/>
                <w:szCs w:val="24"/>
                <w:u w:val="none"/>
                <w:lang w:eastAsia="zh-CN"/>
              </w:rPr>
            </w:pPr>
            <w:r>
              <w:rPr>
                <w:rFonts w:hint="eastAsia"/>
                <w:color w:val="auto"/>
                <w:sz w:val="24"/>
                <w:szCs w:val="24"/>
                <w:u w:val="none"/>
              </w:rPr>
              <w:t>（</w:t>
            </w:r>
            <w:r>
              <w:rPr>
                <w:rFonts w:hint="eastAsia"/>
                <w:color w:val="auto"/>
                <w:sz w:val="24"/>
                <w:szCs w:val="24"/>
                <w:u w:val="none"/>
                <w:lang w:val="en-US" w:eastAsia="zh-CN"/>
              </w:rPr>
              <w:t>3</w:t>
            </w:r>
            <w:r>
              <w:rPr>
                <w:rFonts w:hint="eastAsia"/>
                <w:color w:val="auto"/>
                <w:sz w:val="24"/>
                <w:szCs w:val="24"/>
                <w:u w:val="none"/>
              </w:rPr>
              <w:t>）</w:t>
            </w:r>
            <w:r>
              <w:rPr>
                <w:color w:val="auto"/>
                <w:sz w:val="24"/>
                <w:szCs w:val="24"/>
                <w:u w:val="none"/>
              </w:rPr>
              <w:t>监测因子：等效连续A声级Leq(A)</w:t>
            </w:r>
            <w:r>
              <w:rPr>
                <w:rFonts w:hint="eastAsia"/>
                <w:color w:val="auto"/>
                <w:sz w:val="24"/>
                <w:szCs w:val="24"/>
                <w:u w:val="none"/>
              </w:rPr>
              <w:t>；</w:t>
            </w:r>
            <w:r>
              <w:rPr>
                <w:color w:val="auto"/>
                <w:sz w:val="24"/>
                <w:szCs w:val="24"/>
                <w:u w:val="none"/>
              </w:rPr>
              <w:t>评价方法：采用实测值与评价标准比较</w:t>
            </w:r>
            <w:r>
              <w:rPr>
                <w:rFonts w:hint="eastAsia"/>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u w:val="none"/>
              </w:rPr>
            </w:pPr>
            <w:r>
              <w:rPr>
                <w:rFonts w:hint="eastAsia"/>
                <w:color w:val="auto"/>
                <w:sz w:val="24"/>
                <w:szCs w:val="24"/>
                <w:u w:val="none"/>
              </w:rPr>
              <w:t>（</w:t>
            </w:r>
            <w:r>
              <w:rPr>
                <w:rFonts w:hint="eastAsia"/>
                <w:color w:val="auto"/>
                <w:sz w:val="24"/>
                <w:szCs w:val="24"/>
                <w:u w:val="none"/>
                <w:lang w:val="en-US" w:eastAsia="zh-CN"/>
              </w:rPr>
              <w:t>4</w:t>
            </w:r>
            <w:r>
              <w:rPr>
                <w:rFonts w:hint="eastAsia"/>
                <w:color w:val="auto"/>
                <w:sz w:val="24"/>
                <w:szCs w:val="24"/>
                <w:u w:val="none"/>
              </w:rPr>
              <w:t>）</w:t>
            </w:r>
            <w:r>
              <w:rPr>
                <w:color w:val="auto"/>
                <w:sz w:val="24"/>
                <w:szCs w:val="24"/>
                <w:u w:val="none"/>
              </w:rPr>
              <w:t>评价标准：执行</w:t>
            </w:r>
            <w:r>
              <w:rPr>
                <w:rFonts w:hint="eastAsia"/>
                <w:color w:val="auto"/>
                <w:sz w:val="24"/>
                <w:szCs w:val="24"/>
                <w:u w:val="none"/>
              </w:rPr>
              <w:t>《声环境质量标准》（GB3096-2008）</w:t>
            </w:r>
            <w:r>
              <w:rPr>
                <w:rFonts w:hint="eastAsia"/>
                <w:color w:val="auto"/>
                <w:sz w:val="24"/>
                <w:szCs w:val="24"/>
                <w:u w:val="none"/>
                <w:lang w:val="en-US" w:eastAsia="zh-CN"/>
              </w:rPr>
              <w:t>2</w:t>
            </w:r>
            <w:r>
              <w:rPr>
                <w:rFonts w:hint="eastAsia"/>
                <w:color w:val="auto"/>
                <w:sz w:val="24"/>
                <w:szCs w:val="24"/>
                <w:u w:val="none"/>
              </w:rPr>
              <w:t>类标准</w:t>
            </w:r>
            <w:r>
              <w:rPr>
                <w:color w:val="auto"/>
                <w:sz w:val="24"/>
                <w:szCs w:val="24"/>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u w:val="none"/>
              </w:rPr>
            </w:pPr>
            <w:r>
              <w:rPr>
                <w:rFonts w:hint="eastAsia"/>
                <w:color w:val="auto"/>
                <w:sz w:val="24"/>
                <w:szCs w:val="24"/>
                <w:u w:val="none"/>
                <w:lang w:eastAsia="zh-CN"/>
              </w:rPr>
              <w:t>（</w:t>
            </w:r>
            <w:r>
              <w:rPr>
                <w:rFonts w:hint="eastAsia"/>
                <w:color w:val="auto"/>
                <w:sz w:val="24"/>
                <w:szCs w:val="24"/>
                <w:u w:val="none"/>
                <w:lang w:val="en-US" w:eastAsia="zh-CN"/>
              </w:rPr>
              <w:t>5</w:t>
            </w:r>
            <w:r>
              <w:rPr>
                <w:rFonts w:hint="eastAsia"/>
                <w:color w:val="auto"/>
                <w:sz w:val="24"/>
                <w:szCs w:val="24"/>
                <w:u w:val="none"/>
                <w:lang w:eastAsia="zh-CN"/>
              </w:rPr>
              <w:t>）</w:t>
            </w:r>
            <w:r>
              <w:rPr>
                <w:color w:val="auto"/>
                <w:sz w:val="24"/>
                <w:szCs w:val="24"/>
                <w:u w:val="none"/>
              </w:rPr>
              <w:t>噪声监测结果见表</w:t>
            </w:r>
            <w:r>
              <w:rPr>
                <w:rFonts w:hint="eastAsia"/>
                <w:color w:val="auto"/>
                <w:sz w:val="24"/>
                <w:szCs w:val="24"/>
                <w:u w:val="none"/>
                <w:lang w:val="en-US" w:eastAsia="zh-CN"/>
              </w:rPr>
              <w:t>3-10</w:t>
            </w:r>
            <w:r>
              <w:rPr>
                <w:color w:val="auto"/>
                <w:sz w:val="24"/>
                <w:szCs w:val="24"/>
                <w:u w:val="none"/>
              </w:rPr>
              <w:t>：</w:t>
            </w:r>
          </w:p>
          <w:p>
            <w:pPr>
              <w:pStyle w:val="25"/>
              <w:spacing w:before="120" w:line="240" w:lineRule="auto"/>
              <w:ind w:firstLine="422"/>
              <w:jc w:val="center"/>
              <w:rPr>
                <w:rFonts w:hint="eastAsia"/>
                <w:b/>
                <w:color w:val="auto"/>
                <w:sz w:val="21"/>
                <w:szCs w:val="21"/>
                <w:u w:val="none"/>
              </w:rPr>
            </w:pPr>
          </w:p>
          <w:p>
            <w:pPr>
              <w:pStyle w:val="25"/>
              <w:spacing w:before="120" w:line="240" w:lineRule="auto"/>
              <w:ind w:firstLine="422"/>
              <w:jc w:val="center"/>
              <w:rPr>
                <w:b/>
                <w:color w:val="auto"/>
                <w:sz w:val="21"/>
                <w:szCs w:val="21"/>
                <w:u w:val="none"/>
              </w:rPr>
            </w:pPr>
            <w:r>
              <w:rPr>
                <w:rFonts w:hint="eastAsia"/>
                <w:b/>
                <w:color w:val="auto"/>
                <w:sz w:val="21"/>
                <w:szCs w:val="21"/>
                <w:u w:val="none"/>
              </w:rPr>
              <w:t>表3-</w:t>
            </w:r>
            <w:r>
              <w:rPr>
                <w:rFonts w:hint="eastAsia"/>
                <w:b/>
                <w:color w:val="auto"/>
                <w:sz w:val="21"/>
                <w:szCs w:val="21"/>
                <w:u w:val="none"/>
                <w:lang w:val="en-US" w:eastAsia="zh-CN"/>
              </w:rPr>
              <w:t>10</w:t>
            </w:r>
            <w:r>
              <w:rPr>
                <w:rFonts w:hint="eastAsia"/>
                <w:b/>
                <w:color w:val="auto"/>
                <w:sz w:val="21"/>
                <w:szCs w:val="21"/>
                <w:u w:val="none"/>
              </w:rPr>
              <w:t xml:space="preserve">   声环境监测结果平均值</w:t>
            </w:r>
          </w:p>
          <w:tbl>
            <w:tblPr>
              <w:tblStyle w:val="27"/>
              <w:tblW w:w="87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Layout w:type="fixed"/>
              <w:tblCellMar>
                <w:top w:w="0" w:type="dxa"/>
                <w:left w:w="108" w:type="dxa"/>
                <w:bottom w:w="0" w:type="dxa"/>
                <w:right w:w="108" w:type="dxa"/>
              </w:tblCellMar>
            </w:tblPr>
            <w:tblGrid>
              <w:gridCol w:w="1216"/>
              <w:gridCol w:w="1992"/>
              <w:gridCol w:w="1720"/>
              <w:gridCol w:w="1926"/>
              <w:gridCol w:w="19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246" w:hRule="atLeast"/>
                <w:jc w:val="center"/>
              </w:trPr>
              <w:tc>
                <w:tcPr>
                  <w:tcW w:w="1216" w:type="dxa"/>
                  <w:vMerge w:val="restart"/>
                  <w:tcBorders>
                    <w:tl2br w:val="nil"/>
                    <w:tr2bl w:val="nil"/>
                  </w:tcBorders>
                  <w:vAlign w:val="center"/>
                </w:tcPr>
                <w:p>
                  <w:pPr>
                    <w:spacing w:beforeLines="50" w:afterLines="100"/>
                    <w:jc w:val="center"/>
                    <w:rPr>
                      <w:color w:val="auto"/>
                      <w:szCs w:val="21"/>
                      <w:u w:val="none"/>
                    </w:rPr>
                  </w:pPr>
                  <w:r>
                    <w:rPr>
                      <w:color w:val="auto"/>
                      <w:szCs w:val="21"/>
                      <w:u w:val="none"/>
                    </w:rPr>
                    <w:t>点位序号</w:t>
                  </w:r>
                </w:p>
              </w:tc>
              <w:tc>
                <w:tcPr>
                  <w:tcW w:w="1992" w:type="dxa"/>
                  <w:vMerge w:val="restart"/>
                  <w:tcBorders>
                    <w:tl2br w:val="nil"/>
                    <w:tr2bl w:val="nil"/>
                  </w:tcBorders>
                  <w:vAlign w:val="center"/>
                </w:tcPr>
                <w:p>
                  <w:pPr>
                    <w:jc w:val="center"/>
                    <w:rPr>
                      <w:color w:val="auto"/>
                      <w:szCs w:val="21"/>
                      <w:u w:val="none"/>
                    </w:rPr>
                  </w:pPr>
                  <w:r>
                    <w:rPr>
                      <w:color w:val="auto"/>
                      <w:szCs w:val="21"/>
                      <w:u w:val="none"/>
                    </w:rPr>
                    <w:t>采样位置</w:t>
                  </w:r>
                </w:p>
              </w:tc>
              <w:tc>
                <w:tcPr>
                  <w:tcW w:w="1720" w:type="dxa"/>
                  <w:vMerge w:val="restart"/>
                  <w:tcBorders>
                    <w:tl2br w:val="nil"/>
                    <w:tr2bl w:val="nil"/>
                  </w:tcBorders>
                  <w:vAlign w:val="center"/>
                </w:tcPr>
                <w:p>
                  <w:pPr>
                    <w:jc w:val="center"/>
                    <w:rPr>
                      <w:color w:val="auto"/>
                      <w:szCs w:val="21"/>
                      <w:u w:val="none"/>
                    </w:rPr>
                  </w:pPr>
                  <w:r>
                    <w:rPr>
                      <w:color w:val="auto"/>
                      <w:szCs w:val="21"/>
                      <w:u w:val="none"/>
                    </w:rPr>
                    <w:t>检测时间</w:t>
                  </w:r>
                </w:p>
              </w:tc>
              <w:tc>
                <w:tcPr>
                  <w:tcW w:w="3853" w:type="dxa"/>
                  <w:gridSpan w:val="2"/>
                  <w:tcBorders>
                    <w:tl2br w:val="nil"/>
                    <w:tr2bl w:val="nil"/>
                  </w:tcBorders>
                  <w:vAlign w:val="center"/>
                </w:tcPr>
                <w:p>
                  <w:pPr>
                    <w:jc w:val="center"/>
                    <w:rPr>
                      <w:color w:val="auto"/>
                      <w:szCs w:val="21"/>
                      <w:u w:val="none"/>
                    </w:rPr>
                  </w:pPr>
                  <w:r>
                    <w:rPr>
                      <w:color w:val="auto"/>
                      <w:szCs w:val="21"/>
                      <w:u w:val="none"/>
                    </w:rPr>
                    <w:t>检测结果    LeqdB(A)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200" w:hRule="atLeast"/>
                <w:jc w:val="center"/>
              </w:trPr>
              <w:tc>
                <w:tcPr>
                  <w:tcW w:w="1216" w:type="dxa"/>
                  <w:vMerge w:val="continue"/>
                  <w:tcBorders>
                    <w:tl2br w:val="nil"/>
                    <w:tr2bl w:val="nil"/>
                  </w:tcBorders>
                  <w:vAlign w:val="center"/>
                </w:tcPr>
                <w:p>
                  <w:pPr>
                    <w:ind w:firstLine="420"/>
                    <w:jc w:val="center"/>
                    <w:rPr>
                      <w:color w:val="auto"/>
                      <w:szCs w:val="21"/>
                      <w:u w:val="none"/>
                    </w:rPr>
                  </w:pPr>
                </w:p>
              </w:tc>
              <w:tc>
                <w:tcPr>
                  <w:tcW w:w="1992" w:type="dxa"/>
                  <w:vMerge w:val="continue"/>
                  <w:tcBorders>
                    <w:tl2br w:val="nil"/>
                    <w:tr2bl w:val="nil"/>
                  </w:tcBorders>
                  <w:vAlign w:val="center"/>
                </w:tcPr>
                <w:p>
                  <w:pPr>
                    <w:ind w:firstLine="420"/>
                    <w:jc w:val="center"/>
                    <w:rPr>
                      <w:color w:val="auto"/>
                      <w:szCs w:val="21"/>
                      <w:u w:val="none"/>
                    </w:rPr>
                  </w:pPr>
                </w:p>
              </w:tc>
              <w:tc>
                <w:tcPr>
                  <w:tcW w:w="1720" w:type="dxa"/>
                  <w:vMerge w:val="continue"/>
                  <w:tcBorders>
                    <w:tl2br w:val="nil"/>
                    <w:tr2bl w:val="nil"/>
                  </w:tcBorders>
                  <w:vAlign w:val="center"/>
                </w:tcPr>
                <w:p>
                  <w:pPr>
                    <w:ind w:firstLine="420"/>
                    <w:jc w:val="center"/>
                    <w:rPr>
                      <w:color w:val="auto"/>
                      <w:szCs w:val="21"/>
                      <w:u w:val="none"/>
                    </w:rPr>
                  </w:pPr>
                </w:p>
              </w:tc>
              <w:tc>
                <w:tcPr>
                  <w:tcW w:w="1926" w:type="dxa"/>
                  <w:tcBorders>
                    <w:tl2br w:val="nil"/>
                    <w:tr2bl w:val="nil"/>
                  </w:tcBorders>
                  <w:vAlign w:val="center"/>
                </w:tcPr>
                <w:p>
                  <w:pPr>
                    <w:jc w:val="center"/>
                    <w:rPr>
                      <w:color w:val="auto"/>
                      <w:szCs w:val="21"/>
                      <w:u w:val="none"/>
                    </w:rPr>
                  </w:pPr>
                  <w:r>
                    <w:rPr>
                      <w:color w:val="auto"/>
                      <w:szCs w:val="21"/>
                      <w:u w:val="none"/>
                    </w:rPr>
                    <w:t>昼间</w:t>
                  </w:r>
                </w:p>
              </w:tc>
              <w:tc>
                <w:tcPr>
                  <w:tcW w:w="1927" w:type="dxa"/>
                  <w:tcBorders>
                    <w:tl2br w:val="nil"/>
                    <w:tr2bl w:val="nil"/>
                  </w:tcBorders>
                  <w:vAlign w:val="center"/>
                </w:tcPr>
                <w:p>
                  <w:pPr>
                    <w:jc w:val="center"/>
                    <w:rPr>
                      <w:color w:val="auto"/>
                      <w:szCs w:val="21"/>
                      <w:u w:val="none"/>
                    </w:rPr>
                  </w:pPr>
                  <w:r>
                    <w:rPr>
                      <w:color w:val="auto"/>
                      <w:szCs w:val="21"/>
                      <w:u w:val="none"/>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46" w:hRule="atLeast"/>
                <w:jc w:val="center"/>
              </w:trPr>
              <w:tc>
                <w:tcPr>
                  <w:tcW w:w="1216" w:type="dxa"/>
                  <w:vMerge w:val="restart"/>
                  <w:tcBorders>
                    <w:tl2br w:val="nil"/>
                    <w:tr2bl w:val="nil"/>
                  </w:tcBorders>
                  <w:vAlign w:val="center"/>
                </w:tcPr>
                <w:p>
                  <w:pPr>
                    <w:jc w:val="center"/>
                    <w:rPr>
                      <w:color w:val="auto"/>
                      <w:szCs w:val="21"/>
                      <w:u w:val="none"/>
                    </w:rPr>
                  </w:pPr>
                  <w:r>
                    <w:rPr>
                      <w:color w:val="auto"/>
                      <w:szCs w:val="21"/>
                      <w:u w:val="none"/>
                    </w:rPr>
                    <w:t>N1</w:t>
                  </w:r>
                </w:p>
              </w:tc>
              <w:tc>
                <w:tcPr>
                  <w:tcW w:w="1992" w:type="dxa"/>
                  <w:vMerge w:val="restart"/>
                  <w:tcBorders>
                    <w:tl2br w:val="nil"/>
                    <w:tr2bl w:val="nil"/>
                  </w:tcBorders>
                  <w:vAlign w:val="center"/>
                </w:tcPr>
                <w:p>
                  <w:pPr>
                    <w:jc w:val="center"/>
                    <w:rPr>
                      <w:color w:val="auto"/>
                      <w:szCs w:val="21"/>
                      <w:u w:val="none"/>
                    </w:rPr>
                  </w:pPr>
                  <w:r>
                    <w:rPr>
                      <w:color w:val="auto"/>
                      <w:szCs w:val="21"/>
                      <w:u w:val="none"/>
                    </w:rPr>
                    <w:t>项目东</w:t>
                  </w:r>
                  <w:r>
                    <w:rPr>
                      <w:rFonts w:hint="eastAsia"/>
                      <w:color w:val="auto"/>
                      <w:szCs w:val="21"/>
                      <w:u w:val="none"/>
                      <w:lang w:eastAsia="zh-CN"/>
                    </w:rPr>
                    <w:t>厂</w:t>
                  </w:r>
                  <w:r>
                    <w:rPr>
                      <w:color w:val="auto"/>
                      <w:szCs w:val="21"/>
                      <w:u w:val="none"/>
                    </w:rPr>
                    <w:t>界1m处</w:t>
                  </w:r>
                </w:p>
              </w:tc>
              <w:tc>
                <w:tcPr>
                  <w:tcW w:w="1720"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rPr>
                    <w:t>2019.</w:t>
                  </w:r>
                  <w:r>
                    <w:rPr>
                      <w:rFonts w:hint="eastAsia"/>
                      <w:color w:val="auto"/>
                      <w:szCs w:val="21"/>
                      <w:u w:val="none"/>
                      <w:lang w:val="en-US" w:eastAsia="zh-CN"/>
                    </w:rPr>
                    <w:t>12</w:t>
                  </w:r>
                  <w:r>
                    <w:rPr>
                      <w:rFonts w:hint="eastAsia"/>
                      <w:color w:val="auto"/>
                      <w:szCs w:val="21"/>
                      <w:u w:val="none"/>
                    </w:rPr>
                    <w:t>.</w:t>
                  </w:r>
                  <w:r>
                    <w:rPr>
                      <w:rFonts w:hint="eastAsia"/>
                      <w:color w:val="auto"/>
                      <w:szCs w:val="21"/>
                      <w:u w:val="none"/>
                      <w:lang w:val="en-US" w:eastAsia="zh-CN"/>
                    </w:rPr>
                    <w:t>21</w:t>
                  </w:r>
                </w:p>
              </w:tc>
              <w:tc>
                <w:tcPr>
                  <w:tcW w:w="1926" w:type="dxa"/>
                  <w:tcBorders>
                    <w:tl2br w:val="nil"/>
                    <w:tr2bl w:val="nil"/>
                  </w:tcBorders>
                  <w:vAlign w:val="center"/>
                </w:tcPr>
                <w:p>
                  <w:pPr>
                    <w:jc w:val="center"/>
                    <w:rPr>
                      <w:color w:val="auto"/>
                      <w:szCs w:val="21"/>
                      <w:u w:val="none"/>
                    </w:rPr>
                  </w:pPr>
                  <w:r>
                    <w:rPr>
                      <w:rFonts w:hint="eastAsia"/>
                      <w:color w:val="auto"/>
                      <w:szCs w:val="21"/>
                      <w:u w:val="none"/>
                    </w:rPr>
                    <w:t>49.6</w:t>
                  </w:r>
                </w:p>
              </w:tc>
              <w:tc>
                <w:tcPr>
                  <w:tcW w:w="1927"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lang w:val="en-US" w:eastAsia="zh-CN"/>
                    </w:rPr>
                    <w:t>37.4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61" w:hRule="atLeast"/>
                <w:jc w:val="center"/>
              </w:trPr>
              <w:tc>
                <w:tcPr>
                  <w:tcW w:w="1216" w:type="dxa"/>
                  <w:vMerge w:val="continue"/>
                  <w:tcBorders>
                    <w:tl2br w:val="nil"/>
                    <w:tr2bl w:val="nil"/>
                  </w:tcBorders>
                  <w:vAlign w:val="center"/>
                </w:tcPr>
                <w:p>
                  <w:pPr>
                    <w:ind w:firstLine="420"/>
                    <w:jc w:val="center"/>
                    <w:rPr>
                      <w:color w:val="auto"/>
                      <w:szCs w:val="21"/>
                      <w:u w:val="none"/>
                    </w:rPr>
                  </w:pPr>
                </w:p>
              </w:tc>
              <w:tc>
                <w:tcPr>
                  <w:tcW w:w="1992" w:type="dxa"/>
                  <w:vMerge w:val="continue"/>
                  <w:tcBorders>
                    <w:tl2br w:val="nil"/>
                    <w:tr2bl w:val="nil"/>
                  </w:tcBorders>
                  <w:vAlign w:val="center"/>
                </w:tcPr>
                <w:p>
                  <w:pPr>
                    <w:ind w:firstLine="420"/>
                    <w:jc w:val="center"/>
                    <w:rPr>
                      <w:color w:val="auto"/>
                      <w:szCs w:val="21"/>
                      <w:u w:val="none"/>
                    </w:rPr>
                  </w:pPr>
                </w:p>
              </w:tc>
              <w:tc>
                <w:tcPr>
                  <w:tcW w:w="1720"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rPr>
                    <w:t>2019.</w:t>
                  </w:r>
                  <w:r>
                    <w:rPr>
                      <w:rFonts w:hint="eastAsia"/>
                      <w:color w:val="auto"/>
                      <w:szCs w:val="21"/>
                      <w:u w:val="none"/>
                      <w:lang w:val="en-US" w:eastAsia="zh-CN"/>
                    </w:rPr>
                    <w:t>12</w:t>
                  </w:r>
                  <w:r>
                    <w:rPr>
                      <w:rFonts w:hint="eastAsia"/>
                      <w:color w:val="auto"/>
                      <w:szCs w:val="21"/>
                      <w:u w:val="none"/>
                    </w:rPr>
                    <w:t>.</w:t>
                  </w:r>
                  <w:r>
                    <w:rPr>
                      <w:rFonts w:hint="eastAsia"/>
                      <w:color w:val="auto"/>
                      <w:szCs w:val="21"/>
                      <w:u w:val="none"/>
                      <w:lang w:val="en-US" w:eastAsia="zh-CN"/>
                    </w:rPr>
                    <w:t>22</w:t>
                  </w:r>
                </w:p>
              </w:tc>
              <w:tc>
                <w:tcPr>
                  <w:tcW w:w="1926"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lang w:val="en-US" w:eastAsia="zh-CN"/>
                    </w:rPr>
                    <w:t>50.1</w:t>
                  </w:r>
                </w:p>
              </w:tc>
              <w:tc>
                <w:tcPr>
                  <w:tcW w:w="1927"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lang w:val="en-US" w:eastAsia="zh-CN"/>
                    </w:rPr>
                    <w:t>38.2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01" w:hRule="atLeast"/>
                <w:jc w:val="center"/>
              </w:trPr>
              <w:tc>
                <w:tcPr>
                  <w:tcW w:w="1216" w:type="dxa"/>
                  <w:vMerge w:val="restart"/>
                  <w:tcBorders>
                    <w:tl2br w:val="nil"/>
                    <w:tr2bl w:val="nil"/>
                  </w:tcBorders>
                  <w:vAlign w:val="center"/>
                </w:tcPr>
                <w:p>
                  <w:pPr>
                    <w:jc w:val="center"/>
                    <w:rPr>
                      <w:color w:val="auto"/>
                      <w:szCs w:val="21"/>
                      <w:u w:val="none"/>
                    </w:rPr>
                  </w:pPr>
                  <w:r>
                    <w:rPr>
                      <w:color w:val="auto"/>
                      <w:szCs w:val="21"/>
                      <w:u w:val="none"/>
                    </w:rPr>
                    <w:t>N2</w:t>
                  </w:r>
                </w:p>
              </w:tc>
              <w:tc>
                <w:tcPr>
                  <w:tcW w:w="1992" w:type="dxa"/>
                  <w:vMerge w:val="restart"/>
                  <w:tcBorders>
                    <w:tl2br w:val="nil"/>
                    <w:tr2bl w:val="nil"/>
                  </w:tcBorders>
                  <w:vAlign w:val="center"/>
                </w:tcPr>
                <w:p>
                  <w:pPr>
                    <w:jc w:val="center"/>
                    <w:rPr>
                      <w:color w:val="auto"/>
                      <w:szCs w:val="21"/>
                      <w:u w:val="none"/>
                    </w:rPr>
                  </w:pPr>
                  <w:r>
                    <w:rPr>
                      <w:color w:val="auto"/>
                      <w:szCs w:val="21"/>
                      <w:u w:val="none"/>
                    </w:rPr>
                    <w:t>项目南</w:t>
                  </w:r>
                  <w:r>
                    <w:rPr>
                      <w:rFonts w:hint="eastAsia"/>
                      <w:color w:val="auto"/>
                      <w:szCs w:val="21"/>
                      <w:u w:val="none"/>
                      <w:lang w:eastAsia="zh-CN"/>
                    </w:rPr>
                    <w:t>厂</w:t>
                  </w:r>
                  <w:r>
                    <w:rPr>
                      <w:color w:val="auto"/>
                      <w:szCs w:val="21"/>
                      <w:u w:val="none"/>
                    </w:rPr>
                    <w:t>界1m处</w:t>
                  </w:r>
                </w:p>
              </w:tc>
              <w:tc>
                <w:tcPr>
                  <w:tcW w:w="1720" w:type="dxa"/>
                  <w:tcBorders>
                    <w:tl2br w:val="nil"/>
                    <w:tr2bl w:val="nil"/>
                  </w:tcBorders>
                  <w:vAlign w:val="center"/>
                </w:tcPr>
                <w:p>
                  <w:pPr>
                    <w:jc w:val="center"/>
                    <w:rPr>
                      <w:rFonts w:ascii="Times New Roman" w:hAnsi="Times New Roman" w:eastAsia="宋体" w:cs="Times New Roman"/>
                      <w:color w:val="auto"/>
                      <w:kern w:val="2"/>
                      <w:sz w:val="21"/>
                      <w:szCs w:val="21"/>
                      <w:u w:val="none"/>
                      <w:lang w:val="en-US" w:eastAsia="zh-CN" w:bidi="ar-SA"/>
                    </w:rPr>
                  </w:pPr>
                  <w:r>
                    <w:rPr>
                      <w:rFonts w:hint="eastAsia"/>
                      <w:color w:val="auto"/>
                      <w:szCs w:val="21"/>
                      <w:u w:val="none"/>
                    </w:rPr>
                    <w:t>2019.</w:t>
                  </w:r>
                  <w:r>
                    <w:rPr>
                      <w:rFonts w:hint="eastAsia"/>
                      <w:color w:val="auto"/>
                      <w:szCs w:val="21"/>
                      <w:u w:val="none"/>
                      <w:lang w:val="en-US" w:eastAsia="zh-CN"/>
                    </w:rPr>
                    <w:t>12</w:t>
                  </w:r>
                  <w:r>
                    <w:rPr>
                      <w:rFonts w:hint="eastAsia"/>
                      <w:color w:val="auto"/>
                      <w:szCs w:val="21"/>
                      <w:u w:val="none"/>
                    </w:rPr>
                    <w:t>.</w:t>
                  </w:r>
                  <w:r>
                    <w:rPr>
                      <w:rFonts w:hint="eastAsia"/>
                      <w:color w:val="auto"/>
                      <w:szCs w:val="21"/>
                      <w:u w:val="none"/>
                      <w:lang w:val="en-US" w:eastAsia="zh-CN"/>
                    </w:rPr>
                    <w:t>21</w:t>
                  </w:r>
                </w:p>
              </w:tc>
              <w:tc>
                <w:tcPr>
                  <w:tcW w:w="1926"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lang w:val="en-US" w:eastAsia="zh-CN"/>
                    </w:rPr>
                    <w:t>50.4</w:t>
                  </w:r>
                </w:p>
              </w:tc>
              <w:tc>
                <w:tcPr>
                  <w:tcW w:w="1927"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lang w:val="en-US" w:eastAsia="zh-CN"/>
                    </w:rPr>
                    <w:t>35.2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01" w:hRule="atLeast"/>
                <w:jc w:val="center"/>
              </w:trPr>
              <w:tc>
                <w:tcPr>
                  <w:tcW w:w="1216" w:type="dxa"/>
                  <w:vMerge w:val="continue"/>
                  <w:tcBorders>
                    <w:tl2br w:val="nil"/>
                    <w:tr2bl w:val="nil"/>
                  </w:tcBorders>
                  <w:vAlign w:val="center"/>
                </w:tcPr>
                <w:p>
                  <w:pPr>
                    <w:ind w:firstLine="420"/>
                    <w:jc w:val="center"/>
                    <w:rPr>
                      <w:color w:val="auto"/>
                      <w:szCs w:val="21"/>
                      <w:u w:val="none"/>
                    </w:rPr>
                  </w:pPr>
                </w:p>
              </w:tc>
              <w:tc>
                <w:tcPr>
                  <w:tcW w:w="1992" w:type="dxa"/>
                  <w:vMerge w:val="continue"/>
                  <w:tcBorders>
                    <w:tl2br w:val="nil"/>
                    <w:tr2bl w:val="nil"/>
                  </w:tcBorders>
                  <w:vAlign w:val="center"/>
                </w:tcPr>
                <w:p>
                  <w:pPr>
                    <w:ind w:firstLine="420"/>
                    <w:jc w:val="center"/>
                    <w:rPr>
                      <w:color w:val="auto"/>
                      <w:szCs w:val="21"/>
                      <w:u w:val="none"/>
                    </w:rPr>
                  </w:pPr>
                </w:p>
              </w:tc>
              <w:tc>
                <w:tcPr>
                  <w:tcW w:w="1720" w:type="dxa"/>
                  <w:tcBorders>
                    <w:tl2br w:val="nil"/>
                    <w:tr2bl w:val="nil"/>
                  </w:tcBorders>
                  <w:vAlign w:val="center"/>
                </w:tcPr>
                <w:p>
                  <w:pPr>
                    <w:jc w:val="center"/>
                    <w:rPr>
                      <w:rFonts w:ascii="Times New Roman" w:hAnsi="Times New Roman" w:eastAsia="宋体" w:cs="Times New Roman"/>
                      <w:color w:val="auto"/>
                      <w:kern w:val="2"/>
                      <w:sz w:val="21"/>
                      <w:szCs w:val="21"/>
                      <w:u w:val="none"/>
                      <w:lang w:val="en-US" w:eastAsia="zh-CN" w:bidi="ar-SA"/>
                    </w:rPr>
                  </w:pPr>
                  <w:r>
                    <w:rPr>
                      <w:rFonts w:hint="eastAsia"/>
                      <w:color w:val="auto"/>
                      <w:szCs w:val="21"/>
                      <w:u w:val="none"/>
                    </w:rPr>
                    <w:t>2019.</w:t>
                  </w:r>
                  <w:r>
                    <w:rPr>
                      <w:rFonts w:hint="eastAsia"/>
                      <w:color w:val="auto"/>
                      <w:szCs w:val="21"/>
                      <w:u w:val="none"/>
                      <w:lang w:val="en-US" w:eastAsia="zh-CN"/>
                    </w:rPr>
                    <w:t>12</w:t>
                  </w:r>
                  <w:r>
                    <w:rPr>
                      <w:rFonts w:hint="eastAsia"/>
                      <w:color w:val="auto"/>
                      <w:szCs w:val="21"/>
                      <w:u w:val="none"/>
                    </w:rPr>
                    <w:t>.</w:t>
                  </w:r>
                  <w:r>
                    <w:rPr>
                      <w:rFonts w:hint="eastAsia"/>
                      <w:color w:val="auto"/>
                      <w:szCs w:val="21"/>
                      <w:u w:val="none"/>
                      <w:lang w:val="en-US" w:eastAsia="zh-CN"/>
                    </w:rPr>
                    <w:t>22</w:t>
                  </w:r>
                </w:p>
              </w:tc>
              <w:tc>
                <w:tcPr>
                  <w:tcW w:w="1926"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lang w:val="en-US" w:eastAsia="zh-CN"/>
                    </w:rPr>
                    <w:t>49.7</w:t>
                  </w:r>
                </w:p>
              </w:tc>
              <w:tc>
                <w:tcPr>
                  <w:tcW w:w="1927"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lang w:val="en-US" w:eastAsia="zh-CN"/>
                    </w:rPr>
                    <w:t>36.5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16" w:hRule="atLeast"/>
                <w:jc w:val="center"/>
              </w:trPr>
              <w:tc>
                <w:tcPr>
                  <w:tcW w:w="1216" w:type="dxa"/>
                  <w:vMerge w:val="restart"/>
                  <w:tcBorders>
                    <w:tl2br w:val="nil"/>
                    <w:tr2bl w:val="nil"/>
                  </w:tcBorders>
                  <w:vAlign w:val="center"/>
                </w:tcPr>
                <w:p>
                  <w:pPr>
                    <w:jc w:val="center"/>
                    <w:rPr>
                      <w:color w:val="auto"/>
                      <w:szCs w:val="21"/>
                      <w:u w:val="none"/>
                    </w:rPr>
                  </w:pPr>
                  <w:r>
                    <w:rPr>
                      <w:color w:val="auto"/>
                      <w:szCs w:val="21"/>
                      <w:u w:val="none"/>
                    </w:rPr>
                    <w:t>N3</w:t>
                  </w:r>
                </w:p>
              </w:tc>
              <w:tc>
                <w:tcPr>
                  <w:tcW w:w="1992" w:type="dxa"/>
                  <w:vMerge w:val="restart"/>
                  <w:tcBorders>
                    <w:tl2br w:val="nil"/>
                    <w:tr2bl w:val="nil"/>
                  </w:tcBorders>
                  <w:vAlign w:val="center"/>
                </w:tcPr>
                <w:p>
                  <w:pPr>
                    <w:jc w:val="center"/>
                    <w:rPr>
                      <w:color w:val="auto"/>
                      <w:szCs w:val="21"/>
                      <w:u w:val="none"/>
                    </w:rPr>
                  </w:pPr>
                  <w:r>
                    <w:rPr>
                      <w:color w:val="auto"/>
                      <w:szCs w:val="21"/>
                      <w:u w:val="none"/>
                    </w:rPr>
                    <w:t>项目西</w:t>
                  </w:r>
                  <w:r>
                    <w:rPr>
                      <w:rFonts w:hint="eastAsia"/>
                      <w:color w:val="auto"/>
                      <w:szCs w:val="21"/>
                      <w:u w:val="none"/>
                      <w:lang w:eastAsia="zh-CN"/>
                    </w:rPr>
                    <w:t>厂</w:t>
                  </w:r>
                  <w:r>
                    <w:rPr>
                      <w:color w:val="auto"/>
                      <w:szCs w:val="21"/>
                      <w:u w:val="none"/>
                    </w:rPr>
                    <w:t>界1m处</w:t>
                  </w:r>
                </w:p>
              </w:tc>
              <w:tc>
                <w:tcPr>
                  <w:tcW w:w="1720" w:type="dxa"/>
                  <w:tcBorders>
                    <w:tl2br w:val="nil"/>
                    <w:tr2bl w:val="nil"/>
                  </w:tcBorders>
                  <w:vAlign w:val="center"/>
                </w:tcPr>
                <w:p>
                  <w:pPr>
                    <w:jc w:val="center"/>
                    <w:rPr>
                      <w:rFonts w:ascii="Times New Roman" w:hAnsi="Times New Roman" w:eastAsia="宋体" w:cs="Times New Roman"/>
                      <w:color w:val="auto"/>
                      <w:kern w:val="2"/>
                      <w:sz w:val="21"/>
                      <w:szCs w:val="21"/>
                      <w:u w:val="none"/>
                      <w:lang w:val="en-US" w:eastAsia="zh-CN" w:bidi="ar-SA"/>
                    </w:rPr>
                  </w:pPr>
                  <w:r>
                    <w:rPr>
                      <w:rFonts w:hint="eastAsia"/>
                      <w:color w:val="auto"/>
                      <w:szCs w:val="21"/>
                      <w:u w:val="none"/>
                    </w:rPr>
                    <w:t>2019.</w:t>
                  </w:r>
                  <w:r>
                    <w:rPr>
                      <w:rFonts w:hint="eastAsia"/>
                      <w:color w:val="auto"/>
                      <w:szCs w:val="21"/>
                      <w:u w:val="none"/>
                      <w:lang w:val="en-US" w:eastAsia="zh-CN"/>
                    </w:rPr>
                    <w:t>12</w:t>
                  </w:r>
                  <w:r>
                    <w:rPr>
                      <w:rFonts w:hint="eastAsia"/>
                      <w:color w:val="auto"/>
                      <w:szCs w:val="21"/>
                      <w:u w:val="none"/>
                    </w:rPr>
                    <w:t>.</w:t>
                  </w:r>
                  <w:r>
                    <w:rPr>
                      <w:rFonts w:hint="eastAsia"/>
                      <w:color w:val="auto"/>
                      <w:szCs w:val="21"/>
                      <w:u w:val="none"/>
                      <w:lang w:val="en-US" w:eastAsia="zh-CN"/>
                    </w:rPr>
                    <w:t>21</w:t>
                  </w:r>
                </w:p>
              </w:tc>
              <w:tc>
                <w:tcPr>
                  <w:tcW w:w="1926"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lang w:val="en-US" w:eastAsia="zh-CN"/>
                    </w:rPr>
                    <w:t>47.5</w:t>
                  </w:r>
                </w:p>
              </w:tc>
              <w:tc>
                <w:tcPr>
                  <w:tcW w:w="1927"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lang w:val="en-US" w:eastAsia="zh-CN"/>
                    </w:rPr>
                    <w:t>38.0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90" w:hRule="atLeast"/>
                <w:jc w:val="center"/>
              </w:trPr>
              <w:tc>
                <w:tcPr>
                  <w:tcW w:w="1216" w:type="dxa"/>
                  <w:vMerge w:val="continue"/>
                  <w:tcBorders>
                    <w:tl2br w:val="nil"/>
                    <w:tr2bl w:val="nil"/>
                  </w:tcBorders>
                  <w:vAlign w:val="center"/>
                </w:tcPr>
                <w:p>
                  <w:pPr>
                    <w:ind w:firstLine="420"/>
                    <w:jc w:val="center"/>
                    <w:rPr>
                      <w:color w:val="auto"/>
                      <w:szCs w:val="21"/>
                      <w:u w:val="none"/>
                    </w:rPr>
                  </w:pPr>
                </w:p>
              </w:tc>
              <w:tc>
                <w:tcPr>
                  <w:tcW w:w="1992" w:type="dxa"/>
                  <w:vMerge w:val="continue"/>
                  <w:tcBorders>
                    <w:tl2br w:val="nil"/>
                    <w:tr2bl w:val="nil"/>
                  </w:tcBorders>
                  <w:vAlign w:val="center"/>
                </w:tcPr>
                <w:p>
                  <w:pPr>
                    <w:ind w:firstLine="420"/>
                    <w:jc w:val="center"/>
                    <w:rPr>
                      <w:color w:val="auto"/>
                      <w:szCs w:val="21"/>
                      <w:u w:val="none"/>
                    </w:rPr>
                  </w:pPr>
                </w:p>
              </w:tc>
              <w:tc>
                <w:tcPr>
                  <w:tcW w:w="1720" w:type="dxa"/>
                  <w:tcBorders>
                    <w:tl2br w:val="nil"/>
                    <w:tr2bl w:val="nil"/>
                  </w:tcBorders>
                  <w:vAlign w:val="center"/>
                </w:tcPr>
                <w:p>
                  <w:pPr>
                    <w:jc w:val="center"/>
                    <w:rPr>
                      <w:rFonts w:ascii="Times New Roman" w:hAnsi="Times New Roman" w:eastAsia="宋体" w:cs="Times New Roman"/>
                      <w:color w:val="auto"/>
                      <w:kern w:val="2"/>
                      <w:sz w:val="21"/>
                      <w:szCs w:val="21"/>
                      <w:u w:val="none"/>
                      <w:lang w:val="en-US" w:eastAsia="zh-CN" w:bidi="ar-SA"/>
                    </w:rPr>
                  </w:pPr>
                  <w:r>
                    <w:rPr>
                      <w:rFonts w:hint="eastAsia"/>
                      <w:color w:val="auto"/>
                      <w:szCs w:val="21"/>
                      <w:u w:val="none"/>
                    </w:rPr>
                    <w:t>2019.</w:t>
                  </w:r>
                  <w:r>
                    <w:rPr>
                      <w:rFonts w:hint="eastAsia"/>
                      <w:color w:val="auto"/>
                      <w:szCs w:val="21"/>
                      <w:u w:val="none"/>
                      <w:lang w:val="en-US" w:eastAsia="zh-CN"/>
                    </w:rPr>
                    <w:t>12</w:t>
                  </w:r>
                  <w:r>
                    <w:rPr>
                      <w:rFonts w:hint="eastAsia"/>
                      <w:color w:val="auto"/>
                      <w:szCs w:val="21"/>
                      <w:u w:val="none"/>
                    </w:rPr>
                    <w:t>.</w:t>
                  </w:r>
                  <w:r>
                    <w:rPr>
                      <w:rFonts w:hint="eastAsia"/>
                      <w:color w:val="auto"/>
                      <w:szCs w:val="21"/>
                      <w:u w:val="none"/>
                      <w:lang w:val="en-US" w:eastAsia="zh-CN"/>
                    </w:rPr>
                    <w:t>22</w:t>
                  </w:r>
                </w:p>
              </w:tc>
              <w:tc>
                <w:tcPr>
                  <w:tcW w:w="1926"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lang w:val="en-US" w:eastAsia="zh-CN"/>
                    </w:rPr>
                    <w:t>40.3</w:t>
                  </w:r>
                </w:p>
              </w:tc>
              <w:tc>
                <w:tcPr>
                  <w:tcW w:w="1927"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lang w:val="en-US" w:eastAsia="zh-CN"/>
                    </w:rPr>
                    <w:t>37.6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46" w:hRule="atLeast"/>
                <w:jc w:val="center"/>
              </w:trPr>
              <w:tc>
                <w:tcPr>
                  <w:tcW w:w="1216" w:type="dxa"/>
                  <w:vMerge w:val="restart"/>
                  <w:tcBorders>
                    <w:tl2br w:val="nil"/>
                    <w:tr2bl w:val="nil"/>
                  </w:tcBorders>
                  <w:vAlign w:val="center"/>
                </w:tcPr>
                <w:p>
                  <w:pPr>
                    <w:jc w:val="center"/>
                    <w:rPr>
                      <w:color w:val="auto"/>
                      <w:szCs w:val="21"/>
                      <w:u w:val="none"/>
                    </w:rPr>
                  </w:pPr>
                  <w:r>
                    <w:rPr>
                      <w:color w:val="auto"/>
                      <w:szCs w:val="21"/>
                      <w:u w:val="none"/>
                    </w:rPr>
                    <w:t>N4</w:t>
                  </w:r>
                </w:p>
              </w:tc>
              <w:tc>
                <w:tcPr>
                  <w:tcW w:w="1992" w:type="dxa"/>
                  <w:vMerge w:val="restart"/>
                  <w:tcBorders>
                    <w:tl2br w:val="nil"/>
                    <w:tr2bl w:val="nil"/>
                  </w:tcBorders>
                  <w:vAlign w:val="center"/>
                </w:tcPr>
                <w:p>
                  <w:pPr>
                    <w:jc w:val="center"/>
                    <w:rPr>
                      <w:color w:val="auto"/>
                      <w:szCs w:val="21"/>
                      <w:u w:val="none"/>
                    </w:rPr>
                  </w:pPr>
                  <w:r>
                    <w:rPr>
                      <w:color w:val="auto"/>
                      <w:szCs w:val="21"/>
                      <w:u w:val="none"/>
                    </w:rPr>
                    <w:t>项目北</w:t>
                  </w:r>
                  <w:r>
                    <w:rPr>
                      <w:rFonts w:hint="eastAsia"/>
                      <w:color w:val="auto"/>
                      <w:szCs w:val="21"/>
                      <w:u w:val="none"/>
                      <w:lang w:eastAsia="zh-CN"/>
                    </w:rPr>
                    <w:t>厂</w:t>
                  </w:r>
                  <w:r>
                    <w:rPr>
                      <w:color w:val="auto"/>
                      <w:szCs w:val="21"/>
                      <w:u w:val="none"/>
                    </w:rPr>
                    <w:t>界1m处</w:t>
                  </w:r>
                </w:p>
              </w:tc>
              <w:tc>
                <w:tcPr>
                  <w:tcW w:w="1720" w:type="dxa"/>
                  <w:tcBorders>
                    <w:tl2br w:val="nil"/>
                    <w:tr2bl w:val="nil"/>
                  </w:tcBorders>
                  <w:vAlign w:val="center"/>
                </w:tcPr>
                <w:p>
                  <w:pPr>
                    <w:jc w:val="center"/>
                    <w:rPr>
                      <w:rFonts w:ascii="Times New Roman" w:hAnsi="Times New Roman" w:eastAsia="宋体" w:cs="Times New Roman"/>
                      <w:color w:val="auto"/>
                      <w:kern w:val="2"/>
                      <w:sz w:val="21"/>
                      <w:szCs w:val="21"/>
                      <w:u w:val="none"/>
                      <w:lang w:val="en-US" w:eastAsia="zh-CN" w:bidi="ar-SA"/>
                    </w:rPr>
                  </w:pPr>
                  <w:r>
                    <w:rPr>
                      <w:rFonts w:hint="eastAsia"/>
                      <w:color w:val="auto"/>
                      <w:szCs w:val="21"/>
                      <w:u w:val="none"/>
                    </w:rPr>
                    <w:t>2019.</w:t>
                  </w:r>
                  <w:r>
                    <w:rPr>
                      <w:rFonts w:hint="eastAsia"/>
                      <w:color w:val="auto"/>
                      <w:szCs w:val="21"/>
                      <w:u w:val="none"/>
                      <w:lang w:val="en-US" w:eastAsia="zh-CN"/>
                    </w:rPr>
                    <w:t>12</w:t>
                  </w:r>
                  <w:r>
                    <w:rPr>
                      <w:rFonts w:hint="eastAsia"/>
                      <w:color w:val="auto"/>
                      <w:szCs w:val="21"/>
                      <w:u w:val="none"/>
                    </w:rPr>
                    <w:t>.</w:t>
                  </w:r>
                  <w:r>
                    <w:rPr>
                      <w:rFonts w:hint="eastAsia"/>
                      <w:color w:val="auto"/>
                      <w:szCs w:val="21"/>
                      <w:u w:val="none"/>
                      <w:lang w:val="en-US" w:eastAsia="zh-CN"/>
                    </w:rPr>
                    <w:t>21</w:t>
                  </w:r>
                </w:p>
              </w:tc>
              <w:tc>
                <w:tcPr>
                  <w:tcW w:w="1926"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lang w:val="en-US" w:eastAsia="zh-CN"/>
                    </w:rPr>
                    <w:t>47.8</w:t>
                  </w:r>
                </w:p>
              </w:tc>
              <w:tc>
                <w:tcPr>
                  <w:tcW w:w="1927"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lang w:val="en-US" w:eastAsia="zh-CN"/>
                    </w:rPr>
                    <w:t>37.7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70" w:hRule="atLeast"/>
                <w:jc w:val="center"/>
              </w:trPr>
              <w:tc>
                <w:tcPr>
                  <w:tcW w:w="1216" w:type="dxa"/>
                  <w:vMerge w:val="continue"/>
                  <w:tcBorders>
                    <w:tl2br w:val="nil"/>
                    <w:tr2bl w:val="nil"/>
                  </w:tcBorders>
                  <w:vAlign w:val="center"/>
                </w:tcPr>
                <w:p>
                  <w:pPr>
                    <w:ind w:firstLine="420"/>
                    <w:jc w:val="center"/>
                    <w:rPr>
                      <w:color w:val="auto"/>
                      <w:szCs w:val="21"/>
                      <w:u w:val="none"/>
                    </w:rPr>
                  </w:pPr>
                </w:p>
              </w:tc>
              <w:tc>
                <w:tcPr>
                  <w:tcW w:w="1992" w:type="dxa"/>
                  <w:vMerge w:val="continue"/>
                  <w:tcBorders>
                    <w:tl2br w:val="nil"/>
                    <w:tr2bl w:val="nil"/>
                  </w:tcBorders>
                  <w:vAlign w:val="center"/>
                </w:tcPr>
                <w:p>
                  <w:pPr>
                    <w:ind w:firstLine="420"/>
                    <w:jc w:val="center"/>
                    <w:rPr>
                      <w:color w:val="auto"/>
                      <w:szCs w:val="21"/>
                      <w:u w:val="none"/>
                    </w:rPr>
                  </w:pPr>
                </w:p>
              </w:tc>
              <w:tc>
                <w:tcPr>
                  <w:tcW w:w="1720" w:type="dxa"/>
                  <w:tcBorders>
                    <w:tl2br w:val="nil"/>
                    <w:tr2bl w:val="nil"/>
                  </w:tcBorders>
                  <w:vAlign w:val="center"/>
                </w:tcPr>
                <w:p>
                  <w:pPr>
                    <w:jc w:val="center"/>
                    <w:rPr>
                      <w:rFonts w:ascii="Times New Roman" w:hAnsi="Times New Roman" w:eastAsia="宋体" w:cs="Times New Roman"/>
                      <w:color w:val="auto"/>
                      <w:kern w:val="2"/>
                      <w:sz w:val="21"/>
                      <w:szCs w:val="21"/>
                      <w:u w:val="none"/>
                      <w:lang w:val="en-US" w:eastAsia="zh-CN" w:bidi="ar-SA"/>
                    </w:rPr>
                  </w:pPr>
                  <w:r>
                    <w:rPr>
                      <w:rFonts w:hint="eastAsia"/>
                      <w:color w:val="auto"/>
                      <w:szCs w:val="21"/>
                      <w:u w:val="none"/>
                    </w:rPr>
                    <w:t>2019.</w:t>
                  </w:r>
                  <w:r>
                    <w:rPr>
                      <w:rFonts w:hint="eastAsia"/>
                      <w:color w:val="auto"/>
                      <w:szCs w:val="21"/>
                      <w:u w:val="none"/>
                      <w:lang w:val="en-US" w:eastAsia="zh-CN"/>
                    </w:rPr>
                    <w:t>12</w:t>
                  </w:r>
                  <w:r>
                    <w:rPr>
                      <w:rFonts w:hint="eastAsia"/>
                      <w:color w:val="auto"/>
                      <w:szCs w:val="21"/>
                      <w:u w:val="none"/>
                    </w:rPr>
                    <w:t>.</w:t>
                  </w:r>
                  <w:r>
                    <w:rPr>
                      <w:rFonts w:hint="eastAsia"/>
                      <w:color w:val="auto"/>
                      <w:szCs w:val="21"/>
                      <w:u w:val="none"/>
                      <w:lang w:val="en-US" w:eastAsia="zh-CN"/>
                    </w:rPr>
                    <w:t>22</w:t>
                  </w:r>
                </w:p>
              </w:tc>
              <w:tc>
                <w:tcPr>
                  <w:tcW w:w="1926" w:type="dxa"/>
                  <w:tcBorders>
                    <w:tl2br w:val="nil"/>
                    <w:tr2bl w:val="nil"/>
                  </w:tcBorders>
                  <w:vAlign w:val="center"/>
                </w:tcPr>
                <w:p>
                  <w:pPr>
                    <w:jc w:val="center"/>
                    <w:rPr>
                      <w:rFonts w:hint="default"/>
                      <w:lang w:val="en-US" w:eastAsia="zh-CN"/>
                    </w:rPr>
                  </w:pPr>
                  <w:r>
                    <w:rPr>
                      <w:rFonts w:hint="eastAsia"/>
                      <w:lang w:val="en-US" w:eastAsia="zh-CN"/>
                    </w:rPr>
                    <w:t>47.0</w:t>
                  </w:r>
                </w:p>
              </w:tc>
              <w:tc>
                <w:tcPr>
                  <w:tcW w:w="1927"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lang w:val="en-US" w:eastAsia="zh-CN"/>
                    </w:rPr>
                    <w:t>36.9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70" w:hRule="atLeast"/>
                <w:jc w:val="center"/>
              </w:trPr>
              <w:tc>
                <w:tcPr>
                  <w:tcW w:w="1216" w:type="dxa"/>
                  <w:tcBorders>
                    <w:tl2br w:val="nil"/>
                    <w:tr2bl w:val="nil"/>
                  </w:tcBorders>
                  <w:vAlign w:val="center"/>
                </w:tcPr>
                <w:p>
                  <w:pPr>
                    <w:jc w:val="center"/>
                    <w:rPr>
                      <w:color w:val="auto"/>
                      <w:szCs w:val="21"/>
                      <w:u w:val="none"/>
                    </w:rPr>
                  </w:pPr>
                  <w:r>
                    <w:rPr>
                      <w:rFonts w:hint="eastAsia"/>
                      <w:color w:val="auto"/>
                      <w:szCs w:val="21"/>
                      <w:u w:val="none"/>
                      <w:lang w:val="en-US" w:eastAsia="zh-CN"/>
                    </w:rPr>
                    <w:t>N5</w:t>
                  </w:r>
                </w:p>
              </w:tc>
              <w:tc>
                <w:tcPr>
                  <w:tcW w:w="1992" w:type="dxa"/>
                  <w:tcBorders>
                    <w:tl2br w:val="nil"/>
                    <w:tr2bl w:val="nil"/>
                  </w:tcBorders>
                  <w:vAlign w:val="center"/>
                </w:tcPr>
                <w:p>
                  <w:pPr>
                    <w:jc w:val="center"/>
                    <w:rPr>
                      <w:color w:val="auto"/>
                      <w:szCs w:val="21"/>
                      <w:u w:val="none"/>
                    </w:rPr>
                  </w:pPr>
                  <w:r>
                    <w:rPr>
                      <w:rFonts w:hint="eastAsia"/>
                      <w:color w:val="auto"/>
                      <w:szCs w:val="21"/>
                      <w:u w:val="none"/>
                      <w:lang w:val="en-US" w:eastAsia="zh-CN"/>
                    </w:rPr>
                    <w:t>北面158m处居民点窗前1m处</w:t>
                  </w:r>
                </w:p>
              </w:tc>
              <w:tc>
                <w:tcPr>
                  <w:tcW w:w="1720" w:type="dxa"/>
                  <w:tcBorders>
                    <w:tl2br w:val="nil"/>
                    <w:tr2bl w:val="nil"/>
                  </w:tcBorders>
                  <w:vAlign w:val="center"/>
                </w:tcPr>
                <w:p>
                  <w:pPr>
                    <w:jc w:val="center"/>
                    <w:rPr>
                      <w:rFonts w:hint="eastAsia" w:ascii="Times New Roman" w:hAnsi="Times New Roman" w:eastAsia="宋体" w:cs="Times New Roman"/>
                      <w:color w:val="auto"/>
                      <w:kern w:val="2"/>
                      <w:sz w:val="21"/>
                      <w:szCs w:val="21"/>
                      <w:u w:val="none"/>
                      <w:lang w:val="en-US" w:eastAsia="zh-CN" w:bidi="ar-SA"/>
                    </w:rPr>
                  </w:pPr>
                  <w:r>
                    <w:rPr>
                      <w:rFonts w:hint="eastAsia"/>
                      <w:color w:val="auto"/>
                      <w:szCs w:val="21"/>
                      <w:u w:val="none"/>
                    </w:rPr>
                    <w:t>2019.</w:t>
                  </w:r>
                  <w:r>
                    <w:rPr>
                      <w:rFonts w:hint="eastAsia"/>
                      <w:color w:val="auto"/>
                      <w:szCs w:val="21"/>
                      <w:u w:val="none"/>
                      <w:lang w:val="en-US" w:eastAsia="zh-CN"/>
                    </w:rPr>
                    <w:t>12</w:t>
                  </w:r>
                  <w:r>
                    <w:rPr>
                      <w:rFonts w:hint="eastAsia"/>
                      <w:color w:val="auto"/>
                      <w:szCs w:val="21"/>
                      <w:u w:val="none"/>
                    </w:rPr>
                    <w:t>.</w:t>
                  </w:r>
                  <w:r>
                    <w:rPr>
                      <w:rFonts w:hint="eastAsia"/>
                      <w:color w:val="auto"/>
                      <w:szCs w:val="21"/>
                      <w:u w:val="none"/>
                      <w:lang w:val="en-US" w:eastAsia="zh-CN"/>
                    </w:rPr>
                    <w:t>21</w:t>
                  </w:r>
                </w:p>
              </w:tc>
              <w:tc>
                <w:tcPr>
                  <w:tcW w:w="1926" w:type="dxa"/>
                  <w:tcBorders>
                    <w:tl2br w:val="nil"/>
                    <w:tr2bl w:val="nil"/>
                  </w:tcBorders>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eastAsia"/>
                      <w:color w:val="auto"/>
                      <w:szCs w:val="21"/>
                      <w:u w:val="none"/>
                      <w:lang w:val="en-US" w:eastAsia="zh-CN"/>
                    </w:rPr>
                    <w:t>51.0</w:t>
                  </w:r>
                </w:p>
              </w:tc>
              <w:tc>
                <w:tcPr>
                  <w:tcW w:w="1927" w:type="dxa"/>
                  <w:tcBorders>
                    <w:tl2br w:val="nil"/>
                    <w:tr2bl w:val="nil"/>
                  </w:tcBorders>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eastAsia"/>
                      <w:color w:val="auto"/>
                      <w:szCs w:val="21"/>
                      <w:u w:val="none"/>
                      <w:lang w:val="en-US" w:eastAsia="zh-CN"/>
                    </w:rPr>
                    <w:t>40.2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70" w:hRule="atLeast"/>
                <w:jc w:val="center"/>
              </w:trPr>
              <w:tc>
                <w:tcPr>
                  <w:tcW w:w="1216" w:type="dxa"/>
                  <w:tcBorders>
                    <w:tl2br w:val="nil"/>
                    <w:tr2bl w:val="nil"/>
                  </w:tcBorders>
                  <w:vAlign w:val="center"/>
                </w:tcPr>
                <w:p>
                  <w:pPr>
                    <w:ind w:firstLine="420"/>
                    <w:jc w:val="center"/>
                    <w:rPr>
                      <w:color w:val="auto"/>
                      <w:szCs w:val="21"/>
                      <w:u w:val="none"/>
                    </w:rPr>
                  </w:pPr>
                </w:p>
              </w:tc>
              <w:tc>
                <w:tcPr>
                  <w:tcW w:w="1992" w:type="dxa"/>
                  <w:tcBorders>
                    <w:tl2br w:val="nil"/>
                    <w:tr2bl w:val="nil"/>
                  </w:tcBorders>
                  <w:vAlign w:val="center"/>
                </w:tcPr>
                <w:p>
                  <w:pPr>
                    <w:ind w:firstLine="420"/>
                    <w:jc w:val="center"/>
                    <w:rPr>
                      <w:color w:val="auto"/>
                      <w:szCs w:val="21"/>
                      <w:u w:val="none"/>
                    </w:rPr>
                  </w:pPr>
                </w:p>
              </w:tc>
              <w:tc>
                <w:tcPr>
                  <w:tcW w:w="1720" w:type="dxa"/>
                  <w:tcBorders>
                    <w:tl2br w:val="nil"/>
                    <w:tr2bl w:val="nil"/>
                  </w:tcBorders>
                  <w:vAlign w:val="center"/>
                </w:tcPr>
                <w:p>
                  <w:pPr>
                    <w:jc w:val="center"/>
                    <w:rPr>
                      <w:rFonts w:hint="eastAsia" w:ascii="Times New Roman" w:hAnsi="Times New Roman" w:eastAsia="宋体" w:cs="Times New Roman"/>
                      <w:color w:val="auto"/>
                      <w:kern w:val="2"/>
                      <w:sz w:val="21"/>
                      <w:szCs w:val="21"/>
                      <w:u w:val="none"/>
                      <w:lang w:val="en-US" w:eastAsia="zh-CN" w:bidi="ar-SA"/>
                    </w:rPr>
                  </w:pPr>
                  <w:r>
                    <w:rPr>
                      <w:rFonts w:hint="eastAsia"/>
                      <w:color w:val="auto"/>
                      <w:szCs w:val="21"/>
                      <w:u w:val="none"/>
                    </w:rPr>
                    <w:t>2019.</w:t>
                  </w:r>
                  <w:r>
                    <w:rPr>
                      <w:rFonts w:hint="eastAsia"/>
                      <w:color w:val="auto"/>
                      <w:szCs w:val="21"/>
                      <w:u w:val="none"/>
                      <w:lang w:val="en-US" w:eastAsia="zh-CN"/>
                    </w:rPr>
                    <w:t>12</w:t>
                  </w:r>
                  <w:r>
                    <w:rPr>
                      <w:rFonts w:hint="eastAsia"/>
                      <w:color w:val="auto"/>
                      <w:szCs w:val="21"/>
                      <w:u w:val="none"/>
                    </w:rPr>
                    <w:t>.</w:t>
                  </w:r>
                  <w:r>
                    <w:rPr>
                      <w:rFonts w:hint="eastAsia"/>
                      <w:color w:val="auto"/>
                      <w:szCs w:val="21"/>
                      <w:u w:val="none"/>
                      <w:lang w:val="en-US" w:eastAsia="zh-CN"/>
                    </w:rPr>
                    <w:t>22</w:t>
                  </w:r>
                </w:p>
              </w:tc>
              <w:tc>
                <w:tcPr>
                  <w:tcW w:w="1926" w:type="dxa"/>
                  <w:tcBorders>
                    <w:tl2br w:val="nil"/>
                    <w:tr2bl w:val="nil"/>
                  </w:tcBorders>
                  <w:vAlign w:val="center"/>
                </w:tcPr>
                <w:p>
                  <w:pPr>
                    <w:jc w:val="center"/>
                    <w:rPr>
                      <w:rFonts w:hint="default" w:ascii="Times New Roman" w:hAnsi="Times New Roman" w:eastAsia="宋体" w:cs="Times New Roman"/>
                      <w:kern w:val="2"/>
                      <w:sz w:val="21"/>
                      <w:lang w:val="en-US" w:eastAsia="zh-CN" w:bidi="ar-SA"/>
                    </w:rPr>
                  </w:pPr>
                  <w:r>
                    <w:rPr>
                      <w:rFonts w:hint="eastAsia"/>
                      <w:lang w:val="en-US" w:eastAsia="zh-CN"/>
                    </w:rPr>
                    <w:t>51.8</w:t>
                  </w:r>
                </w:p>
              </w:tc>
              <w:tc>
                <w:tcPr>
                  <w:tcW w:w="1927" w:type="dxa"/>
                  <w:tcBorders>
                    <w:tl2br w:val="nil"/>
                    <w:tr2bl w:val="nil"/>
                  </w:tcBorders>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eastAsia"/>
                      <w:color w:val="auto"/>
                      <w:szCs w:val="21"/>
                      <w:u w:val="none"/>
                      <w:lang w:val="en-US" w:eastAsia="zh-CN"/>
                    </w:rPr>
                    <w:t>39.6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52" w:hRule="atLeast"/>
                <w:jc w:val="center"/>
              </w:trPr>
              <w:tc>
                <w:tcPr>
                  <w:tcW w:w="4928" w:type="dxa"/>
                  <w:gridSpan w:val="3"/>
                  <w:tcBorders>
                    <w:tl2br w:val="nil"/>
                    <w:tr2bl w:val="nil"/>
                  </w:tcBorders>
                  <w:vAlign w:val="center"/>
                </w:tcPr>
                <w:p>
                  <w:pPr>
                    <w:jc w:val="center"/>
                    <w:rPr>
                      <w:color w:val="auto"/>
                      <w:szCs w:val="21"/>
                      <w:u w:val="none"/>
                    </w:rPr>
                  </w:pPr>
                  <w:r>
                    <w:rPr>
                      <w:color w:val="auto"/>
                      <w:szCs w:val="21"/>
                      <w:u w:val="none"/>
                    </w:rPr>
                    <w:t>《声环境质量标准》（GB3096—2008）</w:t>
                  </w:r>
                  <w:r>
                    <w:rPr>
                      <w:rFonts w:hint="eastAsia"/>
                      <w:color w:val="auto"/>
                      <w:szCs w:val="21"/>
                      <w:u w:val="none"/>
                      <w:lang w:val="en-US" w:eastAsia="zh-CN"/>
                    </w:rPr>
                    <w:t>2</w:t>
                  </w:r>
                  <w:r>
                    <w:rPr>
                      <w:rFonts w:hint="eastAsia"/>
                      <w:color w:val="auto"/>
                      <w:szCs w:val="21"/>
                      <w:u w:val="none"/>
                    </w:rPr>
                    <w:t>类标准</w:t>
                  </w:r>
                  <w:r>
                    <w:rPr>
                      <w:color w:val="auto"/>
                      <w:szCs w:val="21"/>
                      <w:u w:val="none"/>
                    </w:rPr>
                    <w:t>值</w:t>
                  </w:r>
                </w:p>
              </w:tc>
              <w:tc>
                <w:tcPr>
                  <w:tcW w:w="1926"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lang w:val="en-US" w:eastAsia="zh-CN"/>
                    </w:rPr>
                    <w:t>60</w:t>
                  </w:r>
                </w:p>
              </w:tc>
              <w:tc>
                <w:tcPr>
                  <w:tcW w:w="1927"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lang w:val="en-US" w:eastAsia="zh-CN"/>
                    </w:rPr>
                    <w:t>50</w:t>
                  </w:r>
                </w:p>
              </w:tc>
            </w:tr>
          </w:tbl>
          <w:p>
            <w:pPr>
              <w:pStyle w:val="25"/>
              <w:keepNext w:val="0"/>
              <w:keepLines w:val="0"/>
              <w:pageBreakBefore w:val="0"/>
              <w:widowControl w:val="0"/>
              <w:kinsoku/>
              <w:wordWrap/>
              <w:overflowPunct/>
              <w:topLinePunct w:val="0"/>
              <w:autoSpaceDE/>
              <w:autoSpaceDN/>
              <w:bidi w:val="0"/>
              <w:adjustRightInd w:val="0"/>
              <w:snapToGrid w:val="0"/>
              <w:spacing w:beforeLines="0"/>
              <w:ind w:firstLine="480" w:firstLineChars="200"/>
              <w:textAlignment w:val="auto"/>
              <w:rPr>
                <w:b/>
                <w:color w:val="auto"/>
                <w:u w:val="none"/>
              </w:rPr>
            </w:pPr>
            <w:r>
              <w:rPr>
                <w:color w:val="auto"/>
                <w:szCs w:val="24"/>
                <w:u w:val="none"/>
              </w:rPr>
              <w:t>由上表的监测结果可见，项目</w:t>
            </w:r>
            <w:r>
              <w:rPr>
                <w:rFonts w:hint="eastAsia"/>
                <w:color w:val="auto"/>
                <w:szCs w:val="24"/>
                <w:u w:val="none"/>
              </w:rPr>
              <w:t>所在区域</w:t>
            </w:r>
            <w:r>
              <w:rPr>
                <w:color w:val="auto"/>
                <w:szCs w:val="24"/>
                <w:u w:val="none"/>
              </w:rPr>
              <w:t>声环境质量</w:t>
            </w:r>
            <w:r>
              <w:rPr>
                <w:rFonts w:hint="eastAsia"/>
                <w:color w:val="auto"/>
                <w:szCs w:val="24"/>
                <w:u w:val="none"/>
              </w:rPr>
              <w:t>均</w:t>
            </w:r>
            <w:r>
              <w:rPr>
                <w:color w:val="auto"/>
                <w:szCs w:val="24"/>
                <w:u w:val="none"/>
              </w:rPr>
              <w:t>能满足</w:t>
            </w:r>
            <w:r>
              <w:rPr>
                <w:rFonts w:hint="eastAsia"/>
                <w:color w:val="auto"/>
                <w:szCs w:val="24"/>
                <w:u w:val="none"/>
              </w:rPr>
              <w:t>《声环境质量标准》（GB3096-2008）</w:t>
            </w:r>
            <w:r>
              <w:rPr>
                <w:rFonts w:hint="eastAsia"/>
                <w:color w:val="auto"/>
                <w:szCs w:val="24"/>
                <w:u w:val="none"/>
                <w:lang w:val="en-US" w:eastAsia="zh-CN"/>
              </w:rPr>
              <w:t>2</w:t>
            </w:r>
            <w:r>
              <w:rPr>
                <w:rFonts w:hint="eastAsia"/>
                <w:color w:val="auto"/>
                <w:szCs w:val="24"/>
                <w:u w:val="none"/>
              </w:rPr>
              <w:t>类标准要求</w:t>
            </w:r>
            <w:r>
              <w:rPr>
                <w:color w:val="auto"/>
                <w:szCs w:val="24"/>
                <w:u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color w:val="auto"/>
                <w:sz w:val="30"/>
                <w:szCs w:val="30"/>
                <w:u w:val="none"/>
              </w:rPr>
            </w:pPr>
            <w:r>
              <w:rPr>
                <w:rFonts w:hint="eastAsia"/>
                <w:b/>
                <w:color w:val="auto"/>
                <w:sz w:val="30"/>
                <w:szCs w:val="30"/>
                <w:u w:val="none"/>
              </w:rPr>
              <w:t>3.6 生态环境质量现状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bCs/>
                <w:color w:val="auto"/>
                <w:sz w:val="24"/>
                <w:szCs w:val="24"/>
                <w:u w:val="none"/>
              </w:rPr>
            </w:pPr>
            <w:r>
              <w:rPr>
                <w:rFonts w:hint="eastAsia" w:ascii="宋体" w:hAnsi="宋体"/>
                <w:bCs/>
                <w:color w:val="auto"/>
                <w:sz w:val="24"/>
                <w:szCs w:val="24"/>
                <w:u w:val="none"/>
              </w:rPr>
              <w:t>项目所在地</w:t>
            </w:r>
            <w:r>
              <w:rPr>
                <w:rFonts w:hint="eastAsia"/>
                <w:color w:val="auto"/>
                <w:sz w:val="24"/>
                <w:szCs w:val="24"/>
                <w:u w:val="none"/>
              </w:rPr>
              <w:t>属于中亚热带常绿阔叶林带，</w:t>
            </w:r>
            <w:r>
              <w:rPr>
                <w:rFonts w:hint="eastAsia" w:ascii="宋体" w:hAnsi="宋体"/>
                <w:bCs/>
                <w:color w:val="auto"/>
                <w:sz w:val="24"/>
                <w:szCs w:val="24"/>
                <w:u w:val="none"/>
              </w:rPr>
              <w:t>由于多年人工垦殖，已无原生植被,现仅存极少量次生植被,以灌草丛和农业作物为主，有松、杉、竹等植物，区域主要种植的粮食作物为水稻和蔬菜。</w:t>
            </w:r>
            <w:r>
              <w:rPr>
                <w:color w:val="auto"/>
                <w:sz w:val="24"/>
                <w:u w:val="none"/>
              </w:rPr>
              <w:t>项目区域内自然资源赋存较少。</w:t>
            </w:r>
          </w:p>
          <w:p>
            <w:pPr>
              <w:pStyle w:val="25"/>
              <w:keepNext w:val="0"/>
              <w:keepLines w:val="0"/>
              <w:pageBreakBefore w:val="0"/>
              <w:widowControl w:val="0"/>
              <w:kinsoku/>
              <w:wordWrap/>
              <w:overflowPunct/>
              <w:topLinePunct w:val="0"/>
              <w:autoSpaceDE/>
              <w:autoSpaceDN/>
              <w:bidi w:val="0"/>
              <w:adjustRightInd w:val="0"/>
              <w:snapToGrid w:val="0"/>
              <w:spacing w:beforeLines="0"/>
              <w:ind w:firstLine="480" w:firstLineChars="200"/>
              <w:textAlignment w:val="auto"/>
              <w:rPr>
                <w:color w:val="auto"/>
                <w:u w:val="none"/>
              </w:rPr>
            </w:pPr>
            <w:r>
              <w:rPr>
                <w:rFonts w:hint="eastAsia" w:ascii="宋体" w:hAnsi="宋体"/>
                <w:bCs/>
                <w:color w:val="auto"/>
                <w:szCs w:val="24"/>
                <w:u w:val="none"/>
              </w:rPr>
              <w:t>项目所在区域人类活动频繁，主要动物是田鼠、青蛙、蛇、山雀等常见物种。家畜以牛、羊、猪为主，家禽以鸡、鸭、鹅为主。水塘中水生鱼类以青、草、鲤、鲫四大家鱼为主，</w:t>
            </w:r>
            <w:r>
              <w:rPr>
                <w:color w:val="auto"/>
                <w:u w:val="none"/>
              </w:rPr>
              <w:t>项目区域</w:t>
            </w:r>
            <w:r>
              <w:rPr>
                <w:rFonts w:hint="eastAsia"/>
                <w:color w:val="auto"/>
                <w:u w:val="none"/>
              </w:rPr>
              <w:t>内</w:t>
            </w:r>
            <w:r>
              <w:rPr>
                <w:color w:val="auto"/>
                <w:u w:val="none"/>
              </w:rPr>
              <w:t>无珍稀、濒危动植物物种种类。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color w:val="auto"/>
                <w:sz w:val="30"/>
                <w:szCs w:val="30"/>
                <w:u w:val="none"/>
              </w:rPr>
            </w:pPr>
            <w:r>
              <w:rPr>
                <w:rFonts w:hint="eastAsia"/>
                <w:b/>
                <w:color w:val="auto"/>
                <w:sz w:val="30"/>
                <w:szCs w:val="30"/>
                <w:u w:val="none"/>
              </w:rPr>
              <w:t>3.7主要环境保护目标</w:t>
            </w:r>
            <w:r>
              <w:rPr>
                <w:rFonts w:hint="eastAsia"/>
                <w:b/>
                <w:color w:val="auto"/>
                <w:sz w:val="30"/>
                <w:szCs w:val="30"/>
                <w:u w:val="none"/>
                <w:lang w:eastAsia="zh-CN"/>
              </w:rPr>
              <w:t>（</w:t>
            </w:r>
            <w:r>
              <w:rPr>
                <w:rFonts w:hint="eastAsia"/>
                <w:b/>
                <w:color w:val="auto"/>
                <w:sz w:val="30"/>
                <w:szCs w:val="30"/>
                <w:u w:val="none"/>
              </w:rPr>
              <w:t>列出名单及保护级别</w:t>
            </w:r>
            <w:r>
              <w:rPr>
                <w:rFonts w:hint="eastAsia"/>
                <w:b/>
                <w:color w:val="auto"/>
                <w:sz w:val="30"/>
                <w:szCs w:val="30"/>
                <w:u w:val="none"/>
                <w:lang w:eastAsia="zh-CN"/>
              </w:rPr>
              <w:t>）</w:t>
            </w:r>
            <w:r>
              <w:rPr>
                <w:rFonts w:hint="eastAsia"/>
                <w:b/>
                <w:color w:val="auto"/>
                <w:sz w:val="30"/>
                <w:szCs w:val="30"/>
                <w:u w:val="none"/>
              </w:rPr>
              <w:t>：</w:t>
            </w:r>
          </w:p>
          <w:p>
            <w:pPr>
              <w:pStyle w:val="25"/>
              <w:keepNext w:val="0"/>
              <w:keepLines w:val="0"/>
              <w:pageBreakBefore w:val="0"/>
              <w:widowControl w:val="0"/>
              <w:kinsoku/>
              <w:wordWrap/>
              <w:overflowPunct/>
              <w:topLinePunct w:val="0"/>
              <w:autoSpaceDE/>
              <w:autoSpaceDN/>
              <w:bidi w:val="0"/>
              <w:adjustRightInd w:val="0"/>
              <w:snapToGrid w:val="0"/>
              <w:spacing w:beforeLines="0"/>
              <w:ind w:firstLine="480"/>
              <w:textAlignment w:val="auto"/>
              <w:rPr>
                <w:bCs/>
                <w:color w:val="auto"/>
                <w:szCs w:val="24"/>
                <w:u w:val="none"/>
              </w:rPr>
            </w:pPr>
            <w:r>
              <w:rPr>
                <w:bCs/>
                <w:color w:val="auto"/>
                <w:szCs w:val="24"/>
                <w:u w:val="none"/>
              </w:rPr>
              <w:t>经现场勘查，本项目环境保护目标情况如</w:t>
            </w:r>
            <w:r>
              <w:rPr>
                <w:rFonts w:hint="eastAsia"/>
                <w:bCs/>
                <w:color w:val="auto"/>
                <w:szCs w:val="24"/>
                <w:u w:val="none"/>
                <w:lang w:eastAsia="zh-CN"/>
              </w:rPr>
              <w:t>表</w:t>
            </w:r>
            <w:r>
              <w:rPr>
                <w:rFonts w:hint="eastAsia"/>
                <w:bCs/>
                <w:color w:val="auto"/>
                <w:szCs w:val="24"/>
                <w:u w:val="none"/>
                <w:lang w:val="en-US" w:eastAsia="zh-CN"/>
              </w:rPr>
              <w:t>3-11、3-12所示</w:t>
            </w:r>
            <w:r>
              <w:rPr>
                <w:bCs/>
                <w:color w:val="auto"/>
                <w:szCs w:val="24"/>
                <w:u w:val="none"/>
              </w:rPr>
              <w:t>（其中管网工程线路两侧向外延伸200m 范围内的居民、医疗卫生机构、学校、事业机关单位等为大气环境/声环境保护目标）</w:t>
            </w:r>
            <w:r>
              <w:rPr>
                <w:rFonts w:hint="eastAsia"/>
                <w:bCs/>
                <w:color w:val="auto"/>
                <w:szCs w:val="24"/>
                <w:u w:val="none"/>
                <w:lang w:val="en-US" w:eastAsia="zh-CN"/>
              </w:rPr>
              <w:t>：</w:t>
            </w:r>
          </w:p>
          <w:p>
            <w:pPr>
              <w:adjustRightInd w:val="0"/>
              <w:snapToGrid w:val="0"/>
              <w:jc w:val="center"/>
              <w:rPr>
                <w:b/>
                <w:color w:val="auto"/>
                <w:szCs w:val="21"/>
                <w:u w:val="none"/>
              </w:rPr>
            </w:pPr>
          </w:p>
          <w:p>
            <w:pPr>
              <w:adjustRightInd w:val="0"/>
              <w:snapToGrid w:val="0"/>
              <w:jc w:val="center"/>
              <w:rPr>
                <w:b/>
                <w:color w:val="auto"/>
                <w:szCs w:val="21"/>
                <w:u w:val="none"/>
              </w:rPr>
            </w:pPr>
          </w:p>
          <w:p>
            <w:pPr>
              <w:adjustRightInd w:val="0"/>
              <w:snapToGrid w:val="0"/>
              <w:jc w:val="center"/>
              <w:rPr>
                <w:b/>
                <w:color w:val="auto"/>
                <w:szCs w:val="21"/>
                <w:u w:val="none"/>
              </w:rPr>
            </w:pPr>
          </w:p>
          <w:p>
            <w:pPr>
              <w:adjustRightInd w:val="0"/>
              <w:snapToGrid w:val="0"/>
              <w:jc w:val="center"/>
              <w:rPr>
                <w:b/>
                <w:color w:val="auto"/>
                <w:szCs w:val="21"/>
                <w:u w:val="none"/>
              </w:rPr>
            </w:pPr>
          </w:p>
          <w:p>
            <w:pPr>
              <w:adjustRightInd w:val="0"/>
              <w:snapToGrid w:val="0"/>
              <w:jc w:val="center"/>
              <w:rPr>
                <w:b/>
                <w:color w:val="auto"/>
                <w:szCs w:val="21"/>
                <w:u w:val="none"/>
              </w:rPr>
            </w:pPr>
          </w:p>
          <w:p>
            <w:pPr>
              <w:adjustRightInd w:val="0"/>
              <w:snapToGrid w:val="0"/>
              <w:jc w:val="center"/>
              <w:rPr>
                <w:b/>
                <w:color w:val="auto"/>
                <w:szCs w:val="21"/>
                <w:u w:val="none"/>
              </w:rPr>
            </w:pPr>
          </w:p>
          <w:p>
            <w:pPr>
              <w:adjustRightInd w:val="0"/>
              <w:snapToGrid w:val="0"/>
              <w:jc w:val="center"/>
              <w:rPr>
                <w:b/>
                <w:color w:val="auto"/>
                <w:szCs w:val="21"/>
                <w:u w:val="none"/>
              </w:rPr>
            </w:pPr>
          </w:p>
          <w:p>
            <w:pPr>
              <w:adjustRightInd w:val="0"/>
              <w:snapToGrid w:val="0"/>
              <w:jc w:val="center"/>
              <w:rPr>
                <w:b/>
                <w:color w:val="auto"/>
                <w:szCs w:val="21"/>
                <w:u w:val="none"/>
              </w:rPr>
            </w:pPr>
          </w:p>
          <w:p>
            <w:pPr>
              <w:adjustRightInd w:val="0"/>
              <w:snapToGrid w:val="0"/>
              <w:jc w:val="center"/>
              <w:rPr>
                <w:b/>
                <w:color w:val="auto"/>
                <w:szCs w:val="21"/>
                <w:u w:val="none"/>
              </w:rPr>
            </w:pPr>
          </w:p>
          <w:p>
            <w:pPr>
              <w:adjustRightInd w:val="0"/>
              <w:snapToGrid w:val="0"/>
              <w:jc w:val="center"/>
              <w:rPr>
                <w:b/>
                <w:color w:val="auto"/>
                <w:szCs w:val="21"/>
                <w:u w:val="none"/>
              </w:rPr>
            </w:pPr>
          </w:p>
          <w:p>
            <w:pPr>
              <w:adjustRightInd w:val="0"/>
              <w:snapToGrid w:val="0"/>
              <w:jc w:val="center"/>
              <w:rPr>
                <w:b/>
                <w:color w:val="auto"/>
                <w:szCs w:val="21"/>
                <w:u w:val="none"/>
              </w:rPr>
            </w:pPr>
          </w:p>
          <w:p>
            <w:pPr>
              <w:adjustRightInd w:val="0"/>
              <w:snapToGrid w:val="0"/>
              <w:jc w:val="center"/>
              <w:rPr>
                <w:b/>
                <w:color w:val="auto"/>
                <w:szCs w:val="21"/>
                <w:u w:val="none"/>
              </w:rPr>
            </w:pPr>
          </w:p>
          <w:p>
            <w:pPr>
              <w:adjustRightInd w:val="0"/>
              <w:snapToGrid w:val="0"/>
              <w:jc w:val="center"/>
              <w:rPr>
                <w:b/>
                <w:color w:val="auto"/>
                <w:szCs w:val="21"/>
                <w:u w:val="none"/>
              </w:rPr>
            </w:pPr>
          </w:p>
          <w:p>
            <w:pPr>
              <w:adjustRightInd w:val="0"/>
              <w:snapToGrid w:val="0"/>
              <w:jc w:val="center"/>
              <w:rPr>
                <w:b/>
                <w:color w:val="auto"/>
                <w:szCs w:val="21"/>
                <w:u w:val="none"/>
              </w:rPr>
            </w:pPr>
          </w:p>
          <w:p>
            <w:pPr>
              <w:adjustRightInd w:val="0"/>
              <w:snapToGrid w:val="0"/>
              <w:jc w:val="center"/>
              <w:rPr>
                <w:b/>
                <w:color w:val="auto"/>
                <w:szCs w:val="21"/>
                <w:u w:val="none"/>
              </w:rPr>
            </w:pPr>
            <w:r>
              <w:rPr>
                <w:b/>
                <w:color w:val="auto"/>
                <w:szCs w:val="21"/>
                <w:u w:val="none"/>
              </w:rPr>
              <w:t>表3</w:t>
            </w:r>
            <w:r>
              <w:rPr>
                <w:rFonts w:hint="eastAsia"/>
                <w:b/>
                <w:color w:val="auto"/>
                <w:szCs w:val="21"/>
                <w:u w:val="none"/>
              </w:rPr>
              <w:t>-</w:t>
            </w:r>
            <w:r>
              <w:rPr>
                <w:rFonts w:hint="eastAsia"/>
                <w:b/>
                <w:color w:val="auto"/>
                <w:szCs w:val="21"/>
                <w:u w:val="none"/>
                <w:lang w:val="en-US" w:eastAsia="zh-CN"/>
              </w:rPr>
              <w:t>11</w:t>
            </w:r>
            <w:r>
              <w:rPr>
                <w:b/>
                <w:color w:val="auto"/>
                <w:szCs w:val="21"/>
                <w:u w:val="none"/>
              </w:rPr>
              <w:t xml:space="preserve">   </w:t>
            </w:r>
            <w:r>
              <w:rPr>
                <w:rFonts w:hint="eastAsia"/>
                <w:b/>
                <w:color w:val="auto"/>
                <w:szCs w:val="21"/>
                <w:u w:val="none"/>
              </w:rPr>
              <w:t>厂</w:t>
            </w:r>
            <w:r>
              <w:rPr>
                <w:rFonts w:hint="eastAsia"/>
                <w:b/>
                <w:color w:val="auto"/>
                <w:szCs w:val="21"/>
                <w:u w:val="none"/>
                <w:lang w:eastAsia="zh-CN"/>
              </w:rPr>
              <w:t>区周边</w:t>
            </w:r>
            <w:r>
              <w:rPr>
                <w:b/>
                <w:color w:val="auto"/>
                <w:szCs w:val="21"/>
                <w:u w:val="none"/>
              </w:rPr>
              <w:t>主要</w:t>
            </w:r>
            <w:r>
              <w:rPr>
                <w:rFonts w:hint="eastAsia"/>
                <w:b/>
                <w:color w:val="auto"/>
                <w:szCs w:val="21"/>
                <w:u w:val="none"/>
              </w:rPr>
              <w:t>大气</w:t>
            </w:r>
            <w:r>
              <w:rPr>
                <w:b/>
                <w:color w:val="auto"/>
                <w:szCs w:val="21"/>
                <w:u w:val="none"/>
              </w:rPr>
              <w:t>环境保护目标</w:t>
            </w:r>
          </w:p>
          <w:tbl>
            <w:tblPr>
              <w:tblStyle w:val="27"/>
              <w:tblW w:w="915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360"/>
              <w:gridCol w:w="851"/>
              <w:gridCol w:w="1168"/>
              <w:gridCol w:w="989"/>
              <w:gridCol w:w="1574"/>
              <w:gridCol w:w="1036"/>
              <w:gridCol w:w="956"/>
              <w:gridCol w:w="12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1360" w:type="dxa"/>
                  <w:vMerge w:val="restart"/>
                  <w:tcBorders>
                    <w:tl2br w:val="nil"/>
                    <w:tr2bl w:val="nil"/>
                  </w:tcBorders>
                  <w:vAlign w:val="center"/>
                </w:tcPr>
                <w:p>
                  <w:pPr>
                    <w:pStyle w:val="47"/>
                    <w:jc w:val="center"/>
                    <w:rPr>
                      <w:color w:val="auto"/>
                      <w:u w:val="none"/>
                    </w:rPr>
                  </w:pPr>
                  <w:r>
                    <w:rPr>
                      <w:rFonts w:ascii="Times New Roman" w:hAnsi="Times New Roman" w:cs="Times New Roman"/>
                      <w:color w:val="auto"/>
                      <w:u w:val="none"/>
                    </w:rPr>
                    <w:t>名称</w:t>
                  </w:r>
                </w:p>
              </w:tc>
              <w:tc>
                <w:tcPr>
                  <w:tcW w:w="2019" w:type="dxa"/>
                  <w:gridSpan w:val="2"/>
                  <w:tcBorders>
                    <w:tl2br w:val="nil"/>
                    <w:tr2bl w:val="nil"/>
                  </w:tcBorders>
                  <w:vAlign w:val="center"/>
                </w:tcPr>
                <w:p>
                  <w:pPr>
                    <w:pStyle w:val="47"/>
                    <w:spacing w:before="33"/>
                    <w:jc w:val="center"/>
                    <w:rPr>
                      <w:rFonts w:ascii="Times New Roman" w:hAnsi="Times New Roman" w:cs="Times New Roman"/>
                      <w:color w:val="auto"/>
                      <w:u w:val="none"/>
                    </w:rPr>
                  </w:pPr>
                  <w:r>
                    <w:rPr>
                      <w:rFonts w:ascii="Times New Roman" w:hAnsi="Times New Roman" w:cs="Times New Roman"/>
                      <w:color w:val="auto"/>
                      <w:u w:val="none"/>
                    </w:rPr>
                    <w:t>坐标/m</w:t>
                  </w:r>
                </w:p>
                <w:p>
                  <w:pPr>
                    <w:pStyle w:val="47"/>
                    <w:spacing w:before="33"/>
                    <w:jc w:val="center"/>
                    <w:rPr>
                      <w:rFonts w:ascii="Times New Roman" w:hAnsi="Times New Roman" w:cs="Times New Roman"/>
                      <w:color w:val="auto"/>
                      <w:u w:val="none"/>
                    </w:rPr>
                  </w:pPr>
                  <w:r>
                    <w:rPr>
                      <w:rFonts w:ascii="Times New Roman" w:hAnsi="Times New Roman" w:cs="Times New Roman"/>
                      <w:color w:val="auto"/>
                      <w:u w:val="none"/>
                    </w:rPr>
                    <w:t>（以项目中心为原点）</w:t>
                  </w:r>
                </w:p>
              </w:tc>
              <w:tc>
                <w:tcPr>
                  <w:tcW w:w="989" w:type="dxa"/>
                  <w:vMerge w:val="restart"/>
                  <w:tcBorders>
                    <w:tl2br w:val="nil"/>
                    <w:tr2bl w:val="nil"/>
                  </w:tcBorders>
                  <w:vAlign w:val="center"/>
                </w:tcPr>
                <w:p>
                  <w:pPr>
                    <w:pStyle w:val="47"/>
                    <w:jc w:val="center"/>
                    <w:rPr>
                      <w:rFonts w:ascii="Times New Roman" w:hAnsi="Times New Roman" w:cs="Times New Roman"/>
                      <w:color w:val="auto"/>
                      <w:u w:val="none"/>
                    </w:rPr>
                  </w:pPr>
                  <w:r>
                    <w:rPr>
                      <w:rFonts w:ascii="Times New Roman" w:hAnsi="Times New Roman" w:cs="Times New Roman"/>
                      <w:color w:val="auto"/>
                      <w:u w:val="none"/>
                    </w:rPr>
                    <w:t>保护对象</w:t>
                  </w:r>
                </w:p>
              </w:tc>
              <w:tc>
                <w:tcPr>
                  <w:tcW w:w="1574" w:type="dxa"/>
                  <w:vMerge w:val="restart"/>
                  <w:tcBorders>
                    <w:tl2br w:val="nil"/>
                    <w:tr2bl w:val="nil"/>
                  </w:tcBorders>
                  <w:vAlign w:val="center"/>
                </w:tcPr>
                <w:p>
                  <w:pPr>
                    <w:pStyle w:val="47"/>
                    <w:jc w:val="center"/>
                    <w:rPr>
                      <w:rFonts w:ascii="Times New Roman" w:hAnsi="Times New Roman" w:cs="Times New Roman"/>
                      <w:color w:val="auto"/>
                      <w:u w:val="none"/>
                    </w:rPr>
                  </w:pPr>
                  <w:r>
                    <w:rPr>
                      <w:rFonts w:ascii="Times New Roman" w:hAnsi="Times New Roman" w:cs="Times New Roman"/>
                      <w:color w:val="auto"/>
                      <w:u w:val="none"/>
                    </w:rPr>
                    <w:t>保护内容</w:t>
                  </w:r>
                </w:p>
              </w:tc>
              <w:tc>
                <w:tcPr>
                  <w:tcW w:w="1036" w:type="dxa"/>
                  <w:vMerge w:val="restart"/>
                  <w:tcBorders>
                    <w:tl2br w:val="nil"/>
                    <w:tr2bl w:val="nil"/>
                  </w:tcBorders>
                  <w:vAlign w:val="center"/>
                </w:tcPr>
                <w:p>
                  <w:pPr>
                    <w:pStyle w:val="47"/>
                    <w:jc w:val="center"/>
                    <w:rPr>
                      <w:rFonts w:ascii="Times New Roman" w:hAnsi="Times New Roman" w:cs="Times New Roman"/>
                      <w:color w:val="auto"/>
                      <w:u w:val="none"/>
                    </w:rPr>
                  </w:pPr>
                  <w:r>
                    <w:rPr>
                      <w:rFonts w:ascii="Times New Roman" w:hAnsi="Times New Roman" w:cs="Times New Roman"/>
                      <w:color w:val="auto"/>
                      <w:u w:val="none"/>
                    </w:rPr>
                    <w:t>环境功能区</w:t>
                  </w:r>
                </w:p>
              </w:tc>
              <w:tc>
                <w:tcPr>
                  <w:tcW w:w="956" w:type="dxa"/>
                  <w:vMerge w:val="restart"/>
                  <w:tcBorders>
                    <w:tl2br w:val="nil"/>
                    <w:tr2bl w:val="nil"/>
                  </w:tcBorders>
                  <w:vAlign w:val="center"/>
                </w:tcPr>
                <w:p>
                  <w:pPr>
                    <w:pStyle w:val="47"/>
                    <w:jc w:val="center"/>
                    <w:rPr>
                      <w:rFonts w:ascii="Times New Roman" w:hAnsi="Times New Roman" w:cs="Times New Roman"/>
                      <w:color w:val="auto"/>
                      <w:u w:val="none"/>
                    </w:rPr>
                  </w:pPr>
                  <w:r>
                    <w:rPr>
                      <w:rFonts w:ascii="Times New Roman" w:hAnsi="Times New Roman" w:cs="Times New Roman"/>
                      <w:color w:val="auto"/>
                      <w:u w:val="none"/>
                    </w:rPr>
                    <w:t>相对厂</w:t>
                  </w:r>
                </w:p>
                <w:p>
                  <w:pPr>
                    <w:pStyle w:val="47"/>
                    <w:jc w:val="center"/>
                    <w:rPr>
                      <w:rFonts w:ascii="Times New Roman" w:hAnsi="Times New Roman" w:cs="Times New Roman"/>
                      <w:color w:val="auto"/>
                      <w:u w:val="none"/>
                    </w:rPr>
                  </w:pPr>
                  <w:r>
                    <w:rPr>
                      <w:rFonts w:ascii="Times New Roman" w:hAnsi="Times New Roman" w:cs="Times New Roman"/>
                      <w:color w:val="auto"/>
                      <w:u w:val="none"/>
                    </w:rPr>
                    <w:t>址方位</w:t>
                  </w:r>
                </w:p>
              </w:tc>
              <w:tc>
                <w:tcPr>
                  <w:tcW w:w="1216" w:type="dxa"/>
                  <w:vMerge w:val="restart"/>
                  <w:tcBorders>
                    <w:tl2br w:val="nil"/>
                    <w:tr2bl w:val="nil"/>
                  </w:tcBorders>
                  <w:vAlign w:val="center"/>
                </w:tcPr>
                <w:p>
                  <w:pPr>
                    <w:pStyle w:val="47"/>
                    <w:spacing w:before="69"/>
                    <w:ind w:right="69"/>
                    <w:jc w:val="center"/>
                    <w:rPr>
                      <w:rFonts w:ascii="Times New Roman" w:hAnsi="Times New Roman" w:cs="Times New Roman"/>
                      <w:color w:val="auto"/>
                      <w:u w:val="none"/>
                    </w:rPr>
                  </w:pPr>
                  <w:r>
                    <w:rPr>
                      <w:rFonts w:ascii="Times New Roman" w:hAnsi="Times New Roman" w:cs="Times New Roman"/>
                      <w:color w:val="auto"/>
                      <w:u w:val="none"/>
                    </w:rPr>
                    <w:t>相对厂界距离/m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1360" w:type="dxa"/>
                  <w:vMerge w:val="continue"/>
                  <w:tcBorders>
                    <w:tl2br w:val="nil"/>
                    <w:tr2bl w:val="nil"/>
                  </w:tcBorders>
                  <w:vAlign w:val="center"/>
                </w:tcPr>
                <w:p>
                  <w:pPr>
                    <w:jc w:val="center"/>
                    <w:rPr>
                      <w:color w:val="auto"/>
                      <w:u w:val="none"/>
                    </w:rPr>
                  </w:pPr>
                </w:p>
              </w:tc>
              <w:tc>
                <w:tcPr>
                  <w:tcW w:w="851" w:type="dxa"/>
                  <w:tcBorders>
                    <w:tl2br w:val="nil"/>
                    <w:tr2bl w:val="nil"/>
                  </w:tcBorders>
                  <w:vAlign w:val="center"/>
                </w:tcPr>
                <w:p>
                  <w:pPr>
                    <w:pStyle w:val="47"/>
                    <w:spacing w:before="31"/>
                    <w:jc w:val="center"/>
                    <w:rPr>
                      <w:rFonts w:ascii="Times New Roman" w:hAnsi="Times New Roman" w:cs="Times New Roman"/>
                      <w:color w:val="auto"/>
                      <w:u w:val="none"/>
                    </w:rPr>
                  </w:pPr>
                  <w:r>
                    <w:rPr>
                      <w:rFonts w:ascii="Times New Roman" w:hAnsi="Times New Roman" w:cs="Times New Roman"/>
                      <w:color w:val="auto"/>
                      <w:u w:val="none"/>
                    </w:rPr>
                    <w:t>X</w:t>
                  </w:r>
                </w:p>
              </w:tc>
              <w:tc>
                <w:tcPr>
                  <w:tcW w:w="1168" w:type="dxa"/>
                  <w:tcBorders>
                    <w:tl2br w:val="nil"/>
                    <w:tr2bl w:val="nil"/>
                  </w:tcBorders>
                  <w:vAlign w:val="center"/>
                </w:tcPr>
                <w:p>
                  <w:pPr>
                    <w:pStyle w:val="47"/>
                    <w:spacing w:before="31"/>
                    <w:ind w:left="30"/>
                    <w:jc w:val="center"/>
                    <w:rPr>
                      <w:rFonts w:ascii="Times New Roman" w:hAnsi="Times New Roman" w:cs="Times New Roman"/>
                      <w:color w:val="auto"/>
                      <w:u w:val="none"/>
                    </w:rPr>
                  </w:pPr>
                  <w:r>
                    <w:rPr>
                      <w:rFonts w:ascii="Times New Roman" w:hAnsi="Times New Roman" w:cs="Times New Roman"/>
                      <w:color w:val="auto"/>
                      <w:u w:val="none"/>
                    </w:rPr>
                    <w:t>Y</w:t>
                  </w:r>
                </w:p>
              </w:tc>
              <w:tc>
                <w:tcPr>
                  <w:tcW w:w="989" w:type="dxa"/>
                  <w:vMerge w:val="continue"/>
                  <w:tcBorders>
                    <w:tl2br w:val="nil"/>
                    <w:tr2bl w:val="nil"/>
                  </w:tcBorders>
                  <w:vAlign w:val="center"/>
                </w:tcPr>
                <w:p>
                  <w:pPr>
                    <w:jc w:val="center"/>
                    <w:rPr>
                      <w:color w:val="auto"/>
                      <w:u w:val="none"/>
                    </w:rPr>
                  </w:pPr>
                </w:p>
              </w:tc>
              <w:tc>
                <w:tcPr>
                  <w:tcW w:w="1574" w:type="dxa"/>
                  <w:vMerge w:val="continue"/>
                  <w:tcBorders>
                    <w:tl2br w:val="nil"/>
                    <w:tr2bl w:val="nil"/>
                  </w:tcBorders>
                  <w:vAlign w:val="center"/>
                </w:tcPr>
                <w:p>
                  <w:pPr>
                    <w:jc w:val="center"/>
                    <w:rPr>
                      <w:color w:val="auto"/>
                      <w:u w:val="none"/>
                    </w:rPr>
                  </w:pPr>
                </w:p>
              </w:tc>
              <w:tc>
                <w:tcPr>
                  <w:tcW w:w="1036" w:type="dxa"/>
                  <w:vMerge w:val="continue"/>
                  <w:tcBorders>
                    <w:tl2br w:val="nil"/>
                    <w:tr2bl w:val="nil"/>
                  </w:tcBorders>
                  <w:vAlign w:val="center"/>
                </w:tcPr>
                <w:p>
                  <w:pPr>
                    <w:jc w:val="center"/>
                    <w:rPr>
                      <w:color w:val="auto"/>
                      <w:u w:val="none"/>
                    </w:rPr>
                  </w:pPr>
                </w:p>
              </w:tc>
              <w:tc>
                <w:tcPr>
                  <w:tcW w:w="956" w:type="dxa"/>
                  <w:vMerge w:val="continue"/>
                  <w:tcBorders>
                    <w:tl2br w:val="nil"/>
                    <w:tr2bl w:val="nil"/>
                  </w:tcBorders>
                  <w:vAlign w:val="center"/>
                </w:tcPr>
                <w:p>
                  <w:pPr>
                    <w:jc w:val="center"/>
                    <w:rPr>
                      <w:color w:val="auto"/>
                      <w:u w:val="none"/>
                    </w:rPr>
                  </w:pPr>
                </w:p>
              </w:tc>
              <w:tc>
                <w:tcPr>
                  <w:tcW w:w="1216" w:type="dxa"/>
                  <w:vMerge w:val="continue"/>
                  <w:tcBorders>
                    <w:tl2br w:val="nil"/>
                    <w:tr2bl w:val="nil"/>
                  </w:tcBorders>
                  <w:vAlign w:val="center"/>
                </w:tcPr>
                <w:p>
                  <w:pPr>
                    <w:jc w:val="center"/>
                    <w:rPr>
                      <w:color w:val="auto"/>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360" w:type="dxa"/>
                  <w:tcBorders>
                    <w:tl2br w:val="nil"/>
                    <w:tr2bl w:val="nil"/>
                  </w:tcBorders>
                  <w:vAlign w:val="center"/>
                </w:tcPr>
                <w:p>
                  <w:pPr>
                    <w:jc w:val="center"/>
                    <w:rPr>
                      <w:rFonts w:hint="eastAsia" w:eastAsia="宋体"/>
                      <w:color w:val="auto"/>
                      <w:u w:val="none"/>
                      <w:lang w:eastAsia="zh-CN"/>
                    </w:rPr>
                  </w:pPr>
                  <w:r>
                    <w:rPr>
                      <w:rFonts w:hint="eastAsia"/>
                      <w:color w:val="auto"/>
                      <w:szCs w:val="21"/>
                      <w:u w:val="none"/>
                      <w:lang w:eastAsia="zh-CN"/>
                    </w:rPr>
                    <w:t>邵水村居民点</w:t>
                  </w:r>
                </w:p>
              </w:tc>
              <w:tc>
                <w:tcPr>
                  <w:tcW w:w="851" w:type="dxa"/>
                  <w:tcBorders>
                    <w:tl2br w:val="nil"/>
                    <w:tr2bl w:val="nil"/>
                  </w:tcBorders>
                  <w:vAlign w:val="center"/>
                </w:tcPr>
                <w:p>
                  <w:pPr>
                    <w:pStyle w:val="47"/>
                    <w:jc w:val="center"/>
                    <w:rPr>
                      <w:rFonts w:hint="default" w:ascii="Times New Roman" w:eastAsia="宋体"/>
                      <w:color w:val="auto"/>
                      <w:szCs w:val="21"/>
                      <w:u w:val="none"/>
                      <w:lang w:val="en-US" w:eastAsia="zh-CN"/>
                    </w:rPr>
                  </w:pPr>
                  <w:r>
                    <w:rPr>
                      <w:rFonts w:hint="eastAsia" w:ascii="Times New Roman"/>
                      <w:color w:val="auto"/>
                      <w:szCs w:val="21"/>
                      <w:u w:val="none"/>
                      <w:lang w:val="en-US"/>
                    </w:rPr>
                    <w:t>-</w:t>
                  </w:r>
                  <w:r>
                    <w:rPr>
                      <w:rFonts w:hint="eastAsia" w:ascii="Times New Roman"/>
                      <w:color w:val="auto"/>
                      <w:szCs w:val="21"/>
                      <w:u w:val="none"/>
                      <w:lang w:val="en-US" w:eastAsia="zh-CN"/>
                    </w:rPr>
                    <w:t>452</w:t>
                  </w:r>
                </w:p>
              </w:tc>
              <w:tc>
                <w:tcPr>
                  <w:tcW w:w="1168" w:type="dxa"/>
                  <w:tcBorders>
                    <w:tl2br w:val="nil"/>
                    <w:tr2bl w:val="nil"/>
                  </w:tcBorders>
                  <w:vAlign w:val="center"/>
                </w:tcPr>
                <w:p>
                  <w:pPr>
                    <w:pStyle w:val="47"/>
                    <w:jc w:val="center"/>
                    <w:rPr>
                      <w:rFonts w:hint="eastAsia" w:ascii="Times New Roman" w:eastAsia="宋体"/>
                      <w:color w:val="auto"/>
                      <w:szCs w:val="21"/>
                      <w:u w:val="none"/>
                      <w:lang w:val="en-US" w:eastAsia="zh-CN"/>
                    </w:rPr>
                  </w:pPr>
                  <w:r>
                    <w:rPr>
                      <w:rFonts w:hint="eastAsia" w:ascii="Times New Roman"/>
                      <w:color w:val="auto"/>
                      <w:szCs w:val="21"/>
                      <w:u w:val="none"/>
                      <w:lang w:val="en-US" w:eastAsia="zh-CN"/>
                    </w:rPr>
                    <w:t>0</w:t>
                  </w:r>
                </w:p>
              </w:tc>
              <w:tc>
                <w:tcPr>
                  <w:tcW w:w="989" w:type="dxa"/>
                  <w:tcBorders>
                    <w:tl2br w:val="nil"/>
                    <w:tr2bl w:val="nil"/>
                  </w:tcBorders>
                  <w:vAlign w:val="center"/>
                </w:tcPr>
                <w:p>
                  <w:pPr>
                    <w:pStyle w:val="21"/>
                    <w:ind w:left="0" w:leftChars="0"/>
                    <w:jc w:val="center"/>
                    <w:rPr>
                      <w:color w:val="auto"/>
                      <w:u w:val="none"/>
                    </w:rPr>
                  </w:pPr>
                  <w:r>
                    <w:rPr>
                      <w:rFonts w:hint="eastAsia"/>
                      <w:color w:val="auto"/>
                      <w:u w:val="none"/>
                    </w:rPr>
                    <w:t>居民</w:t>
                  </w:r>
                </w:p>
              </w:tc>
              <w:tc>
                <w:tcPr>
                  <w:tcW w:w="1574" w:type="dxa"/>
                  <w:tcBorders>
                    <w:tl2br w:val="nil"/>
                    <w:tr2bl w:val="nil"/>
                  </w:tcBorders>
                  <w:vAlign w:val="center"/>
                </w:tcPr>
                <w:p>
                  <w:pPr>
                    <w:pStyle w:val="21"/>
                    <w:ind w:left="0" w:leftChars="0"/>
                    <w:jc w:val="center"/>
                    <w:rPr>
                      <w:color w:val="auto"/>
                      <w:u w:val="none"/>
                    </w:rPr>
                  </w:pPr>
                  <w:r>
                    <w:rPr>
                      <w:color w:val="auto"/>
                      <w:u w:val="none"/>
                    </w:rPr>
                    <w:t>人群（</w:t>
                  </w:r>
                  <w:r>
                    <w:rPr>
                      <w:rFonts w:hint="eastAsia"/>
                      <w:color w:val="auto"/>
                      <w:u w:val="none"/>
                      <w:lang w:val="en-US" w:eastAsia="zh-CN"/>
                    </w:rPr>
                    <w:t>530</w:t>
                  </w:r>
                  <w:r>
                    <w:rPr>
                      <w:color w:val="auto"/>
                      <w:u w:val="none"/>
                    </w:rPr>
                    <w:t>人）</w:t>
                  </w:r>
                </w:p>
              </w:tc>
              <w:tc>
                <w:tcPr>
                  <w:tcW w:w="1036" w:type="dxa"/>
                  <w:tcBorders>
                    <w:tl2br w:val="nil"/>
                    <w:tr2bl w:val="nil"/>
                  </w:tcBorders>
                  <w:vAlign w:val="center"/>
                </w:tcPr>
                <w:p>
                  <w:pPr>
                    <w:jc w:val="center"/>
                    <w:rPr>
                      <w:color w:val="auto"/>
                      <w:u w:val="none"/>
                    </w:rPr>
                  </w:pPr>
                  <w:r>
                    <w:rPr>
                      <w:color w:val="auto"/>
                      <w:u w:val="none"/>
                    </w:rPr>
                    <w:t>二类区</w:t>
                  </w:r>
                </w:p>
              </w:tc>
              <w:tc>
                <w:tcPr>
                  <w:tcW w:w="956" w:type="dxa"/>
                  <w:tcBorders>
                    <w:tl2br w:val="nil"/>
                    <w:tr2bl w:val="nil"/>
                  </w:tcBorders>
                  <w:vAlign w:val="center"/>
                </w:tcPr>
                <w:p>
                  <w:pPr>
                    <w:pStyle w:val="47"/>
                    <w:jc w:val="center"/>
                    <w:rPr>
                      <w:rFonts w:hint="eastAsia" w:ascii="Times New Roman" w:hAnsi="Times New Roman" w:eastAsia="宋体" w:cs="Times New Roman"/>
                      <w:color w:val="auto"/>
                      <w:kern w:val="0"/>
                      <w:szCs w:val="21"/>
                      <w:u w:val="none"/>
                      <w:lang w:val="en-US" w:eastAsia="zh-CN"/>
                    </w:rPr>
                  </w:pPr>
                  <w:r>
                    <w:rPr>
                      <w:rFonts w:hint="eastAsia" w:ascii="Times New Roman" w:hAnsi="Times New Roman" w:cs="Times New Roman"/>
                      <w:color w:val="auto"/>
                      <w:kern w:val="0"/>
                      <w:szCs w:val="21"/>
                      <w:u w:val="none"/>
                      <w:lang w:val="en-US" w:eastAsia="zh-CN"/>
                    </w:rPr>
                    <w:t>西</w:t>
                  </w:r>
                </w:p>
              </w:tc>
              <w:tc>
                <w:tcPr>
                  <w:tcW w:w="1216" w:type="dxa"/>
                  <w:tcBorders>
                    <w:tl2br w:val="nil"/>
                    <w:tr2bl w:val="nil"/>
                  </w:tcBorders>
                  <w:vAlign w:val="center"/>
                </w:tcPr>
                <w:p>
                  <w:pPr>
                    <w:widowControl/>
                    <w:jc w:val="center"/>
                    <w:textAlignment w:val="center"/>
                    <w:rPr>
                      <w:rFonts w:hint="default" w:eastAsia="宋体"/>
                      <w:color w:val="auto"/>
                      <w:szCs w:val="21"/>
                      <w:u w:val="none"/>
                      <w:lang w:val="en-US" w:eastAsia="zh-CN"/>
                    </w:rPr>
                  </w:pPr>
                  <w:r>
                    <w:rPr>
                      <w:rFonts w:hint="eastAsia"/>
                      <w:color w:val="auto"/>
                      <w:szCs w:val="21"/>
                      <w:u w:val="none"/>
                      <w:lang w:val="en-US" w:eastAsia="zh-CN"/>
                    </w:rPr>
                    <w:t>452-760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60" w:type="dxa"/>
                  <w:tcBorders>
                    <w:tl2br w:val="nil"/>
                    <w:tr2bl w:val="nil"/>
                  </w:tcBorders>
                  <w:vAlign w:val="center"/>
                </w:tcPr>
                <w:p>
                  <w:pPr>
                    <w:jc w:val="center"/>
                    <w:rPr>
                      <w:color w:val="auto"/>
                      <w:u w:val="none"/>
                    </w:rPr>
                  </w:pPr>
                  <w:r>
                    <w:rPr>
                      <w:rFonts w:hint="eastAsia"/>
                      <w:color w:val="auto"/>
                      <w:szCs w:val="21"/>
                      <w:u w:val="none"/>
                      <w:lang w:eastAsia="zh-CN"/>
                    </w:rPr>
                    <w:t>高桥</w:t>
                  </w:r>
                  <w:r>
                    <w:rPr>
                      <w:rFonts w:hint="eastAsia"/>
                      <w:color w:val="auto"/>
                      <w:szCs w:val="21"/>
                      <w:u w:val="none"/>
                    </w:rPr>
                    <w:t>居民点</w:t>
                  </w:r>
                </w:p>
              </w:tc>
              <w:tc>
                <w:tcPr>
                  <w:tcW w:w="851" w:type="dxa"/>
                  <w:tcBorders>
                    <w:tl2br w:val="nil"/>
                    <w:tr2bl w:val="nil"/>
                  </w:tcBorders>
                  <w:vAlign w:val="center"/>
                </w:tcPr>
                <w:p>
                  <w:pPr>
                    <w:pStyle w:val="47"/>
                    <w:jc w:val="center"/>
                    <w:rPr>
                      <w:rFonts w:hint="default" w:ascii="Times New Roman" w:eastAsia="宋体"/>
                      <w:color w:val="auto"/>
                      <w:szCs w:val="21"/>
                      <w:u w:val="none"/>
                      <w:lang w:val="en-US" w:eastAsia="zh-CN"/>
                    </w:rPr>
                  </w:pPr>
                  <w:r>
                    <w:rPr>
                      <w:rFonts w:hint="eastAsia" w:ascii="Times New Roman"/>
                      <w:color w:val="auto"/>
                      <w:szCs w:val="21"/>
                      <w:u w:val="none"/>
                      <w:lang w:val="en-US"/>
                    </w:rPr>
                    <w:t>-</w:t>
                  </w:r>
                  <w:r>
                    <w:rPr>
                      <w:rFonts w:hint="eastAsia" w:ascii="Times New Roman"/>
                      <w:color w:val="auto"/>
                      <w:szCs w:val="21"/>
                      <w:u w:val="none"/>
                      <w:lang w:val="en-US" w:eastAsia="zh-CN"/>
                    </w:rPr>
                    <w:t>182</w:t>
                  </w:r>
                </w:p>
              </w:tc>
              <w:tc>
                <w:tcPr>
                  <w:tcW w:w="1168" w:type="dxa"/>
                  <w:tcBorders>
                    <w:tl2br w:val="nil"/>
                    <w:tr2bl w:val="nil"/>
                  </w:tcBorders>
                  <w:vAlign w:val="center"/>
                </w:tcPr>
                <w:p>
                  <w:pPr>
                    <w:pStyle w:val="47"/>
                    <w:jc w:val="center"/>
                    <w:rPr>
                      <w:rFonts w:hint="default" w:ascii="Times New Roman" w:eastAsia="宋体"/>
                      <w:color w:val="auto"/>
                      <w:szCs w:val="21"/>
                      <w:u w:val="none"/>
                      <w:lang w:val="en-US" w:eastAsia="zh-CN"/>
                    </w:rPr>
                  </w:pPr>
                  <w:r>
                    <w:rPr>
                      <w:rFonts w:hint="eastAsia" w:ascii="Times New Roman"/>
                      <w:color w:val="auto"/>
                      <w:szCs w:val="21"/>
                      <w:u w:val="none"/>
                      <w:lang w:val="en-US"/>
                    </w:rPr>
                    <w:t>-</w:t>
                  </w:r>
                  <w:r>
                    <w:rPr>
                      <w:rFonts w:hint="eastAsia" w:ascii="Times New Roman"/>
                      <w:color w:val="auto"/>
                      <w:szCs w:val="21"/>
                      <w:u w:val="none"/>
                      <w:lang w:val="en-US" w:eastAsia="zh-CN"/>
                    </w:rPr>
                    <w:t>119</w:t>
                  </w:r>
                </w:p>
              </w:tc>
              <w:tc>
                <w:tcPr>
                  <w:tcW w:w="989" w:type="dxa"/>
                  <w:tcBorders>
                    <w:tl2br w:val="nil"/>
                    <w:tr2bl w:val="nil"/>
                  </w:tcBorders>
                  <w:vAlign w:val="center"/>
                </w:tcPr>
                <w:p>
                  <w:pPr>
                    <w:pStyle w:val="21"/>
                    <w:ind w:left="0" w:leftChars="0"/>
                    <w:jc w:val="center"/>
                    <w:rPr>
                      <w:color w:val="auto"/>
                      <w:u w:val="none"/>
                    </w:rPr>
                  </w:pPr>
                  <w:r>
                    <w:rPr>
                      <w:rFonts w:hint="eastAsia"/>
                      <w:color w:val="auto"/>
                      <w:u w:val="none"/>
                    </w:rPr>
                    <w:t>居民</w:t>
                  </w:r>
                </w:p>
              </w:tc>
              <w:tc>
                <w:tcPr>
                  <w:tcW w:w="1574" w:type="dxa"/>
                  <w:tcBorders>
                    <w:tl2br w:val="nil"/>
                    <w:tr2bl w:val="nil"/>
                  </w:tcBorders>
                  <w:vAlign w:val="center"/>
                </w:tcPr>
                <w:p>
                  <w:pPr>
                    <w:pStyle w:val="21"/>
                    <w:ind w:left="0" w:leftChars="0"/>
                    <w:jc w:val="center"/>
                    <w:rPr>
                      <w:color w:val="auto"/>
                      <w:u w:val="none"/>
                    </w:rPr>
                  </w:pPr>
                  <w:r>
                    <w:rPr>
                      <w:color w:val="auto"/>
                      <w:u w:val="none"/>
                    </w:rPr>
                    <w:t>人群（</w:t>
                  </w:r>
                  <w:r>
                    <w:rPr>
                      <w:rFonts w:hint="eastAsia"/>
                      <w:color w:val="auto"/>
                      <w:u w:val="none"/>
                      <w:lang w:val="en-US" w:eastAsia="zh-CN"/>
                    </w:rPr>
                    <w:t>8</w:t>
                  </w:r>
                  <w:r>
                    <w:rPr>
                      <w:rFonts w:hint="eastAsia"/>
                      <w:color w:val="auto"/>
                      <w:u w:val="none"/>
                    </w:rPr>
                    <w:t>0</w:t>
                  </w:r>
                  <w:r>
                    <w:rPr>
                      <w:color w:val="auto"/>
                      <w:u w:val="none"/>
                    </w:rPr>
                    <w:t>人）</w:t>
                  </w:r>
                </w:p>
              </w:tc>
              <w:tc>
                <w:tcPr>
                  <w:tcW w:w="1036" w:type="dxa"/>
                  <w:tcBorders>
                    <w:tl2br w:val="nil"/>
                    <w:tr2bl w:val="nil"/>
                  </w:tcBorders>
                  <w:vAlign w:val="center"/>
                </w:tcPr>
                <w:p>
                  <w:pPr>
                    <w:jc w:val="center"/>
                    <w:rPr>
                      <w:color w:val="auto"/>
                      <w:u w:val="none"/>
                    </w:rPr>
                  </w:pPr>
                  <w:r>
                    <w:rPr>
                      <w:color w:val="auto"/>
                      <w:u w:val="none"/>
                    </w:rPr>
                    <w:t>二类区</w:t>
                  </w:r>
                </w:p>
              </w:tc>
              <w:tc>
                <w:tcPr>
                  <w:tcW w:w="956" w:type="dxa"/>
                  <w:tcBorders>
                    <w:tl2br w:val="nil"/>
                    <w:tr2bl w:val="nil"/>
                  </w:tcBorders>
                  <w:vAlign w:val="center"/>
                </w:tcPr>
                <w:p>
                  <w:pPr>
                    <w:pStyle w:val="47"/>
                    <w:jc w:val="center"/>
                    <w:rPr>
                      <w:rFonts w:ascii="Times New Roman" w:hAnsi="Times New Roman" w:cs="Times New Roman"/>
                      <w:color w:val="auto"/>
                      <w:kern w:val="0"/>
                      <w:szCs w:val="21"/>
                      <w:u w:val="none"/>
                      <w:lang w:val="en-US"/>
                    </w:rPr>
                  </w:pPr>
                  <w:r>
                    <w:rPr>
                      <w:rFonts w:hint="eastAsia" w:ascii="Times New Roman" w:hAnsi="Times New Roman" w:cs="Times New Roman"/>
                      <w:color w:val="auto"/>
                      <w:kern w:val="0"/>
                      <w:szCs w:val="21"/>
                      <w:u w:val="none"/>
                      <w:lang w:val="en-US"/>
                    </w:rPr>
                    <w:t>西南</w:t>
                  </w:r>
                </w:p>
              </w:tc>
              <w:tc>
                <w:tcPr>
                  <w:tcW w:w="1216" w:type="dxa"/>
                  <w:tcBorders>
                    <w:tl2br w:val="nil"/>
                    <w:tr2bl w:val="nil"/>
                  </w:tcBorders>
                  <w:vAlign w:val="center"/>
                </w:tcPr>
                <w:p>
                  <w:pPr>
                    <w:widowControl/>
                    <w:jc w:val="center"/>
                    <w:textAlignment w:val="center"/>
                    <w:rPr>
                      <w:rFonts w:hint="default" w:eastAsia="宋体"/>
                      <w:color w:val="auto"/>
                      <w:szCs w:val="21"/>
                      <w:u w:val="none"/>
                      <w:lang w:val="en-US" w:eastAsia="zh-CN"/>
                    </w:rPr>
                  </w:pPr>
                  <w:r>
                    <w:rPr>
                      <w:rFonts w:hint="eastAsia"/>
                      <w:color w:val="auto"/>
                      <w:szCs w:val="21"/>
                      <w:u w:val="none"/>
                      <w:lang w:val="en-US" w:eastAsia="zh-CN"/>
                    </w:rPr>
                    <w:t>441-563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60" w:type="dxa"/>
                  <w:tcBorders>
                    <w:tl2br w:val="nil"/>
                    <w:tr2bl w:val="nil"/>
                  </w:tcBorders>
                  <w:vAlign w:val="center"/>
                </w:tcPr>
                <w:p>
                  <w:pPr>
                    <w:jc w:val="center"/>
                    <w:rPr>
                      <w:color w:val="auto"/>
                      <w:u w:val="none"/>
                    </w:rPr>
                  </w:pPr>
                  <w:r>
                    <w:rPr>
                      <w:rFonts w:hint="eastAsia"/>
                      <w:color w:val="auto"/>
                      <w:szCs w:val="21"/>
                      <w:u w:val="none"/>
                      <w:lang w:eastAsia="zh-CN"/>
                    </w:rPr>
                    <w:t>板桥冲</w:t>
                  </w:r>
                  <w:r>
                    <w:rPr>
                      <w:rFonts w:hint="eastAsia"/>
                      <w:color w:val="auto"/>
                      <w:szCs w:val="21"/>
                      <w:u w:val="none"/>
                    </w:rPr>
                    <w:t>居民点</w:t>
                  </w:r>
                </w:p>
              </w:tc>
              <w:tc>
                <w:tcPr>
                  <w:tcW w:w="851" w:type="dxa"/>
                  <w:tcBorders>
                    <w:tl2br w:val="nil"/>
                    <w:tr2bl w:val="nil"/>
                  </w:tcBorders>
                  <w:vAlign w:val="center"/>
                </w:tcPr>
                <w:p>
                  <w:pPr>
                    <w:pStyle w:val="47"/>
                    <w:jc w:val="center"/>
                    <w:rPr>
                      <w:rFonts w:ascii="Times New Roman"/>
                      <w:color w:val="auto"/>
                      <w:szCs w:val="21"/>
                      <w:u w:val="none"/>
                      <w:lang w:val="en-US"/>
                    </w:rPr>
                  </w:pPr>
                  <w:r>
                    <w:rPr>
                      <w:rFonts w:hint="eastAsia" w:ascii="Times New Roman"/>
                      <w:color w:val="auto"/>
                      <w:szCs w:val="21"/>
                      <w:u w:val="none"/>
                      <w:lang w:val="en-US"/>
                    </w:rPr>
                    <w:t>0</w:t>
                  </w:r>
                </w:p>
              </w:tc>
              <w:tc>
                <w:tcPr>
                  <w:tcW w:w="1168" w:type="dxa"/>
                  <w:tcBorders>
                    <w:tl2br w:val="nil"/>
                    <w:tr2bl w:val="nil"/>
                  </w:tcBorders>
                  <w:vAlign w:val="center"/>
                </w:tcPr>
                <w:p>
                  <w:pPr>
                    <w:pStyle w:val="47"/>
                    <w:jc w:val="center"/>
                    <w:rPr>
                      <w:rFonts w:hint="default" w:ascii="Times New Roman" w:eastAsia="宋体"/>
                      <w:color w:val="auto"/>
                      <w:szCs w:val="21"/>
                      <w:u w:val="none"/>
                      <w:lang w:val="en-US" w:eastAsia="zh-CN"/>
                    </w:rPr>
                  </w:pPr>
                  <w:r>
                    <w:rPr>
                      <w:rFonts w:hint="eastAsia" w:ascii="Times New Roman"/>
                      <w:color w:val="auto"/>
                      <w:szCs w:val="21"/>
                      <w:u w:val="none"/>
                      <w:lang w:val="en-US"/>
                    </w:rPr>
                    <w:t>-</w:t>
                  </w:r>
                  <w:r>
                    <w:rPr>
                      <w:rFonts w:hint="eastAsia" w:ascii="Times New Roman"/>
                      <w:color w:val="auto"/>
                      <w:szCs w:val="21"/>
                      <w:u w:val="none"/>
                      <w:lang w:val="en-US" w:eastAsia="zh-CN"/>
                    </w:rPr>
                    <w:t>231</w:t>
                  </w:r>
                </w:p>
              </w:tc>
              <w:tc>
                <w:tcPr>
                  <w:tcW w:w="989" w:type="dxa"/>
                  <w:tcBorders>
                    <w:tl2br w:val="nil"/>
                    <w:tr2bl w:val="nil"/>
                  </w:tcBorders>
                  <w:vAlign w:val="center"/>
                </w:tcPr>
                <w:p>
                  <w:pPr>
                    <w:pStyle w:val="21"/>
                    <w:ind w:left="0" w:leftChars="0"/>
                    <w:jc w:val="center"/>
                    <w:rPr>
                      <w:color w:val="auto"/>
                      <w:u w:val="none"/>
                    </w:rPr>
                  </w:pPr>
                  <w:r>
                    <w:rPr>
                      <w:rFonts w:hint="eastAsia"/>
                      <w:color w:val="auto"/>
                      <w:u w:val="none"/>
                    </w:rPr>
                    <w:t>居民</w:t>
                  </w:r>
                </w:p>
              </w:tc>
              <w:tc>
                <w:tcPr>
                  <w:tcW w:w="1574" w:type="dxa"/>
                  <w:tcBorders>
                    <w:tl2br w:val="nil"/>
                    <w:tr2bl w:val="nil"/>
                  </w:tcBorders>
                  <w:vAlign w:val="center"/>
                </w:tcPr>
                <w:p>
                  <w:pPr>
                    <w:pStyle w:val="21"/>
                    <w:ind w:left="0" w:leftChars="0"/>
                    <w:jc w:val="center"/>
                    <w:rPr>
                      <w:color w:val="auto"/>
                      <w:u w:val="none"/>
                    </w:rPr>
                  </w:pPr>
                  <w:r>
                    <w:rPr>
                      <w:color w:val="auto"/>
                      <w:u w:val="none"/>
                    </w:rPr>
                    <w:t>人群（</w:t>
                  </w:r>
                  <w:r>
                    <w:rPr>
                      <w:rFonts w:hint="eastAsia"/>
                      <w:color w:val="auto"/>
                      <w:u w:val="none"/>
                    </w:rPr>
                    <w:t>38</w:t>
                  </w:r>
                  <w:r>
                    <w:rPr>
                      <w:rFonts w:hint="eastAsia"/>
                      <w:color w:val="auto"/>
                      <w:u w:val="none"/>
                      <w:lang w:val="en-US" w:eastAsia="zh-CN"/>
                    </w:rPr>
                    <w:t>0</w:t>
                  </w:r>
                  <w:r>
                    <w:rPr>
                      <w:color w:val="auto"/>
                      <w:u w:val="none"/>
                    </w:rPr>
                    <w:t>人）</w:t>
                  </w:r>
                </w:p>
              </w:tc>
              <w:tc>
                <w:tcPr>
                  <w:tcW w:w="1036" w:type="dxa"/>
                  <w:tcBorders>
                    <w:tl2br w:val="nil"/>
                    <w:tr2bl w:val="nil"/>
                  </w:tcBorders>
                  <w:vAlign w:val="center"/>
                </w:tcPr>
                <w:p>
                  <w:pPr>
                    <w:jc w:val="center"/>
                    <w:rPr>
                      <w:color w:val="auto"/>
                      <w:u w:val="none"/>
                    </w:rPr>
                  </w:pPr>
                  <w:r>
                    <w:rPr>
                      <w:color w:val="auto"/>
                      <w:u w:val="none"/>
                    </w:rPr>
                    <w:t>二类区</w:t>
                  </w:r>
                </w:p>
              </w:tc>
              <w:tc>
                <w:tcPr>
                  <w:tcW w:w="956" w:type="dxa"/>
                  <w:tcBorders>
                    <w:tl2br w:val="nil"/>
                    <w:tr2bl w:val="nil"/>
                  </w:tcBorders>
                  <w:vAlign w:val="center"/>
                </w:tcPr>
                <w:p>
                  <w:pPr>
                    <w:pStyle w:val="47"/>
                    <w:jc w:val="center"/>
                    <w:rPr>
                      <w:rFonts w:ascii="Times New Roman" w:hAnsi="Times New Roman" w:cs="Times New Roman"/>
                      <w:color w:val="auto"/>
                      <w:kern w:val="0"/>
                      <w:szCs w:val="21"/>
                      <w:u w:val="none"/>
                      <w:lang w:val="en-US"/>
                    </w:rPr>
                  </w:pPr>
                  <w:r>
                    <w:rPr>
                      <w:rFonts w:hint="eastAsia" w:ascii="Times New Roman" w:hAnsi="Times New Roman" w:cs="Times New Roman"/>
                      <w:color w:val="auto"/>
                      <w:kern w:val="0"/>
                      <w:szCs w:val="21"/>
                      <w:u w:val="none"/>
                      <w:lang w:val="en-US"/>
                    </w:rPr>
                    <w:t>南</w:t>
                  </w:r>
                </w:p>
              </w:tc>
              <w:tc>
                <w:tcPr>
                  <w:tcW w:w="1216" w:type="dxa"/>
                  <w:tcBorders>
                    <w:tl2br w:val="nil"/>
                    <w:tr2bl w:val="nil"/>
                  </w:tcBorders>
                  <w:vAlign w:val="center"/>
                </w:tcPr>
                <w:p>
                  <w:pPr>
                    <w:widowControl/>
                    <w:jc w:val="center"/>
                    <w:textAlignment w:val="center"/>
                    <w:rPr>
                      <w:rFonts w:hint="default" w:eastAsia="宋体"/>
                      <w:color w:val="auto"/>
                      <w:szCs w:val="21"/>
                      <w:u w:val="none"/>
                      <w:lang w:val="en-US" w:eastAsia="zh-CN"/>
                    </w:rPr>
                  </w:pPr>
                  <w:r>
                    <w:rPr>
                      <w:rFonts w:hint="eastAsia"/>
                      <w:color w:val="auto"/>
                      <w:szCs w:val="21"/>
                      <w:u w:val="none"/>
                      <w:lang w:val="en-US" w:eastAsia="zh-CN"/>
                    </w:rPr>
                    <w:t>231-668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60" w:type="dxa"/>
                  <w:tcBorders>
                    <w:tl2br w:val="nil"/>
                    <w:tr2bl w:val="nil"/>
                  </w:tcBorders>
                  <w:vAlign w:val="center"/>
                </w:tcPr>
                <w:p>
                  <w:pPr>
                    <w:jc w:val="center"/>
                    <w:rPr>
                      <w:color w:val="auto"/>
                      <w:u w:val="none"/>
                    </w:rPr>
                  </w:pPr>
                  <w:r>
                    <w:rPr>
                      <w:rFonts w:hint="eastAsia"/>
                      <w:color w:val="auto"/>
                      <w:szCs w:val="21"/>
                      <w:u w:val="none"/>
                      <w:lang w:eastAsia="zh-CN"/>
                    </w:rPr>
                    <w:t>白鹤塘</w:t>
                  </w:r>
                  <w:r>
                    <w:rPr>
                      <w:rFonts w:hint="eastAsia"/>
                      <w:color w:val="auto"/>
                      <w:szCs w:val="21"/>
                      <w:u w:val="none"/>
                    </w:rPr>
                    <w:t>居民点</w:t>
                  </w:r>
                </w:p>
              </w:tc>
              <w:tc>
                <w:tcPr>
                  <w:tcW w:w="851" w:type="dxa"/>
                  <w:tcBorders>
                    <w:tl2br w:val="nil"/>
                    <w:tr2bl w:val="nil"/>
                  </w:tcBorders>
                  <w:vAlign w:val="center"/>
                </w:tcPr>
                <w:p>
                  <w:pPr>
                    <w:pStyle w:val="47"/>
                    <w:jc w:val="center"/>
                    <w:rPr>
                      <w:rFonts w:hint="default" w:ascii="Times New Roman" w:eastAsia="宋体"/>
                      <w:color w:val="auto"/>
                      <w:szCs w:val="21"/>
                      <w:u w:val="none"/>
                      <w:lang w:val="en-US" w:eastAsia="zh-CN"/>
                    </w:rPr>
                  </w:pPr>
                  <w:r>
                    <w:rPr>
                      <w:rFonts w:hint="eastAsia" w:ascii="Times New Roman"/>
                      <w:color w:val="auto"/>
                      <w:szCs w:val="21"/>
                      <w:u w:val="none"/>
                      <w:lang w:val="en-US" w:eastAsia="zh-CN"/>
                    </w:rPr>
                    <w:t>108</w:t>
                  </w:r>
                </w:p>
              </w:tc>
              <w:tc>
                <w:tcPr>
                  <w:tcW w:w="1168" w:type="dxa"/>
                  <w:tcBorders>
                    <w:tl2br w:val="nil"/>
                    <w:tr2bl w:val="nil"/>
                  </w:tcBorders>
                  <w:vAlign w:val="center"/>
                </w:tcPr>
                <w:p>
                  <w:pPr>
                    <w:pStyle w:val="47"/>
                    <w:jc w:val="center"/>
                    <w:rPr>
                      <w:rFonts w:hint="default" w:ascii="Times New Roman" w:eastAsia="宋体"/>
                      <w:color w:val="auto"/>
                      <w:szCs w:val="21"/>
                      <w:u w:val="none"/>
                      <w:lang w:val="en-US" w:eastAsia="zh-CN"/>
                    </w:rPr>
                  </w:pPr>
                  <w:r>
                    <w:rPr>
                      <w:rFonts w:hint="eastAsia" w:ascii="Times New Roman"/>
                      <w:color w:val="auto"/>
                      <w:szCs w:val="21"/>
                      <w:u w:val="none"/>
                      <w:lang w:val="en-US"/>
                    </w:rPr>
                    <w:t>-1</w:t>
                  </w:r>
                  <w:r>
                    <w:rPr>
                      <w:rFonts w:hint="eastAsia" w:ascii="Times New Roman"/>
                      <w:color w:val="auto"/>
                      <w:szCs w:val="21"/>
                      <w:u w:val="none"/>
                      <w:lang w:val="en-US" w:eastAsia="zh-CN"/>
                    </w:rPr>
                    <w:t>59</w:t>
                  </w:r>
                </w:p>
              </w:tc>
              <w:tc>
                <w:tcPr>
                  <w:tcW w:w="989" w:type="dxa"/>
                  <w:tcBorders>
                    <w:tl2br w:val="nil"/>
                    <w:tr2bl w:val="nil"/>
                  </w:tcBorders>
                  <w:vAlign w:val="center"/>
                </w:tcPr>
                <w:p>
                  <w:pPr>
                    <w:pStyle w:val="21"/>
                    <w:ind w:left="0" w:leftChars="0"/>
                    <w:jc w:val="center"/>
                    <w:rPr>
                      <w:color w:val="auto"/>
                      <w:u w:val="none"/>
                    </w:rPr>
                  </w:pPr>
                  <w:r>
                    <w:rPr>
                      <w:rFonts w:hint="eastAsia"/>
                      <w:color w:val="auto"/>
                      <w:u w:val="none"/>
                    </w:rPr>
                    <w:t>居民</w:t>
                  </w:r>
                </w:p>
              </w:tc>
              <w:tc>
                <w:tcPr>
                  <w:tcW w:w="1574" w:type="dxa"/>
                  <w:tcBorders>
                    <w:tl2br w:val="nil"/>
                    <w:tr2bl w:val="nil"/>
                  </w:tcBorders>
                  <w:vAlign w:val="center"/>
                </w:tcPr>
                <w:p>
                  <w:pPr>
                    <w:pStyle w:val="21"/>
                    <w:ind w:left="0" w:leftChars="0"/>
                    <w:jc w:val="center"/>
                    <w:rPr>
                      <w:color w:val="auto"/>
                      <w:u w:val="none"/>
                    </w:rPr>
                  </w:pPr>
                  <w:r>
                    <w:rPr>
                      <w:color w:val="auto"/>
                      <w:u w:val="none"/>
                    </w:rPr>
                    <w:t>人群（</w:t>
                  </w:r>
                  <w:r>
                    <w:rPr>
                      <w:rFonts w:hint="eastAsia"/>
                      <w:color w:val="auto"/>
                      <w:u w:val="none"/>
                    </w:rPr>
                    <w:t>10</w:t>
                  </w:r>
                  <w:r>
                    <w:rPr>
                      <w:color w:val="auto"/>
                      <w:u w:val="none"/>
                    </w:rPr>
                    <w:t>0人）</w:t>
                  </w:r>
                </w:p>
              </w:tc>
              <w:tc>
                <w:tcPr>
                  <w:tcW w:w="1036" w:type="dxa"/>
                  <w:tcBorders>
                    <w:tl2br w:val="nil"/>
                    <w:tr2bl w:val="nil"/>
                  </w:tcBorders>
                  <w:vAlign w:val="center"/>
                </w:tcPr>
                <w:p>
                  <w:pPr>
                    <w:jc w:val="center"/>
                    <w:rPr>
                      <w:color w:val="auto"/>
                      <w:u w:val="none"/>
                    </w:rPr>
                  </w:pPr>
                  <w:r>
                    <w:rPr>
                      <w:color w:val="auto"/>
                      <w:u w:val="none"/>
                    </w:rPr>
                    <w:t>二类区</w:t>
                  </w:r>
                </w:p>
              </w:tc>
              <w:tc>
                <w:tcPr>
                  <w:tcW w:w="956" w:type="dxa"/>
                  <w:tcBorders>
                    <w:tl2br w:val="nil"/>
                    <w:tr2bl w:val="nil"/>
                  </w:tcBorders>
                  <w:vAlign w:val="center"/>
                </w:tcPr>
                <w:p>
                  <w:pPr>
                    <w:pStyle w:val="47"/>
                    <w:jc w:val="center"/>
                    <w:rPr>
                      <w:rFonts w:ascii="Times New Roman" w:hAnsi="Times New Roman" w:cs="Times New Roman"/>
                      <w:color w:val="auto"/>
                      <w:kern w:val="0"/>
                      <w:szCs w:val="21"/>
                      <w:u w:val="none"/>
                      <w:lang w:val="en-US"/>
                    </w:rPr>
                  </w:pPr>
                  <w:r>
                    <w:rPr>
                      <w:rFonts w:hint="eastAsia" w:ascii="Times New Roman" w:hAnsi="Times New Roman" w:cs="Times New Roman"/>
                      <w:color w:val="auto"/>
                      <w:kern w:val="0"/>
                      <w:szCs w:val="21"/>
                      <w:u w:val="none"/>
                      <w:lang w:val="en-US" w:eastAsia="zh-CN"/>
                    </w:rPr>
                    <w:t>东</w:t>
                  </w:r>
                  <w:r>
                    <w:rPr>
                      <w:rFonts w:hint="eastAsia" w:ascii="Times New Roman" w:hAnsi="Times New Roman" w:cs="Times New Roman"/>
                      <w:color w:val="auto"/>
                      <w:kern w:val="0"/>
                      <w:szCs w:val="21"/>
                      <w:u w:val="none"/>
                      <w:lang w:val="en-US"/>
                    </w:rPr>
                    <w:t>南</w:t>
                  </w:r>
                </w:p>
              </w:tc>
              <w:tc>
                <w:tcPr>
                  <w:tcW w:w="1216" w:type="dxa"/>
                  <w:tcBorders>
                    <w:tl2br w:val="nil"/>
                    <w:tr2bl w:val="nil"/>
                  </w:tcBorders>
                  <w:vAlign w:val="center"/>
                </w:tcPr>
                <w:p>
                  <w:pPr>
                    <w:widowControl/>
                    <w:jc w:val="center"/>
                    <w:textAlignment w:val="center"/>
                    <w:rPr>
                      <w:rFonts w:hint="default" w:eastAsia="宋体"/>
                      <w:color w:val="auto"/>
                      <w:szCs w:val="21"/>
                      <w:u w:val="none"/>
                      <w:lang w:val="en-US" w:eastAsia="zh-CN"/>
                    </w:rPr>
                  </w:pPr>
                  <w:r>
                    <w:rPr>
                      <w:rFonts w:hint="eastAsia"/>
                      <w:color w:val="auto"/>
                      <w:szCs w:val="21"/>
                      <w:u w:val="none"/>
                      <w:lang w:val="en-US" w:eastAsia="zh-CN"/>
                    </w:rPr>
                    <w:t>223-557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60" w:type="dxa"/>
                  <w:tcBorders>
                    <w:tl2br w:val="nil"/>
                    <w:tr2bl w:val="nil"/>
                  </w:tcBorders>
                  <w:vAlign w:val="center"/>
                </w:tcPr>
                <w:p>
                  <w:pPr>
                    <w:jc w:val="center"/>
                    <w:rPr>
                      <w:color w:val="auto"/>
                      <w:u w:val="none"/>
                    </w:rPr>
                  </w:pPr>
                  <w:r>
                    <w:rPr>
                      <w:rFonts w:hint="eastAsia"/>
                      <w:color w:val="auto"/>
                      <w:szCs w:val="21"/>
                      <w:u w:val="none"/>
                      <w:lang w:eastAsia="zh-CN"/>
                    </w:rPr>
                    <w:t>白鹤潭</w:t>
                  </w:r>
                  <w:r>
                    <w:rPr>
                      <w:rFonts w:hint="eastAsia"/>
                      <w:color w:val="auto"/>
                      <w:szCs w:val="21"/>
                      <w:u w:val="none"/>
                    </w:rPr>
                    <w:t>居民点</w:t>
                  </w:r>
                </w:p>
              </w:tc>
              <w:tc>
                <w:tcPr>
                  <w:tcW w:w="851" w:type="dxa"/>
                  <w:tcBorders>
                    <w:tl2br w:val="nil"/>
                    <w:tr2bl w:val="nil"/>
                  </w:tcBorders>
                  <w:vAlign w:val="center"/>
                </w:tcPr>
                <w:p>
                  <w:pPr>
                    <w:pStyle w:val="47"/>
                    <w:jc w:val="center"/>
                    <w:rPr>
                      <w:rFonts w:hint="default" w:ascii="Times New Roman" w:eastAsia="宋体"/>
                      <w:color w:val="auto"/>
                      <w:szCs w:val="21"/>
                      <w:u w:val="none"/>
                      <w:lang w:val="en-US" w:eastAsia="zh-CN"/>
                    </w:rPr>
                  </w:pPr>
                  <w:r>
                    <w:rPr>
                      <w:rFonts w:hint="eastAsia" w:ascii="Times New Roman"/>
                      <w:color w:val="auto"/>
                      <w:szCs w:val="21"/>
                      <w:u w:val="none"/>
                      <w:lang w:val="en-US" w:eastAsia="zh-CN"/>
                    </w:rPr>
                    <w:t>214</w:t>
                  </w:r>
                </w:p>
              </w:tc>
              <w:tc>
                <w:tcPr>
                  <w:tcW w:w="1168" w:type="dxa"/>
                  <w:tcBorders>
                    <w:tl2br w:val="nil"/>
                    <w:tr2bl w:val="nil"/>
                  </w:tcBorders>
                  <w:vAlign w:val="center"/>
                </w:tcPr>
                <w:p>
                  <w:pPr>
                    <w:pStyle w:val="47"/>
                    <w:jc w:val="center"/>
                    <w:rPr>
                      <w:rFonts w:hint="default" w:ascii="Times New Roman" w:eastAsia="宋体"/>
                      <w:color w:val="auto"/>
                      <w:szCs w:val="21"/>
                      <w:u w:val="none"/>
                      <w:lang w:val="en-US" w:eastAsia="zh-CN"/>
                    </w:rPr>
                  </w:pPr>
                  <w:r>
                    <w:rPr>
                      <w:rFonts w:hint="eastAsia" w:ascii="Times New Roman"/>
                      <w:color w:val="auto"/>
                      <w:szCs w:val="21"/>
                      <w:u w:val="none"/>
                      <w:lang w:val="en-US" w:eastAsia="zh-CN"/>
                    </w:rPr>
                    <w:t>-136</w:t>
                  </w:r>
                </w:p>
              </w:tc>
              <w:tc>
                <w:tcPr>
                  <w:tcW w:w="989" w:type="dxa"/>
                  <w:tcBorders>
                    <w:tl2br w:val="nil"/>
                    <w:tr2bl w:val="nil"/>
                  </w:tcBorders>
                  <w:vAlign w:val="center"/>
                </w:tcPr>
                <w:p>
                  <w:pPr>
                    <w:pStyle w:val="21"/>
                    <w:ind w:left="0" w:leftChars="0"/>
                    <w:jc w:val="center"/>
                    <w:rPr>
                      <w:color w:val="auto"/>
                      <w:u w:val="none"/>
                    </w:rPr>
                  </w:pPr>
                  <w:r>
                    <w:rPr>
                      <w:rFonts w:hint="eastAsia"/>
                      <w:color w:val="auto"/>
                      <w:u w:val="none"/>
                    </w:rPr>
                    <w:t>居民</w:t>
                  </w:r>
                </w:p>
              </w:tc>
              <w:tc>
                <w:tcPr>
                  <w:tcW w:w="1574" w:type="dxa"/>
                  <w:tcBorders>
                    <w:tl2br w:val="nil"/>
                    <w:tr2bl w:val="nil"/>
                  </w:tcBorders>
                  <w:vAlign w:val="center"/>
                </w:tcPr>
                <w:p>
                  <w:pPr>
                    <w:pStyle w:val="21"/>
                    <w:ind w:left="0" w:leftChars="0"/>
                    <w:jc w:val="center"/>
                    <w:rPr>
                      <w:color w:val="auto"/>
                      <w:u w:val="none"/>
                    </w:rPr>
                  </w:pPr>
                  <w:r>
                    <w:rPr>
                      <w:color w:val="auto"/>
                      <w:u w:val="none"/>
                    </w:rPr>
                    <w:t>人群（</w:t>
                  </w:r>
                  <w:r>
                    <w:rPr>
                      <w:rFonts w:hint="eastAsia"/>
                      <w:color w:val="auto"/>
                      <w:u w:val="none"/>
                      <w:lang w:val="en-US" w:eastAsia="zh-CN"/>
                    </w:rPr>
                    <w:t>1</w:t>
                  </w:r>
                  <w:r>
                    <w:rPr>
                      <w:rFonts w:hint="eastAsia"/>
                      <w:color w:val="auto"/>
                      <w:u w:val="none"/>
                    </w:rPr>
                    <w:t>60</w:t>
                  </w:r>
                  <w:r>
                    <w:rPr>
                      <w:color w:val="auto"/>
                      <w:u w:val="none"/>
                    </w:rPr>
                    <w:t>人）</w:t>
                  </w:r>
                </w:p>
              </w:tc>
              <w:tc>
                <w:tcPr>
                  <w:tcW w:w="1036" w:type="dxa"/>
                  <w:tcBorders>
                    <w:tl2br w:val="nil"/>
                    <w:tr2bl w:val="nil"/>
                  </w:tcBorders>
                  <w:vAlign w:val="center"/>
                </w:tcPr>
                <w:p>
                  <w:pPr>
                    <w:jc w:val="center"/>
                    <w:rPr>
                      <w:color w:val="auto"/>
                      <w:u w:val="none"/>
                    </w:rPr>
                  </w:pPr>
                  <w:r>
                    <w:rPr>
                      <w:color w:val="auto"/>
                      <w:u w:val="none"/>
                    </w:rPr>
                    <w:t>二类区</w:t>
                  </w:r>
                </w:p>
              </w:tc>
              <w:tc>
                <w:tcPr>
                  <w:tcW w:w="956" w:type="dxa"/>
                  <w:tcBorders>
                    <w:tl2br w:val="nil"/>
                    <w:tr2bl w:val="nil"/>
                  </w:tcBorders>
                  <w:vAlign w:val="center"/>
                </w:tcPr>
                <w:p>
                  <w:pPr>
                    <w:pStyle w:val="47"/>
                    <w:jc w:val="center"/>
                    <w:rPr>
                      <w:rFonts w:hint="eastAsia" w:ascii="Times New Roman" w:hAnsi="Times New Roman" w:eastAsia="宋体" w:cs="Times New Roman"/>
                      <w:color w:val="auto"/>
                      <w:kern w:val="0"/>
                      <w:szCs w:val="21"/>
                      <w:u w:val="none"/>
                      <w:lang w:val="en-US" w:eastAsia="zh-CN"/>
                    </w:rPr>
                  </w:pPr>
                  <w:r>
                    <w:rPr>
                      <w:rFonts w:hint="eastAsia" w:ascii="Times New Roman" w:hAnsi="Times New Roman" w:cs="Times New Roman"/>
                      <w:color w:val="auto"/>
                      <w:kern w:val="0"/>
                      <w:szCs w:val="21"/>
                      <w:u w:val="none"/>
                      <w:lang w:val="en-US"/>
                    </w:rPr>
                    <w:t>东</w:t>
                  </w:r>
                  <w:r>
                    <w:rPr>
                      <w:rFonts w:hint="eastAsia" w:ascii="Times New Roman" w:hAnsi="Times New Roman" w:cs="Times New Roman"/>
                      <w:color w:val="auto"/>
                      <w:kern w:val="0"/>
                      <w:szCs w:val="21"/>
                      <w:u w:val="none"/>
                      <w:lang w:val="en-US" w:eastAsia="zh-CN"/>
                    </w:rPr>
                    <w:t>南</w:t>
                  </w:r>
                </w:p>
              </w:tc>
              <w:tc>
                <w:tcPr>
                  <w:tcW w:w="1216" w:type="dxa"/>
                  <w:tcBorders>
                    <w:tl2br w:val="nil"/>
                    <w:tr2bl w:val="nil"/>
                  </w:tcBorders>
                  <w:vAlign w:val="center"/>
                </w:tcPr>
                <w:p>
                  <w:pPr>
                    <w:widowControl/>
                    <w:jc w:val="center"/>
                    <w:textAlignment w:val="center"/>
                    <w:rPr>
                      <w:rFonts w:hint="default" w:eastAsia="宋体"/>
                      <w:color w:val="auto"/>
                      <w:szCs w:val="21"/>
                      <w:u w:val="none"/>
                      <w:lang w:val="en-US" w:eastAsia="zh-CN"/>
                    </w:rPr>
                  </w:pPr>
                  <w:r>
                    <w:rPr>
                      <w:rFonts w:hint="eastAsia"/>
                      <w:color w:val="auto"/>
                      <w:szCs w:val="21"/>
                      <w:u w:val="none"/>
                    </w:rPr>
                    <w:t>228</w:t>
                  </w:r>
                  <w:r>
                    <w:rPr>
                      <w:rFonts w:hint="eastAsia"/>
                      <w:color w:val="auto"/>
                      <w:szCs w:val="21"/>
                      <w:u w:val="none"/>
                      <w:lang w:val="en-US" w:eastAsia="zh-CN"/>
                    </w:rPr>
                    <w:t>-600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60" w:type="dxa"/>
                  <w:tcBorders>
                    <w:tl2br w:val="nil"/>
                    <w:tr2bl w:val="nil"/>
                  </w:tcBorders>
                  <w:vAlign w:val="center"/>
                </w:tcPr>
                <w:p>
                  <w:pPr>
                    <w:jc w:val="center"/>
                    <w:rPr>
                      <w:color w:val="auto"/>
                      <w:u w:val="none"/>
                    </w:rPr>
                  </w:pPr>
                  <w:r>
                    <w:rPr>
                      <w:rFonts w:hint="eastAsia"/>
                      <w:color w:val="auto"/>
                      <w:szCs w:val="21"/>
                      <w:u w:val="none"/>
                      <w:lang w:eastAsia="zh-CN"/>
                    </w:rPr>
                    <w:t>刘家崩</w:t>
                  </w:r>
                  <w:r>
                    <w:rPr>
                      <w:rFonts w:hint="eastAsia"/>
                      <w:color w:val="auto"/>
                      <w:szCs w:val="21"/>
                      <w:u w:val="none"/>
                    </w:rPr>
                    <w:t>居民点</w:t>
                  </w:r>
                </w:p>
              </w:tc>
              <w:tc>
                <w:tcPr>
                  <w:tcW w:w="851" w:type="dxa"/>
                  <w:tcBorders>
                    <w:tl2br w:val="nil"/>
                    <w:tr2bl w:val="nil"/>
                  </w:tcBorders>
                  <w:vAlign w:val="center"/>
                </w:tcPr>
                <w:p>
                  <w:pPr>
                    <w:pStyle w:val="47"/>
                    <w:jc w:val="center"/>
                    <w:rPr>
                      <w:rFonts w:hint="eastAsia" w:ascii="Times New Roman" w:eastAsia="宋体"/>
                      <w:color w:val="auto"/>
                      <w:szCs w:val="21"/>
                      <w:u w:val="none"/>
                      <w:lang w:val="en-US" w:eastAsia="zh-CN"/>
                    </w:rPr>
                  </w:pPr>
                  <w:r>
                    <w:rPr>
                      <w:rFonts w:hint="eastAsia" w:ascii="Times New Roman"/>
                      <w:color w:val="auto"/>
                      <w:szCs w:val="21"/>
                      <w:u w:val="none"/>
                      <w:lang w:val="en-US" w:eastAsia="zh-CN"/>
                    </w:rPr>
                    <w:t>0</w:t>
                  </w:r>
                </w:p>
              </w:tc>
              <w:tc>
                <w:tcPr>
                  <w:tcW w:w="1168" w:type="dxa"/>
                  <w:tcBorders>
                    <w:tl2br w:val="nil"/>
                    <w:tr2bl w:val="nil"/>
                  </w:tcBorders>
                  <w:vAlign w:val="center"/>
                </w:tcPr>
                <w:p>
                  <w:pPr>
                    <w:pStyle w:val="47"/>
                    <w:jc w:val="center"/>
                    <w:rPr>
                      <w:rFonts w:hint="default" w:ascii="Times New Roman" w:eastAsia="宋体"/>
                      <w:color w:val="auto"/>
                      <w:szCs w:val="21"/>
                      <w:u w:val="none"/>
                      <w:lang w:val="en-US" w:eastAsia="zh-CN"/>
                    </w:rPr>
                  </w:pPr>
                  <w:r>
                    <w:rPr>
                      <w:rFonts w:hint="eastAsia" w:ascii="Times New Roman"/>
                      <w:color w:val="auto"/>
                      <w:szCs w:val="21"/>
                      <w:u w:val="none"/>
                      <w:lang w:val="en-US" w:eastAsia="zh-CN"/>
                    </w:rPr>
                    <w:t>158</w:t>
                  </w:r>
                </w:p>
              </w:tc>
              <w:tc>
                <w:tcPr>
                  <w:tcW w:w="989" w:type="dxa"/>
                  <w:tcBorders>
                    <w:tl2br w:val="nil"/>
                    <w:tr2bl w:val="nil"/>
                  </w:tcBorders>
                  <w:vAlign w:val="center"/>
                </w:tcPr>
                <w:p>
                  <w:pPr>
                    <w:pStyle w:val="21"/>
                    <w:ind w:left="0" w:leftChars="0"/>
                    <w:jc w:val="center"/>
                    <w:rPr>
                      <w:color w:val="auto"/>
                      <w:u w:val="none"/>
                    </w:rPr>
                  </w:pPr>
                  <w:r>
                    <w:rPr>
                      <w:rFonts w:hint="eastAsia"/>
                      <w:color w:val="auto"/>
                      <w:u w:val="none"/>
                    </w:rPr>
                    <w:t>居民</w:t>
                  </w:r>
                </w:p>
              </w:tc>
              <w:tc>
                <w:tcPr>
                  <w:tcW w:w="1574" w:type="dxa"/>
                  <w:tcBorders>
                    <w:tl2br w:val="nil"/>
                    <w:tr2bl w:val="nil"/>
                  </w:tcBorders>
                  <w:vAlign w:val="center"/>
                </w:tcPr>
                <w:p>
                  <w:pPr>
                    <w:pStyle w:val="21"/>
                    <w:ind w:left="0" w:leftChars="0"/>
                    <w:jc w:val="center"/>
                    <w:rPr>
                      <w:color w:val="auto"/>
                      <w:u w:val="none"/>
                    </w:rPr>
                  </w:pPr>
                  <w:r>
                    <w:rPr>
                      <w:color w:val="auto"/>
                      <w:u w:val="none"/>
                    </w:rPr>
                    <w:t>人群（</w:t>
                  </w:r>
                  <w:r>
                    <w:rPr>
                      <w:rFonts w:hint="eastAsia"/>
                      <w:color w:val="auto"/>
                      <w:u w:val="none"/>
                      <w:lang w:val="en-US" w:eastAsia="zh-CN"/>
                    </w:rPr>
                    <w:t>8</w:t>
                  </w:r>
                  <w:r>
                    <w:rPr>
                      <w:color w:val="auto"/>
                      <w:u w:val="none"/>
                    </w:rPr>
                    <w:t>人）</w:t>
                  </w:r>
                </w:p>
              </w:tc>
              <w:tc>
                <w:tcPr>
                  <w:tcW w:w="1036" w:type="dxa"/>
                  <w:tcBorders>
                    <w:tl2br w:val="nil"/>
                    <w:tr2bl w:val="nil"/>
                  </w:tcBorders>
                  <w:vAlign w:val="center"/>
                </w:tcPr>
                <w:p>
                  <w:pPr>
                    <w:jc w:val="center"/>
                    <w:rPr>
                      <w:color w:val="auto"/>
                      <w:u w:val="none"/>
                    </w:rPr>
                  </w:pPr>
                  <w:r>
                    <w:rPr>
                      <w:color w:val="auto"/>
                      <w:u w:val="none"/>
                    </w:rPr>
                    <w:t>二类区</w:t>
                  </w:r>
                </w:p>
              </w:tc>
              <w:tc>
                <w:tcPr>
                  <w:tcW w:w="956" w:type="dxa"/>
                  <w:tcBorders>
                    <w:tl2br w:val="nil"/>
                    <w:tr2bl w:val="nil"/>
                  </w:tcBorders>
                  <w:vAlign w:val="center"/>
                </w:tcPr>
                <w:p>
                  <w:pPr>
                    <w:pStyle w:val="47"/>
                    <w:jc w:val="center"/>
                    <w:rPr>
                      <w:rFonts w:ascii="Times New Roman" w:hAnsi="Times New Roman" w:cs="Times New Roman"/>
                      <w:color w:val="auto"/>
                      <w:kern w:val="0"/>
                      <w:szCs w:val="21"/>
                      <w:u w:val="none"/>
                      <w:lang w:val="en-US"/>
                    </w:rPr>
                  </w:pPr>
                  <w:r>
                    <w:rPr>
                      <w:rFonts w:hint="eastAsia" w:ascii="Times New Roman" w:hAnsi="Times New Roman" w:cs="Times New Roman"/>
                      <w:color w:val="auto"/>
                      <w:kern w:val="0"/>
                      <w:szCs w:val="21"/>
                      <w:u w:val="none"/>
                      <w:lang w:val="en-US"/>
                    </w:rPr>
                    <w:t>北</w:t>
                  </w:r>
                </w:p>
              </w:tc>
              <w:tc>
                <w:tcPr>
                  <w:tcW w:w="1216" w:type="dxa"/>
                  <w:tcBorders>
                    <w:tl2br w:val="nil"/>
                    <w:tr2bl w:val="nil"/>
                  </w:tcBorders>
                  <w:vAlign w:val="center"/>
                </w:tcPr>
                <w:p>
                  <w:pPr>
                    <w:widowControl/>
                    <w:jc w:val="center"/>
                    <w:textAlignment w:val="center"/>
                    <w:rPr>
                      <w:rFonts w:hint="default" w:eastAsia="宋体"/>
                      <w:color w:val="auto"/>
                      <w:szCs w:val="21"/>
                      <w:u w:val="none"/>
                      <w:lang w:val="en-US" w:eastAsia="zh-CN"/>
                    </w:rPr>
                  </w:pPr>
                  <w:r>
                    <w:rPr>
                      <w:rFonts w:hint="eastAsia"/>
                      <w:color w:val="auto"/>
                      <w:szCs w:val="21"/>
                      <w:u w:val="none"/>
                      <w:lang w:val="en-US" w:eastAsia="zh-CN"/>
                    </w:rPr>
                    <w:t>158-180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60" w:type="dxa"/>
                  <w:tcBorders>
                    <w:tl2br w:val="nil"/>
                    <w:tr2bl w:val="nil"/>
                  </w:tcBorders>
                  <w:vAlign w:val="center"/>
                </w:tcPr>
                <w:p>
                  <w:pPr>
                    <w:jc w:val="center"/>
                    <w:rPr>
                      <w:rFonts w:hint="eastAsia"/>
                      <w:color w:val="auto"/>
                      <w:szCs w:val="21"/>
                      <w:u w:val="none"/>
                      <w:lang w:eastAsia="zh-CN"/>
                    </w:rPr>
                  </w:pPr>
                  <w:r>
                    <w:rPr>
                      <w:rFonts w:hint="eastAsia"/>
                      <w:color w:val="auto"/>
                      <w:szCs w:val="21"/>
                      <w:u w:val="none"/>
                      <w:lang w:eastAsia="zh-CN"/>
                    </w:rPr>
                    <w:t>白洋塘居民点</w:t>
                  </w:r>
                </w:p>
              </w:tc>
              <w:tc>
                <w:tcPr>
                  <w:tcW w:w="851" w:type="dxa"/>
                  <w:tcBorders>
                    <w:tl2br w:val="nil"/>
                    <w:tr2bl w:val="nil"/>
                  </w:tcBorders>
                  <w:vAlign w:val="center"/>
                </w:tcPr>
                <w:p>
                  <w:pPr>
                    <w:pStyle w:val="47"/>
                    <w:jc w:val="center"/>
                    <w:rPr>
                      <w:rFonts w:hint="default" w:ascii="Times New Roman" w:eastAsia="宋体"/>
                      <w:color w:val="auto"/>
                      <w:szCs w:val="21"/>
                      <w:u w:val="none"/>
                      <w:lang w:val="en-US" w:eastAsia="zh-CN"/>
                    </w:rPr>
                  </w:pPr>
                  <w:r>
                    <w:rPr>
                      <w:rFonts w:hint="eastAsia" w:ascii="Times New Roman"/>
                      <w:color w:val="auto"/>
                      <w:szCs w:val="21"/>
                      <w:u w:val="none"/>
                      <w:lang w:val="en-US" w:eastAsia="zh-CN"/>
                    </w:rPr>
                    <w:t>206</w:t>
                  </w:r>
                </w:p>
              </w:tc>
              <w:tc>
                <w:tcPr>
                  <w:tcW w:w="1168" w:type="dxa"/>
                  <w:tcBorders>
                    <w:tl2br w:val="nil"/>
                    <w:tr2bl w:val="nil"/>
                  </w:tcBorders>
                  <w:vAlign w:val="center"/>
                </w:tcPr>
                <w:p>
                  <w:pPr>
                    <w:pStyle w:val="47"/>
                    <w:jc w:val="center"/>
                    <w:rPr>
                      <w:rFonts w:hint="default" w:ascii="Times New Roman" w:eastAsia="宋体"/>
                      <w:color w:val="auto"/>
                      <w:szCs w:val="21"/>
                      <w:u w:val="none"/>
                      <w:lang w:val="en-US" w:eastAsia="zh-CN"/>
                    </w:rPr>
                  </w:pPr>
                  <w:r>
                    <w:rPr>
                      <w:rFonts w:hint="eastAsia" w:ascii="Times New Roman"/>
                      <w:color w:val="auto"/>
                      <w:szCs w:val="21"/>
                      <w:u w:val="none"/>
                      <w:lang w:val="en-US" w:eastAsia="zh-CN"/>
                    </w:rPr>
                    <w:t>328</w:t>
                  </w:r>
                </w:p>
              </w:tc>
              <w:tc>
                <w:tcPr>
                  <w:tcW w:w="989" w:type="dxa"/>
                  <w:tcBorders>
                    <w:tl2br w:val="nil"/>
                    <w:tr2bl w:val="nil"/>
                  </w:tcBorders>
                  <w:vAlign w:val="center"/>
                </w:tcPr>
                <w:p>
                  <w:pPr>
                    <w:pStyle w:val="21"/>
                    <w:ind w:left="0" w:leftChars="0"/>
                    <w:jc w:val="center"/>
                    <w:rPr>
                      <w:rFonts w:hint="eastAsia" w:ascii="Times New Roman" w:hAnsi="Times New Roman" w:eastAsia="宋体" w:cs="Times New Roman"/>
                      <w:color w:val="auto"/>
                      <w:kern w:val="2"/>
                      <w:sz w:val="21"/>
                      <w:szCs w:val="24"/>
                      <w:u w:val="none"/>
                      <w:lang w:val="en-US" w:eastAsia="zh-CN" w:bidi="ar-SA"/>
                    </w:rPr>
                  </w:pPr>
                  <w:r>
                    <w:rPr>
                      <w:rFonts w:hint="eastAsia"/>
                      <w:color w:val="auto"/>
                      <w:u w:val="none"/>
                    </w:rPr>
                    <w:t>居民</w:t>
                  </w:r>
                </w:p>
              </w:tc>
              <w:tc>
                <w:tcPr>
                  <w:tcW w:w="1574" w:type="dxa"/>
                  <w:tcBorders>
                    <w:tl2br w:val="nil"/>
                    <w:tr2bl w:val="nil"/>
                  </w:tcBorders>
                  <w:vAlign w:val="center"/>
                </w:tcPr>
                <w:p>
                  <w:pPr>
                    <w:pStyle w:val="21"/>
                    <w:ind w:left="0" w:leftChars="0"/>
                    <w:jc w:val="center"/>
                    <w:rPr>
                      <w:rFonts w:ascii="Times New Roman" w:hAnsi="Times New Roman" w:eastAsia="宋体" w:cs="Times New Roman"/>
                      <w:color w:val="auto"/>
                      <w:kern w:val="2"/>
                      <w:sz w:val="21"/>
                      <w:szCs w:val="24"/>
                      <w:u w:val="none"/>
                      <w:lang w:val="en-US" w:eastAsia="zh-CN" w:bidi="ar-SA"/>
                    </w:rPr>
                  </w:pPr>
                  <w:r>
                    <w:rPr>
                      <w:color w:val="auto"/>
                      <w:u w:val="none"/>
                    </w:rPr>
                    <w:t>人群（</w:t>
                  </w:r>
                  <w:r>
                    <w:rPr>
                      <w:rFonts w:hint="eastAsia"/>
                      <w:color w:val="auto"/>
                      <w:u w:val="none"/>
                    </w:rPr>
                    <w:t>6</w:t>
                  </w:r>
                  <w:r>
                    <w:rPr>
                      <w:color w:val="auto"/>
                      <w:u w:val="none"/>
                    </w:rPr>
                    <w:t>人）</w:t>
                  </w:r>
                </w:p>
              </w:tc>
              <w:tc>
                <w:tcPr>
                  <w:tcW w:w="1036" w:type="dxa"/>
                  <w:tcBorders>
                    <w:tl2br w:val="nil"/>
                    <w:tr2bl w:val="nil"/>
                  </w:tcBorders>
                  <w:vAlign w:val="center"/>
                </w:tcPr>
                <w:p>
                  <w:pPr>
                    <w:jc w:val="center"/>
                    <w:rPr>
                      <w:rFonts w:ascii="Times New Roman" w:hAnsi="Times New Roman" w:eastAsia="宋体" w:cs="Times New Roman"/>
                      <w:color w:val="auto"/>
                      <w:kern w:val="2"/>
                      <w:sz w:val="21"/>
                      <w:u w:val="none"/>
                      <w:lang w:val="en-US" w:eastAsia="zh-CN" w:bidi="ar-SA"/>
                    </w:rPr>
                  </w:pPr>
                  <w:r>
                    <w:rPr>
                      <w:color w:val="auto"/>
                      <w:u w:val="none"/>
                    </w:rPr>
                    <w:t>二类区</w:t>
                  </w:r>
                </w:p>
              </w:tc>
              <w:tc>
                <w:tcPr>
                  <w:tcW w:w="956" w:type="dxa"/>
                  <w:tcBorders>
                    <w:tl2br w:val="nil"/>
                    <w:tr2bl w:val="nil"/>
                  </w:tcBorders>
                  <w:vAlign w:val="center"/>
                </w:tcPr>
                <w:p>
                  <w:pPr>
                    <w:pStyle w:val="47"/>
                    <w:jc w:val="center"/>
                    <w:rPr>
                      <w:rFonts w:hint="eastAsia" w:ascii="Times New Roman" w:hAnsi="Times New Roman" w:eastAsia="宋体" w:cs="Times New Roman"/>
                      <w:color w:val="auto"/>
                      <w:kern w:val="0"/>
                      <w:szCs w:val="21"/>
                      <w:u w:val="none"/>
                      <w:lang w:val="en-US" w:eastAsia="zh-CN"/>
                    </w:rPr>
                  </w:pPr>
                  <w:r>
                    <w:rPr>
                      <w:rFonts w:hint="eastAsia" w:ascii="Times New Roman" w:hAnsi="Times New Roman" w:cs="Times New Roman"/>
                      <w:color w:val="auto"/>
                      <w:kern w:val="0"/>
                      <w:szCs w:val="21"/>
                      <w:u w:val="none"/>
                      <w:lang w:val="en-US" w:eastAsia="zh-CN"/>
                    </w:rPr>
                    <w:t>东北</w:t>
                  </w:r>
                </w:p>
              </w:tc>
              <w:tc>
                <w:tcPr>
                  <w:tcW w:w="1216" w:type="dxa"/>
                  <w:tcBorders>
                    <w:tl2br w:val="nil"/>
                    <w:tr2bl w:val="nil"/>
                  </w:tcBorders>
                  <w:vAlign w:val="center"/>
                </w:tcPr>
                <w:p>
                  <w:pPr>
                    <w:widowControl/>
                    <w:jc w:val="center"/>
                    <w:textAlignment w:val="center"/>
                    <w:rPr>
                      <w:rFonts w:hint="default" w:eastAsia="宋体"/>
                      <w:color w:val="auto"/>
                      <w:szCs w:val="21"/>
                      <w:u w:val="none"/>
                      <w:lang w:val="en-US" w:eastAsia="zh-CN"/>
                    </w:rPr>
                  </w:pPr>
                  <w:r>
                    <w:rPr>
                      <w:rFonts w:hint="eastAsia"/>
                      <w:color w:val="auto"/>
                      <w:szCs w:val="21"/>
                      <w:u w:val="none"/>
                      <w:lang w:val="en-US" w:eastAsia="zh-CN"/>
                    </w:rPr>
                    <w:t>282-470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60" w:type="dxa"/>
                  <w:tcBorders>
                    <w:tl2br w:val="nil"/>
                    <w:tr2bl w:val="nil"/>
                  </w:tcBorders>
                  <w:vAlign w:val="center"/>
                </w:tcPr>
                <w:p>
                  <w:pPr>
                    <w:jc w:val="center"/>
                    <w:rPr>
                      <w:rFonts w:hint="eastAsia"/>
                      <w:color w:val="auto"/>
                      <w:szCs w:val="21"/>
                      <w:u w:val="none"/>
                      <w:lang w:eastAsia="zh-CN"/>
                    </w:rPr>
                  </w:pPr>
                  <w:r>
                    <w:rPr>
                      <w:rFonts w:hint="eastAsia"/>
                      <w:color w:val="auto"/>
                      <w:szCs w:val="21"/>
                      <w:u w:val="none"/>
                      <w:lang w:eastAsia="zh-CN"/>
                    </w:rPr>
                    <w:t>肥马石居民点</w:t>
                  </w:r>
                </w:p>
              </w:tc>
              <w:tc>
                <w:tcPr>
                  <w:tcW w:w="851" w:type="dxa"/>
                  <w:tcBorders>
                    <w:tl2br w:val="nil"/>
                    <w:tr2bl w:val="nil"/>
                  </w:tcBorders>
                  <w:vAlign w:val="center"/>
                </w:tcPr>
                <w:p>
                  <w:pPr>
                    <w:pStyle w:val="47"/>
                    <w:jc w:val="center"/>
                    <w:rPr>
                      <w:rFonts w:hint="eastAsia" w:ascii="Times New Roman" w:eastAsia="宋体"/>
                      <w:color w:val="auto"/>
                      <w:szCs w:val="21"/>
                      <w:u w:val="none"/>
                      <w:lang w:val="en-US" w:eastAsia="zh-CN"/>
                    </w:rPr>
                  </w:pPr>
                  <w:r>
                    <w:rPr>
                      <w:rFonts w:hint="eastAsia" w:ascii="Times New Roman"/>
                      <w:color w:val="auto"/>
                      <w:szCs w:val="21"/>
                      <w:u w:val="none"/>
                      <w:lang w:val="en-US" w:eastAsia="zh-CN"/>
                    </w:rPr>
                    <w:t>0</w:t>
                  </w:r>
                </w:p>
              </w:tc>
              <w:tc>
                <w:tcPr>
                  <w:tcW w:w="1168" w:type="dxa"/>
                  <w:tcBorders>
                    <w:tl2br w:val="nil"/>
                    <w:tr2bl w:val="nil"/>
                  </w:tcBorders>
                  <w:vAlign w:val="center"/>
                </w:tcPr>
                <w:p>
                  <w:pPr>
                    <w:pStyle w:val="47"/>
                    <w:jc w:val="center"/>
                    <w:rPr>
                      <w:rFonts w:hint="default" w:ascii="Times New Roman" w:eastAsia="宋体"/>
                      <w:color w:val="auto"/>
                      <w:szCs w:val="21"/>
                      <w:u w:val="none"/>
                      <w:lang w:val="en-US" w:eastAsia="zh-CN"/>
                    </w:rPr>
                  </w:pPr>
                  <w:r>
                    <w:rPr>
                      <w:rFonts w:hint="eastAsia" w:ascii="Times New Roman"/>
                      <w:color w:val="auto"/>
                      <w:szCs w:val="21"/>
                      <w:u w:val="none"/>
                      <w:lang w:val="en-US" w:eastAsia="zh-CN"/>
                    </w:rPr>
                    <w:t>528</w:t>
                  </w:r>
                </w:p>
              </w:tc>
              <w:tc>
                <w:tcPr>
                  <w:tcW w:w="989" w:type="dxa"/>
                  <w:tcBorders>
                    <w:tl2br w:val="nil"/>
                    <w:tr2bl w:val="nil"/>
                  </w:tcBorders>
                  <w:vAlign w:val="center"/>
                </w:tcPr>
                <w:p>
                  <w:pPr>
                    <w:pStyle w:val="21"/>
                    <w:ind w:left="0" w:leftChars="0"/>
                    <w:jc w:val="center"/>
                    <w:rPr>
                      <w:rFonts w:hint="eastAsia" w:ascii="Times New Roman" w:hAnsi="Times New Roman" w:eastAsia="宋体" w:cs="Times New Roman"/>
                      <w:color w:val="auto"/>
                      <w:kern w:val="2"/>
                      <w:sz w:val="21"/>
                      <w:szCs w:val="24"/>
                      <w:u w:val="none"/>
                      <w:lang w:val="en-US" w:eastAsia="zh-CN" w:bidi="ar-SA"/>
                    </w:rPr>
                  </w:pPr>
                  <w:r>
                    <w:rPr>
                      <w:rFonts w:hint="eastAsia"/>
                      <w:color w:val="auto"/>
                      <w:u w:val="none"/>
                    </w:rPr>
                    <w:t>居民</w:t>
                  </w:r>
                </w:p>
              </w:tc>
              <w:tc>
                <w:tcPr>
                  <w:tcW w:w="1574" w:type="dxa"/>
                  <w:tcBorders>
                    <w:tl2br w:val="nil"/>
                    <w:tr2bl w:val="nil"/>
                  </w:tcBorders>
                  <w:vAlign w:val="center"/>
                </w:tcPr>
                <w:p>
                  <w:pPr>
                    <w:pStyle w:val="21"/>
                    <w:ind w:left="0" w:leftChars="0"/>
                    <w:jc w:val="center"/>
                    <w:rPr>
                      <w:rFonts w:ascii="Times New Roman" w:hAnsi="Times New Roman" w:eastAsia="宋体" w:cs="Times New Roman"/>
                      <w:color w:val="auto"/>
                      <w:kern w:val="2"/>
                      <w:sz w:val="21"/>
                      <w:szCs w:val="24"/>
                      <w:u w:val="none"/>
                      <w:lang w:val="en-US" w:eastAsia="zh-CN" w:bidi="ar-SA"/>
                    </w:rPr>
                  </w:pPr>
                  <w:r>
                    <w:rPr>
                      <w:color w:val="auto"/>
                      <w:u w:val="none"/>
                    </w:rPr>
                    <w:t>人群（</w:t>
                  </w:r>
                  <w:r>
                    <w:rPr>
                      <w:rFonts w:hint="eastAsia"/>
                      <w:color w:val="auto"/>
                      <w:u w:val="none"/>
                    </w:rPr>
                    <w:t>250</w:t>
                  </w:r>
                  <w:r>
                    <w:rPr>
                      <w:color w:val="auto"/>
                      <w:u w:val="none"/>
                    </w:rPr>
                    <w:t>人）</w:t>
                  </w:r>
                </w:p>
              </w:tc>
              <w:tc>
                <w:tcPr>
                  <w:tcW w:w="1036" w:type="dxa"/>
                  <w:tcBorders>
                    <w:tl2br w:val="nil"/>
                    <w:tr2bl w:val="nil"/>
                  </w:tcBorders>
                  <w:vAlign w:val="center"/>
                </w:tcPr>
                <w:p>
                  <w:pPr>
                    <w:jc w:val="center"/>
                    <w:rPr>
                      <w:rFonts w:ascii="Times New Roman" w:hAnsi="Times New Roman" w:eastAsia="宋体" w:cs="Times New Roman"/>
                      <w:color w:val="auto"/>
                      <w:kern w:val="2"/>
                      <w:sz w:val="21"/>
                      <w:u w:val="none"/>
                      <w:lang w:val="en-US" w:eastAsia="zh-CN" w:bidi="ar-SA"/>
                    </w:rPr>
                  </w:pPr>
                  <w:r>
                    <w:rPr>
                      <w:color w:val="auto"/>
                      <w:u w:val="none"/>
                    </w:rPr>
                    <w:t>二类区</w:t>
                  </w:r>
                </w:p>
              </w:tc>
              <w:tc>
                <w:tcPr>
                  <w:tcW w:w="956" w:type="dxa"/>
                  <w:tcBorders>
                    <w:tl2br w:val="nil"/>
                    <w:tr2bl w:val="nil"/>
                  </w:tcBorders>
                  <w:vAlign w:val="center"/>
                </w:tcPr>
                <w:p>
                  <w:pPr>
                    <w:pStyle w:val="47"/>
                    <w:jc w:val="center"/>
                    <w:rPr>
                      <w:rFonts w:hint="eastAsia" w:ascii="Times New Roman" w:hAnsi="Times New Roman" w:eastAsia="宋体" w:cs="Times New Roman"/>
                      <w:color w:val="auto"/>
                      <w:kern w:val="0"/>
                      <w:szCs w:val="21"/>
                      <w:u w:val="none"/>
                      <w:lang w:val="en-US" w:eastAsia="zh-CN"/>
                    </w:rPr>
                  </w:pPr>
                  <w:r>
                    <w:rPr>
                      <w:rFonts w:hint="eastAsia" w:ascii="Times New Roman" w:hAnsi="Times New Roman" w:cs="Times New Roman"/>
                      <w:color w:val="auto"/>
                      <w:kern w:val="0"/>
                      <w:szCs w:val="21"/>
                      <w:u w:val="none"/>
                      <w:lang w:val="en-US" w:eastAsia="zh-CN"/>
                    </w:rPr>
                    <w:t>北</w:t>
                  </w:r>
                </w:p>
              </w:tc>
              <w:tc>
                <w:tcPr>
                  <w:tcW w:w="1216" w:type="dxa"/>
                  <w:tcBorders>
                    <w:tl2br w:val="nil"/>
                    <w:tr2bl w:val="nil"/>
                  </w:tcBorders>
                  <w:vAlign w:val="center"/>
                </w:tcPr>
                <w:p>
                  <w:pPr>
                    <w:widowControl/>
                    <w:jc w:val="center"/>
                    <w:textAlignment w:val="center"/>
                    <w:rPr>
                      <w:rFonts w:hint="default" w:eastAsia="宋体"/>
                      <w:color w:val="auto"/>
                      <w:szCs w:val="21"/>
                      <w:u w:val="none"/>
                      <w:lang w:val="en-US" w:eastAsia="zh-CN"/>
                    </w:rPr>
                  </w:pPr>
                  <w:r>
                    <w:rPr>
                      <w:rFonts w:hint="eastAsia"/>
                      <w:color w:val="auto"/>
                      <w:szCs w:val="21"/>
                      <w:u w:val="none"/>
                      <w:lang w:val="en-US" w:eastAsia="zh-CN"/>
                    </w:rPr>
                    <w:t>528-800</w:t>
                  </w:r>
                </w:p>
              </w:tc>
            </w:tr>
          </w:tbl>
          <w:p>
            <w:pPr>
              <w:adjustRightInd w:val="0"/>
              <w:snapToGrid w:val="0"/>
              <w:spacing w:beforeLines="50"/>
              <w:jc w:val="center"/>
              <w:rPr>
                <w:b/>
                <w:color w:val="auto"/>
                <w:szCs w:val="21"/>
                <w:u w:val="none"/>
              </w:rPr>
            </w:pPr>
            <w:r>
              <w:rPr>
                <w:b/>
                <w:color w:val="auto"/>
                <w:szCs w:val="21"/>
                <w:u w:val="none"/>
              </w:rPr>
              <w:t>表3</w:t>
            </w:r>
            <w:r>
              <w:rPr>
                <w:rFonts w:hint="eastAsia"/>
                <w:b/>
                <w:color w:val="auto"/>
                <w:szCs w:val="21"/>
                <w:u w:val="none"/>
              </w:rPr>
              <w:t>-1</w:t>
            </w:r>
            <w:r>
              <w:rPr>
                <w:rFonts w:hint="eastAsia"/>
                <w:b/>
                <w:color w:val="auto"/>
                <w:szCs w:val="21"/>
                <w:u w:val="none"/>
                <w:lang w:val="en-US" w:eastAsia="zh-CN"/>
              </w:rPr>
              <w:t>2</w:t>
            </w:r>
            <w:r>
              <w:rPr>
                <w:b/>
                <w:color w:val="auto"/>
                <w:szCs w:val="21"/>
                <w:u w:val="none"/>
              </w:rPr>
              <w:t xml:space="preserve">  </w:t>
            </w:r>
            <w:r>
              <w:rPr>
                <w:rFonts w:hint="eastAsia"/>
                <w:b/>
                <w:color w:val="auto"/>
                <w:szCs w:val="21"/>
                <w:u w:val="none"/>
              </w:rPr>
              <w:t>厂</w:t>
            </w:r>
            <w:r>
              <w:rPr>
                <w:rFonts w:hint="eastAsia"/>
                <w:b/>
                <w:color w:val="auto"/>
                <w:szCs w:val="21"/>
                <w:u w:val="none"/>
                <w:lang w:eastAsia="zh-CN"/>
              </w:rPr>
              <w:t>区周边</w:t>
            </w:r>
            <w:r>
              <w:rPr>
                <w:rFonts w:hint="eastAsia"/>
                <w:b/>
                <w:color w:val="auto"/>
                <w:szCs w:val="21"/>
                <w:u w:val="none"/>
              </w:rPr>
              <w:t>其他环境要素环境</w:t>
            </w:r>
            <w:r>
              <w:rPr>
                <w:b/>
                <w:color w:val="auto"/>
                <w:szCs w:val="21"/>
                <w:u w:val="none"/>
              </w:rPr>
              <w:t>保护目标</w:t>
            </w:r>
          </w:p>
          <w:tbl>
            <w:tblPr>
              <w:tblStyle w:val="27"/>
              <w:tblW w:w="91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500"/>
              <w:gridCol w:w="1560"/>
              <w:gridCol w:w="2240"/>
              <w:gridCol w:w="2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80" w:type="dxa"/>
                  <w:tcBorders>
                    <w:tl2br w:val="nil"/>
                    <w:tr2bl w:val="nil"/>
                  </w:tcBorders>
                  <w:vAlign w:val="center"/>
                </w:tcPr>
                <w:p>
                  <w:pPr>
                    <w:pStyle w:val="59"/>
                    <w:snapToGrid w:val="0"/>
                    <w:ind w:firstLine="0" w:firstLineChars="0"/>
                    <w:jc w:val="center"/>
                    <w:rPr>
                      <w:rFonts w:ascii="Times New Roman" w:cs="Times New Roman"/>
                      <w:color w:val="auto"/>
                      <w:szCs w:val="21"/>
                      <w:u w:val="none"/>
                    </w:rPr>
                  </w:pPr>
                  <w:r>
                    <w:rPr>
                      <w:rFonts w:ascii="Times New Roman" w:cs="Times New Roman"/>
                      <w:color w:val="auto"/>
                      <w:szCs w:val="21"/>
                      <w:u w:val="none"/>
                    </w:rPr>
                    <w:t>环境</w:t>
                  </w:r>
                </w:p>
                <w:p>
                  <w:pPr>
                    <w:pStyle w:val="59"/>
                    <w:snapToGrid w:val="0"/>
                    <w:ind w:firstLine="0" w:firstLineChars="0"/>
                    <w:jc w:val="center"/>
                    <w:rPr>
                      <w:rFonts w:ascii="Times New Roman" w:cs="Times New Roman"/>
                      <w:color w:val="auto"/>
                      <w:u w:val="none"/>
                    </w:rPr>
                  </w:pPr>
                  <w:r>
                    <w:rPr>
                      <w:rFonts w:ascii="Times New Roman" w:cs="Times New Roman"/>
                      <w:color w:val="auto"/>
                      <w:szCs w:val="21"/>
                      <w:u w:val="none"/>
                    </w:rPr>
                    <w:t>要素</w:t>
                  </w:r>
                </w:p>
              </w:tc>
              <w:tc>
                <w:tcPr>
                  <w:tcW w:w="1500" w:type="dxa"/>
                  <w:tcBorders>
                    <w:tl2br w:val="nil"/>
                    <w:tr2bl w:val="nil"/>
                  </w:tcBorders>
                  <w:vAlign w:val="center"/>
                </w:tcPr>
                <w:p>
                  <w:pPr>
                    <w:pStyle w:val="59"/>
                    <w:snapToGrid w:val="0"/>
                    <w:ind w:firstLine="0" w:firstLineChars="0"/>
                    <w:jc w:val="center"/>
                    <w:rPr>
                      <w:rFonts w:ascii="Times New Roman" w:cs="Times New Roman"/>
                      <w:color w:val="auto"/>
                      <w:u w:val="none"/>
                    </w:rPr>
                  </w:pPr>
                  <w:r>
                    <w:rPr>
                      <w:rFonts w:ascii="Times New Roman" w:cs="Times New Roman"/>
                      <w:color w:val="auto"/>
                      <w:szCs w:val="21"/>
                      <w:u w:val="none"/>
                    </w:rPr>
                    <w:t>环境保护目标</w:t>
                  </w:r>
                </w:p>
              </w:tc>
              <w:tc>
                <w:tcPr>
                  <w:tcW w:w="1560" w:type="dxa"/>
                  <w:tcBorders>
                    <w:tl2br w:val="nil"/>
                    <w:tr2bl w:val="nil"/>
                  </w:tcBorders>
                  <w:vAlign w:val="center"/>
                </w:tcPr>
                <w:p>
                  <w:pPr>
                    <w:pStyle w:val="59"/>
                    <w:snapToGrid w:val="0"/>
                    <w:ind w:firstLine="0" w:firstLineChars="0"/>
                    <w:jc w:val="center"/>
                    <w:rPr>
                      <w:rFonts w:ascii="Times New Roman" w:cs="Times New Roman"/>
                      <w:color w:val="auto"/>
                      <w:u w:val="none"/>
                    </w:rPr>
                  </w:pPr>
                  <w:r>
                    <w:rPr>
                      <w:rFonts w:ascii="Times New Roman" w:cs="Times New Roman"/>
                      <w:color w:val="auto"/>
                      <w:szCs w:val="21"/>
                      <w:u w:val="none"/>
                    </w:rPr>
                    <w:t>功能及规模</w:t>
                  </w:r>
                </w:p>
              </w:tc>
              <w:tc>
                <w:tcPr>
                  <w:tcW w:w="2240" w:type="dxa"/>
                  <w:tcBorders>
                    <w:tl2br w:val="nil"/>
                    <w:tr2bl w:val="nil"/>
                  </w:tcBorders>
                  <w:vAlign w:val="center"/>
                </w:tcPr>
                <w:p>
                  <w:pPr>
                    <w:pStyle w:val="59"/>
                    <w:snapToGrid w:val="0"/>
                    <w:ind w:firstLine="0" w:firstLineChars="0"/>
                    <w:jc w:val="center"/>
                    <w:rPr>
                      <w:rFonts w:ascii="Times New Roman" w:cs="Times New Roman"/>
                      <w:color w:val="auto"/>
                      <w:u w:val="none"/>
                    </w:rPr>
                  </w:pPr>
                  <w:r>
                    <w:rPr>
                      <w:rFonts w:ascii="Times New Roman" w:cs="Times New Roman"/>
                      <w:color w:val="auto"/>
                      <w:szCs w:val="21"/>
                      <w:u w:val="none"/>
                    </w:rPr>
                    <w:t>相对位置及最近距离</w:t>
                  </w:r>
                </w:p>
              </w:tc>
              <w:tc>
                <w:tcPr>
                  <w:tcW w:w="2780" w:type="dxa"/>
                  <w:tcBorders>
                    <w:tl2br w:val="nil"/>
                    <w:tr2bl w:val="nil"/>
                  </w:tcBorders>
                  <w:vAlign w:val="center"/>
                </w:tcPr>
                <w:p>
                  <w:pPr>
                    <w:pStyle w:val="59"/>
                    <w:snapToGrid w:val="0"/>
                    <w:ind w:firstLine="0" w:firstLineChars="0"/>
                    <w:jc w:val="center"/>
                    <w:rPr>
                      <w:rFonts w:ascii="Times New Roman" w:cs="Times New Roman"/>
                      <w:color w:val="auto"/>
                      <w:u w:val="none"/>
                    </w:rPr>
                  </w:pPr>
                  <w:r>
                    <w:rPr>
                      <w:rFonts w:ascii="Times New Roman" w:cs="Times New Roman"/>
                      <w:color w:val="auto"/>
                      <w:szCs w:val="21"/>
                      <w:u w:val="none"/>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80" w:type="dxa"/>
                  <w:tcBorders>
                    <w:tl2br w:val="nil"/>
                    <w:tr2bl w:val="nil"/>
                  </w:tcBorders>
                  <w:vAlign w:val="center"/>
                </w:tcPr>
                <w:p>
                  <w:pPr>
                    <w:pStyle w:val="21"/>
                    <w:ind w:left="0" w:leftChars="0"/>
                    <w:jc w:val="center"/>
                    <w:rPr>
                      <w:color w:val="auto"/>
                      <w:szCs w:val="21"/>
                      <w:u w:val="none"/>
                    </w:rPr>
                  </w:pPr>
                  <w:r>
                    <w:rPr>
                      <w:color w:val="auto"/>
                      <w:szCs w:val="21"/>
                      <w:u w:val="none"/>
                    </w:rPr>
                    <w:t>声环境</w:t>
                  </w:r>
                </w:p>
              </w:tc>
              <w:tc>
                <w:tcPr>
                  <w:tcW w:w="1500" w:type="dxa"/>
                  <w:tcBorders>
                    <w:tl2br w:val="nil"/>
                    <w:tr2bl w:val="nil"/>
                  </w:tcBorders>
                  <w:vAlign w:val="center"/>
                </w:tcPr>
                <w:p>
                  <w:pPr>
                    <w:pStyle w:val="58"/>
                    <w:rPr>
                      <w:color w:val="auto"/>
                      <w:szCs w:val="21"/>
                      <w:u w:val="none"/>
                    </w:rPr>
                  </w:pPr>
                  <w:r>
                    <w:rPr>
                      <w:rFonts w:hint="eastAsia"/>
                      <w:color w:val="auto"/>
                      <w:szCs w:val="21"/>
                      <w:u w:val="none"/>
                      <w:lang w:eastAsia="zh-CN"/>
                    </w:rPr>
                    <w:t>刘家崩</w:t>
                  </w:r>
                  <w:r>
                    <w:rPr>
                      <w:rFonts w:hint="eastAsia"/>
                      <w:color w:val="auto"/>
                      <w:szCs w:val="21"/>
                      <w:u w:val="none"/>
                    </w:rPr>
                    <w:t>居民点</w:t>
                  </w:r>
                </w:p>
              </w:tc>
              <w:tc>
                <w:tcPr>
                  <w:tcW w:w="1560" w:type="dxa"/>
                  <w:tcBorders>
                    <w:tl2br w:val="nil"/>
                    <w:tr2bl w:val="nil"/>
                  </w:tcBorders>
                  <w:vAlign w:val="center"/>
                </w:tcPr>
                <w:p>
                  <w:pPr>
                    <w:pStyle w:val="21"/>
                    <w:ind w:left="0" w:leftChars="0"/>
                    <w:jc w:val="center"/>
                    <w:rPr>
                      <w:color w:val="auto"/>
                      <w:szCs w:val="21"/>
                      <w:u w:val="none"/>
                    </w:rPr>
                  </w:pPr>
                  <w:r>
                    <w:rPr>
                      <w:rFonts w:hint="eastAsia"/>
                      <w:color w:val="auto"/>
                      <w:szCs w:val="21"/>
                      <w:u w:val="none"/>
                      <w:lang w:val="en-US" w:eastAsia="zh-CN"/>
                    </w:rPr>
                    <w:t>8</w:t>
                  </w:r>
                  <w:r>
                    <w:rPr>
                      <w:color w:val="auto"/>
                      <w:szCs w:val="21"/>
                      <w:u w:val="none"/>
                    </w:rPr>
                    <w:t>人</w:t>
                  </w:r>
                </w:p>
              </w:tc>
              <w:tc>
                <w:tcPr>
                  <w:tcW w:w="2240" w:type="dxa"/>
                  <w:tcBorders>
                    <w:tl2br w:val="nil"/>
                    <w:tr2bl w:val="nil"/>
                  </w:tcBorders>
                  <w:vAlign w:val="center"/>
                </w:tcPr>
                <w:p>
                  <w:pPr>
                    <w:pStyle w:val="47"/>
                    <w:jc w:val="center"/>
                    <w:rPr>
                      <w:rFonts w:ascii="Times New Roman" w:hAnsi="Times New Roman" w:cs="Times New Roman"/>
                      <w:color w:val="auto"/>
                      <w:szCs w:val="21"/>
                      <w:u w:val="none"/>
                      <w:lang w:val="en-US"/>
                    </w:rPr>
                  </w:pPr>
                  <w:r>
                    <w:rPr>
                      <w:rFonts w:hint="eastAsia" w:ascii="Times New Roman" w:hAnsi="Times New Roman" w:cs="Times New Roman"/>
                      <w:color w:val="auto"/>
                      <w:u w:val="none"/>
                      <w:lang w:val="en-US" w:eastAsia="zh-CN"/>
                    </w:rPr>
                    <w:t>N158</w:t>
                  </w:r>
                  <w:r>
                    <w:rPr>
                      <w:rFonts w:hint="eastAsia" w:ascii="Times New Roman" w:hAnsi="Times New Roman" w:cs="Times New Roman"/>
                      <w:color w:val="auto"/>
                      <w:u w:val="none"/>
                      <w:lang w:val="en-US"/>
                    </w:rPr>
                    <w:t>m</w:t>
                  </w:r>
                </w:p>
              </w:tc>
              <w:tc>
                <w:tcPr>
                  <w:tcW w:w="2780" w:type="dxa"/>
                  <w:tcBorders>
                    <w:tl2br w:val="nil"/>
                    <w:tr2bl w:val="nil"/>
                  </w:tcBorders>
                  <w:vAlign w:val="center"/>
                </w:tcPr>
                <w:p>
                  <w:pPr>
                    <w:pStyle w:val="21"/>
                    <w:ind w:left="0" w:leftChars="0"/>
                    <w:jc w:val="center"/>
                    <w:rPr>
                      <w:color w:val="auto"/>
                      <w:szCs w:val="21"/>
                      <w:u w:val="none"/>
                    </w:rPr>
                  </w:pPr>
                  <w:r>
                    <w:rPr>
                      <w:color w:val="auto"/>
                      <w:szCs w:val="21"/>
                      <w:u w:val="none"/>
                    </w:rPr>
                    <w:t>《声环境质量标准》GB3096-2008的</w:t>
                  </w:r>
                  <w:r>
                    <w:rPr>
                      <w:rFonts w:hint="eastAsia"/>
                      <w:color w:val="auto"/>
                      <w:szCs w:val="21"/>
                      <w:u w:val="none"/>
                      <w:lang w:val="en-US" w:eastAsia="zh-CN"/>
                    </w:rPr>
                    <w:t>2</w:t>
                  </w:r>
                  <w:r>
                    <w:rPr>
                      <w:color w:val="auto"/>
                      <w:szCs w:val="21"/>
                      <w:u w:val="none"/>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80" w:type="dxa"/>
                  <w:vMerge w:val="restart"/>
                  <w:tcBorders>
                    <w:tl2br w:val="nil"/>
                    <w:tr2bl w:val="nil"/>
                  </w:tcBorders>
                  <w:vAlign w:val="center"/>
                </w:tcPr>
                <w:p>
                  <w:pPr>
                    <w:pStyle w:val="21"/>
                    <w:ind w:left="0" w:leftChars="0"/>
                    <w:jc w:val="center"/>
                    <w:rPr>
                      <w:color w:val="auto"/>
                      <w:szCs w:val="21"/>
                      <w:u w:val="none"/>
                    </w:rPr>
                  </w:pPr>
                  <w:r>
                    <w:rPr>
                      <w:rFonts w:hint="eastAsia"/>
                      <w:color w:val="auto"/>
                      <w:szCs w:val="21"/>
                      <w:u w:val="none"/>
                    </w:rPr>
                    <w:t>地表水</w:t>
                  </w:r>
                </w:p>
              </w:tc>
              <w:tc>
                <w:tcPr>
                  <w:tcW w:w="1500" w:type="dxa"/>
                  <w:vMerge w:val="restart"/>
                  <w:tcBorders>
                    <w:tl2br w:val="nil"/>
                    <w:tr2bl w:val="nil"/>
                  </w:tcBorders>
                  <w:vAlign w:val="center"/>
                </w:tcPr>
                <w:p>
                  <w:pPr>
                    <w:jc w:val="center"/>
                    <w:rPr>
                      <w:rFonts w:hint="eastAsia" w:eastAsia="宋体"/>
                      <w:color w:val="auto"/>
                      <w:szCs w:val="21"/>
                      <w:u w:val="none"/>
                      <w:lang w:eastAsia="zh-CN"/>
                    </w:rPr>
                  </w:pPr>
                  <w:r>
                    <w:rPr>
                      <w:rFonts w:hint="eastAsia"/>
                      <w:color w:val="auto"/>
                      <w:szCs w:val="21"/>
                      <w:u w:val="none"/>
                      <w:lang w:eastAsia="zh-CN"/>
                    </w:rPr>
                    <w:t>邵水河</w:t>
                  </w:r>
                </w:p>
              </w:tc>
              <w:tc>
                <w:tcPr>
                  <w:tcW w:w="1560" w:type="dxa"/>
                  <w:vMerge w:val="restart"/>
                  <w:tcBorders>
                    <w:tl2br w:val="nil"/>
                    <w:tr2bl w:val="nil"/>
                  </w:tcBorders>
                  <w:vAlign w:val="center"/>
                </w:tcPr>
                <w:p>
                  <w:pPr>
                    <w:pStyle w:val="21"/>
                    <w:ind w:left="0" w:leftChars="0"/>
                    <w:jc w:val="center"/>
                    <w:rPr>
                      <w:color w:val="auto"/>
                      <w:szCs w:val="21"/>
                      <w:u w:val="none"/>
                    </w:rPr>
                  </w:pPr>
                  <w:r>
                    <w:rPr>
                      <w:rFonts w:hint="eastAsia"/>
                      <w:color w:val="auto"/>
                      <w:szCs w:val="21"/>
                      <w:u w:val="none"/>
                    </w:rPr>
                    <w:t>中</w:t>
                  </w:r>
                  <w:r>
                    <w:rPr>
                      <w:color w:val="auto"/>
                      <w:szCs w:val="21"/>
                      <w:u w:val="none"/>
                    </w:rPr>
                    <w:t>型河流</w:t>
                  </w:r>
                </w:p>
              </w:tc>
              <w:tc>
                <w:tcPr>
                  <w:tcW w:w="2240" w:type="dxa"/>
                  <w:tcBorders>
                    <w:tl2br w:val="nil"/>
                    <w:tr2bl w:val="nil"/>
                  </w:tcBorders>
                  <w:vAlign w:val="center"/>
                </w:tcPr>
                <w:p>
                  <w:pPr>
                    <w:jc w:val="center"/>
                    <w:rPr>
                      <w:color w:val="auto"/>
                      <w:szCs w:val="21"/>
                      <w:u w:val="none"/>
                    </w:rPr>
                  </w:pPr>
                  <w:r>
                    <w:rPr>
                      <w:rFonts w:hint="eastAsia"/>
                      <w:color w:val="auto"/>
                      <w:u w:val="none"/>
                      <w:lang w:val="en-US" w:eastAsia="zh-CN"/>
                    </w:rPr>
                    <w:t>S5</w:t>
                  </w:r>
                  <w:r>
                    <w:rPr>
                      <w:rFonts w:hint="eastAsia"/>
                      <w:color w:val="auto"/>
                      <w:u w:val="none"/>
                    </w:rPr>
                    <w:t>0m</w:t>
                  </w:r>
                </w:p>
              </w:tc>
              <w:tc>
                <w:tcPr>
                  <w:tcW w:w="2780" w:type="dxa"/>
                  <w:vMerge w:val="restart"/>
                  <w:tcBorders>
                    <w:tl2br w:val="nil"/>
                    <w:tr2bl w:val="nil"/>
                  </w:tcBorders>
                  <w:vAlign w:val="center"/>
                </w:tcPr>
                <w:p>
                  <w:pPr>
                    <w:pStyle w:val="21"/>
                    <w:ind w:left="0" w:leftChars="0"/>
                    <w:jc w:val="center"/>
                    <w:rPr>
                      <w:color w:val="auto"/>
                      <w:szCs w:val="21"/>
                      <w:u w:val="none"/>
                    </w:rPr>
                  </w:pPr>
                  <w:r>
                    <w:rPr>
                      <w:color w:val="auto"/>
                      <w:szCs w:val="21"/>
                      <w:u w:val="none"/>
                    </w:rPr>
                    <w:t>《地表水环境质量标准》（GB3838-2002）III类标准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80" w:type="dxa"/>
                  <w:vMerge w:val="continue"/>
                  <w:tcBorders>
                    <w:tl2br w:val="nil"/>
                    <w:tr2bl w:val="nil"/>
                  </w:tcBorders>
                  <w:vAlign w:val="center"/>
                </w:tcPr>
                <w:p>
                  <w:pPr>
                    <w:pStyle w:val="21"/>
                    <w:ind w:left="0" w:leftChars="0"/>
                    <w:jc w:val="center"/>
                    <w:rPr>
                      <w:rFonts w:hint="eastAsia"/>
                      <w:color w:val="auto"/>
                      <w:szCs w:val="21"/>
                      <w:u w:val="none"/>
                    </w:rPr>
                  </w:pPr>
                </w:p>
              </w:tc>
              <w:tc>
                <w:tcPr>
                  <w:tcW w:w="1500" w:type="dxa"/>
                  <w:vMerge w:val="continue"/>
                  <w:tcBorders>
                    <w:tl2br w:val="nil"/>
                    <w:tr2bl w:val="nil"/>
                  </w:tcBorders>
                  <w:vAlign w:val="center"/>
                </w:tcPr>
                <w:p>
                  <w:pPr>
                    <w:jc w:val="center"/>
                    <w:rPr>
                      <w:rFonts w:hint="eastAsia"/>
                      <w:color w:val="auto"/>
                      <w:szCs w:val="21"/>
                      <w:u w:val="none"/>
                      <w:lang w:eastAsia="zh-CN"/>
                    </w:rPr>
                  </w:pPr>
                </w:p>
              </w:tc>
              <w:tc>
                <w:tcPr>
                  <w:tcW w:w="1560" w:type="dxa"/>
                  <w:vMerge w:val="continue"/>
                  <w:tcBorders>
                    <w:tl2br w:val="nil"/>
                    <w:tr2bl w:val="nil"/>
                  </w:tcBorders>
                  <w:vAlign w:val="center"/>
                </w:tcPr>
                <w:p>
                  <w:pPr>
                    <w:pStyle w:val="21"/>
                    <w:ind w:left="0" w:leftChars="0"/>
                    <w:jc w:val="center"/>
                    <w:rPr>
                      <w:rFonts w:hint="eastAsia"/>
                      <w:color w:val="auto"/>
                      <w:szCs w:val="21"/>
                      <w:u w:val="none"/>
                    </w:rPr>
                  </w:pPr>
                </w:p>
              </w:tc>
              <w:tc>
                <w:tcPr>
                  <w:tcW w:w="2240" w:type="dxa"/>
                  <w:tcBorders>
                    <w:tl2br w:val="nil"/>
                    <w:tr2bl w:val="nil"/>
                  </w:tcBorders>
                  <w:vAlign w:val="center"/>
                </w:tcPr>
                <w:p>
                  <w:pPr>
                    <w:jc w:val="center"/>
                    <w:rPr>
                      <w:rFonts w:hint="default"/>
                      <w:color w:val="auto"/>
                      <w:u w:val="none"/>
                      <w:lang w:val="en-US" w:eastAsia="zh-CN"/>
                    </w:rPr>
                  </w:pPr>
                  <w:r>
                    <w:rPr>
                      <w:rFonts w:hint="eastAsia"/>
                      <w:color w:val="auto"/>
                      <w:u w:val="none"/>
                      <w:lang w:val="en-US" w:eastAsia="zh-CN"/>
                    </w:rPr>
                    <w:t>SE1.0km（渡头桥镇惠民水厂取水口）</w:t>
                  </w:r>
                </w:p>
              </w:tc>
              <w:tc>
                <w:tcPr>
                  <w:tcW w:w="2780" w:type="dxa"/>
                  <w:vMerge w:val="continue"/>
                  <w:tcBorders>
                    <w:tl2br w:val="nil"/>
                    <w:tr2bl w:val="nil"/>
                  </w:tcBorders>
                  <w:vAlign w:val="center"/>
                </w:tcPr>
                <w:p>
                  <w:pPr>
                    <w:pStyle w:val="21"/>
                    <w:ind w:left="0" w:leftChars="0"/>
                    <w:jc w:val="center"/>
                    <w:rPr>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80" w:type="dxa"/>
                  <w:tcBorders>
                    <w:tl2br w:val="nil"/>
                    <w:tr2bl w:val="nil"/>
                  </w:tcBorders>
                  <w:vAlign w:val="center"/>
                </w:tcPr>
                <w:p>
                  <w:pPr>
                    <w:pStyle w:val="21"/>
                    <w:ind w:left="0" w:leftChars="0"/>
                    <w:jc w:val="center"/>
                    <w:rPr>
                      <w:color w:val="auto"/>
                      <w:szCs w:val="21"/>
                      <w:u w:val="none"/>
                    </w:rPr>
                  </w:pPr>
                  <w:r>
                    <w:rPr>
                      <w:rFonts w:hint="eastAsia"/>
                      <w:color w:val="auto"/>
                      <w:szCs w:val="21"/>
                      <w:u w:val="none"/>
                    </w:rPr>
                    <w:t>土壤</w:t>
                  </w:r>
                </w:p>
              </w:tc>
              <w:tc>
                <w:tcPr>
                  <w:tcW w:w="5300" w:type="dxa"/>
                  <w:gridSpan w:val="3"/>
                  <w:tcBorders>
                    <w:tl2br w:val="nil"/>
                    <w:tr2bl w:val="nil"/>
                  </w:tcBorders>
                  <w:vAlign w:val="center"/>
                </w:tcPr>
                <w:p>
                  <w:pPr>
                    <w:jc w:val="center"/>
                    <w:rPr>
                      <w:color w:val="auto"/>
                      <w:u w:val="none"/>
                    </w:rPr>
                  </w:pPr>
                  <w:r>
                    <w:rPr>
                      <w:rFonts w:hint="eastAsia"/>
                      <w:color w:val="auto"/>
                      <w:szCs w:val="21"/>
                      <w:u w:val="none"/>
                    </w:rPr>
                    <w:t>周边农田及耕地</w:t>
                  </w:r>
                </w:p>
              </w:tc>
              <w:tc>
                <w:tcPr>
                  <w:tcW w:w="2780" w:type="dxa"/>
                  <w:tcBorders>
                    <w:tl2br w:val="nil"/>
                    <w:tr2bl w:val="nil"/>
                  </w:tcBorders>
                  <w:vAlign w:val="center"/>
                </w:tcPr>
                <w:p>
                  <w:pPr>
                    <w:pStyle w:val="21"/>
                    <w:ind w:left="0" w:leftChars="0"/>
                    <w:jc w:val="center"/>
                    <w:rPr>
                      <w:color w:val="auto"/>
                      <w:szCs w:val="21"/>
                      <w:u w:val="none"/>
                    </w:rPr>
                  </w:pPr>
                  <w:r>
                    <w:rPr>
                      <w:color w:val="auto"/>
                      <w:szCs w:val="21"/>
                      <w:u w:val="none"/>
                    </w:rPr>
                    <w:t>《土壤环境质量</w:t>
                  </w:r>
                  <w:r>
                    <w:rPr>
                      <w:rFonts w:hint="eastAsia"/>
                      <w:color w:val="auto"/>
                      <w:szCs w:val="21"/>
                      <w:u w:val="none"/>
                    </w:rPr>
                    <w:t>农</w:t>
                  </w:r>
                  <w:r>
                    <w:rPr>
                      <w:color w:val="auto"/>
                      <w:szCs w:val="21"/>
                      <w:u w:val="none"/>
                    </w:rPr>
                    <w:t>用地土壤污染风险管控标准试行》</w:t>
                  </w:r>
                  <w:r>
                    <w:rPr>
                      <w:rFonts w:hint="eastAsia"/>
                      <w:color w:val="auto"/>
                      <w:szCs w:val="21"/>
                      <w:u w:val="none"/>
                    </w:rPr>
                    <w:t>（</w:t>
                  </w:r>
                  <w:r>
                    <w:rPr>
                      <w:color w:val="auto"/>
                      <w:szCs w:val="21"/>
                      <w:u w:val="none"/>
                    </w:rPr>
                    <w:t>GB</w:t>
                  </w:r>
                  <w:r>
                    <w:rPr>
                      <w:rFonts w:hint="eastAsia"/>
                      <w:color w:val="auto"/>
                      <w:szCs w:val="21"/>
                      <w:u w:val="none"/>
                    </w:rPr>
                    <w:t>15618</w:t>
                  </w:r>
                  <w:r>
                    <w:rPr>
                      <w:color w:val="auto"/>
                      <w:szCs w:val="21"/>
                      <w:u w:val="none"/>
                    </w:rPr>
                    <w:t>-2018</w:t>
                  </w:r>
                  <w:r>
                    <w:rPr>
                      <w:rFonts w:hint="eastAsia"/>
                      <w:color w:val="auto"/>
                      <w:szCs w:val="21"/>
                      <w:u w:val="none"/>
                    </w:rPr>
                    <w:t>）</w:t>
                  </w:r>
                </w:p>
              </w:tc>
            </w:tr>
          </w:tbl>
          <w:p>
            <w:pPr>
              <w:adjustRightInd w:val="0"/>
              <w:snapToGrid w:val="0"/>
              <w:spacing w:beforeLines="50"/>
              <w:jc w:val="center"/>
              <w:rPr>
                <w:b/>
                <w:color w:val="auto"/>
                <w:szCs w:val="21"/>
                <w:u w:val="none"/>
              </w:rPr>
            </w:pPr>
            <w:r>
              <w:rPr>
                <w:b/>
                <w:color w:val="auto"/>
                <w:szCs w:val="21"/>
                <w:u w:val="none"/>
              </w:rPr>
              <w:t>表3</w:t>
            </w:r>
            <w:r>
              <w:rPr>
                <w:rFonts w:hint="eastAsia"/>
                <w:b/>
                <w:color w:val="auto"/>
                <w:szCs w:val="21"/>
                <w:u w:val="none"/>
              </w:rPr>
              <w:t>-1</w:t>
            </w:r>
            <w:r>
              <w:rPr>
                <w:rFonts w:hint="eastAsia"/>
                <w:b/>
                <w:color w:val="auto"/>
                <w:szCs w:val="21"/>
                <w:u w:val="none"/>
                <w:lang w:val="en-US" w:eastAsia="zh-CN"/>
              </w:rPr>
              <w:t>3</w:t>
            </w:r>
            <w:r>
              <w:rPr>
                <w:b/>
                <w:color w:val="auto"/>
                <w:szCs w:val="21"/>
                <w:u w:val="none"/>
              </w:rPr>
              <w:t xml:space="preserve">   </w:t>
            </w:r>
            <w:r>
              <w:rPr>
                <w:rFonts w:hint="eastAsia"/>
                <w:b/>
                <w:color w:val="auto"/>
                <w:szCs w:val="21"/>
                <w:u w:val="none"/>
              </w:rPr>
              <w:t>管网</w:t>
            </w:r>
            <w:r>
              <w:rPr>
                <w:rFonts w:hint="eastAsia"/>
                <w:b/>
                <w:color w:val="auto"/>
                <w:szCs w:val="21"/>
                <w:u w:val="none"/>
                <w:lang w:eastAsia="zh-CN"/>
              </w:rPr>
              <w:t>沿线</w:t>
            </w:r>
            <w:r>
              <w:rPr>
                <w:rFonts w:hint="eastAsia"/>
                <w:b/>
                <w:color w:val="auto"/>
                <w:szCs w:val="21"/>
                <w:u w:val="none"/>
              </w:rPr>
              <w:t>主要环境</w:t>
            </w:r>
            <w:r>
              <w:rPr>
                <w:b/>
                <w:color w:val="auto"/>
                <w:szCs w:val="21"/>
                <w:u w:val="none"/>
              </w:rPr>
              <w:t>保护目标</w:t>
            </w:r>
          </w:p>
          <w:tbl>
            <w:tblPr>
              <w:tblStyle w:val="27"/>
              <w:tblW w:w="91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400"/>
              <w:gridCol w:w="1440"/>
              <w:gridCol w:w="1920"/>
              <w:gridCol w:w="23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80" w:type="dxa"/>
                  <w:tcBorders>
                    <w:tl2br w:val="nil"/>
                    <w:tr2bl w:val="nil"/>
                  </w:tcBorders>
                  <w:vAlign w:val="center"/>
                </w:tcPr>
                <w:p>
                  <w:pPr>
                    <w:pStyle w:val="59"/>
                    <w:snapToGrid w:val="0"/>
                    <w:ind w:firstLine="0" w:firstLineChars="0"/>
                    <w:jc w:val="center"/>
                    <w:rPr>
                      <w:rFonts w:ascii="Times New Roman" w:cs="Times New Roman"/>
                      <w:color w:val="auto"/>
                      <w:u w:val="none"/>
                    </w:rPr>
                  </w:pPr>
                  <w:r>
                    <w:rPr>
                      <w:rFonts w:ascii="Times New Roman" w:cs="Times New Roman"/>
                      <w:color w:val="auto"/>
                      <w:szCs w:val="21"/>
                      <w:u w:val="none"/>
                    </w:rPr>
                    <w:t>环境要素</w:t>
                  </w:r>
                </w:p>
              </w:tc>
              <w:tc>
                <w:tcPr>
                  <w:tcW w:w="2400" w:type="dxa"/>
                  <w:tcBorders>
                    <w:tl2br w:val="nil"/>
                    <w:tr2bl w:val="nil"/>
                  </w:tcBorders>
                  <w:vAlign w:val="center"/>
                </w:tcPr>
                <w:p>
                  <w:pPr>
                    <w:pStyle w:val="59"/>
                    <w:snapToGrid w:val="0"/>
                    <w:ind w:firstLine="0" w:firstLineChars="0"/>
                    <w:jc w:val="center"/>
                    <w:rPr>
                      <w:rFonts w:ascii="Times New Roman" w:cs="Times New Roman"/>
                      <w:color w:val="auto"/>
                      <w:u w:val="none"/>
                    </w:rPr>
                  </w:pPr>
                  <w:r>
                    <w:rPr>
                      <w:rFonts w:ascii="Times New Roman" w:cs="Times New Roman"/>
                      <w:color w:val="auto"/>
                      <w:szCs w:val="21"/>
                      <w:u w:val="none"/>
                    </w:rPr>
                    <w:t>环境保护目标</w:t>
                  </w:r>
                </w:p>
              </w:tc>
              <w:tc>
                <w:tcPr>
                  <w:tcW w:w="1440" w:type="dxa"/>
                  <w:tcBorders>
                    <w:tl2br w:val="nil"/>
                    <w:tr2bl w:val="nil"/>
                  </w:tcBorders>
                  <w:vAlign w:val="center"/>
                </w:tcPr>
                <w:p>
                  <w:pPr>
                    <w:pStyle w:val="59"/>
                    <w:snapToGrid w:val="0"/>
                    <w:ind w:firstLine="0" w:firstLineChars="0"/>
                    <w:jc w:val="center"/>
                    <w:rPr>
                      <w:rFonts w:ascii="Times New Roman" w:cs="Times New Roman"/>
                      <w:color w:val="auto"/>
                      <w:u w:val="none"/>
                    </w:rPr>
                  </w:pPr>
                  <w:r>
                    <w:rPr>
                      <w:rFonts w:ascii="Times New Roman" w:cs="Times New Roman"/>
                      <w:color w:val="auto"/>
                      <w:szCs w:val="21"/>
                      <w:u w:val="none"/>
                    </w:rPr>
                    <w:t>功能及规模</w:t>
                  </w:r>
                </w:p>
              </w:tc>
              <w:tc>
                <w:tcPr>
                  <w:tcW w:w="1920" w:type="dxa"/>
                  <w:tcBorders>
                    <w:tl2br w:val="nil"/>
                    <w:tr2bl w:val="nil"/>
                  </w:tcBorders>
                  <w:vAlign w:val="center"/>
                </w:tcPr>
                <w:p>
                  <w:pPr>
                    <w:pStyle w:val="59"/>
                    <w:snapToGrid w:val="0"/>
                    <w:ind w:firstLine="0" w:firstLineChars="0"/>
                    <w:jc w:val="center"/>
                    <w:rPr>
                      <w:rFonts w:ascii="Times New Roman" w:cs="Times New Roman"/>
                      <w:color w:val="auto"/>
                      <w:u w:val="none"/>
                    </w:rPr>
                  </w:pPr>
                  <w:r>
                    <w:rPr>
                      <w:rFonts w:hint="eastAsia" w:ascii="Times New Roman" w:cs="Times New Roman"/>
                      <w:color w:val="auto"/>
                      <w:szCs w:val="21"/>
                      <w:u w:val="none"/>
                    </w:rPr>
                    <w:t>相对管网中心</w:t>
                  </w:r>
                  <w:r>
                    <w:rPr>
                      <w:rFonts w:ascii="Times New Roman" w:cs="Times New Roman"/>
                      <w:color w:val="auto"/>
                      <w:szCs w:val="21"/>
                      <w:u w:val="none"/>
                    </w:rPr>
                    <w:t>距离</w:t>
                  </w:r>
                </w:p>
              </w:tc>
              <w:tc>
                <w:tcPr>
                  <w:tcW w:w="2320" w:type="dxa"/>
                  <w:tcBorders>
                    <w:tl2br w:val="nil"/>
                    <w:tr2bl w:val="nil"/>
                  </w:tcBorders>
                  <w:vAlign w:val="center"/>
                </w:tcPr>
                <w:p>
                  <w:pPr>
                    <w:pStyle w:val="59"/>
                    <w:snapToGrid w:val="0"/>
                    <w:ind w:firstLine="0" w:firstLineChars="0"/>
                    <w:jc w:val="center"/>
                    <w:rPr>
                      <w:rFonts w:ascii="Times New Roman" w:cs="Times New Roman"/>
                      <w:color w:val="auto"/>
                      <w:u w:val="none"/>
                    </w:rPr>
                  </w:pPr>
                  <w:r>
                    <w:rPr>
                      <w:rFonts w:ascii="Times New Roman" w:cs="Times New Roman"/>
                      <w:color w:val="auto"/>
                      <w:szCs w:val="21"/>
                      <w:u w:val="none"/>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80" w:type="dxa"/>
                  <w:vMerge w:val="restart"/>
                  <w:tcBorders>
                    <w:tl2br w:val="nil"/>
                    <w:tr2bl w:val="nil"/>
                  </w:tcBorders>
                  <w:vAlign w:val="center"/>
                </w:tcPr>
                <w:p>
                  <w:pPr>
                    <w:pStyle w:val="21"/>
                    <w:ind w:left="0" w:leftChars="0"/>
                    <w:jc w:val="center"/>
                    <w:rPr>
                      <w:color w:val="auto"/>
                      <w:szCs w:val="21"/>
                      <w:u w:val="none"/>
                    </w:rPr>
                  </w:pPr>
                  <w:r>
                    <w:rPr>
                      <w:rFonts w:hint="eastAsia"/>
                      <w:color w:val="auto"/>
                      <w:szCs w:val="21"/>
                      <w:u w:val="none"/>
                    </w:rPr>
                    <w:t>大气</w:t>
                  </w:r>
                  <w:r>
                    <w:rPr>
                      <w:color w:val="auto"/>
                      <w:szCs w:val="21"/>
                      <w:u w:val="none"/>
                    </w:rPr>
                    <w:t>环境</w:t>
                  </w:r>
                </w:p>
              </w:tc>
              <w:tc>
                <w:tcPr>
                  <w:tcW w:w="2400" w:type="dxa"/>
                  <w:tcBorders>
                    <w:tl2br w:val="nil"/>
                    <w:tr2bl w:val="nil"/>
                  </w:tcBorders>
                  <w:vAlign w:val="center"/>
                </w:tcPr>
                <w:p>
                  <w:pPr>
                    <w:pStyle w:val="58"/>
                    <w:rPr>
                      <w:rFonts w:hint="eastAsia" w:eastAsia="宋体"/>
                      <w:color w:val="auto"/>
                      <w:szCs w:val="21"/>
                      <w:u w:val="none"/>
                      <w:lang w:eastAsia="zh-CN"/>
                    </w:rPr>
                  </w:pPr>
                  <w:r>
                    <w:rPr>
                      <w:rFonts w:hint="eastAsia"/>
                      <w:color w:val="auto"/>
                      <w:szCs w:val="21"/>
                      <w:u w:val="none"/>
                      <w:lang w:eastAsia="zh-CN"/>
                    </w:rPr>
                    <w:t>渡头桥镇江口学校</w:t>
                  </w:r>
                </w:p>
              </w:tc>
              <w:tc>
                <w:tcPr>
                  <w:tcW w:w="1440" w:type="dxa"/>
                  <w:tcBorders>
                    <w:tl2br w:val="nil"/>
                    <w:tr2bl w:val="nil"/>
                  </w:tcBorders>
                  <w:vAlign w:val="center"/>
                </w:tcPr>
                <w:p>
                  <w:pPr>
                    <w:pStyle w:val="21"/>
                    <w:ind w:left="0" w:leftChars="0"/>
                    <w:jc w:val="center"/>
                    <w:rPr>
                      <w:color w:val="auto"/>
                      <w:szCs w:val="21"/>
                      <w:u w:val="none"/>
                    </w:rPr>
                  </w:pPr>
                  <w:r>
                    <w:rPr>
                      <w:rFonts w:hint="eastAsia"/>
                      <w:color w:val="auto"/>
                      <w:szCs w:val="21"/>
                      <w:u w:val="none"/>
                    </w:rPr>
                    <w:t>师生，600</w:t>
                  </w:r>
                  <w:r>
                    <w:rPr>
                      <w:color w:val="auto"/>
                      <w:szCs w:val="21"/>
                      <w:u w:val="none"/>
                    </w:rPr>
                    <w:t>人</w:t>
                  </w:r>
                </w:p>
              </w:tc>
              <w:tc>
                <w:tcPr>
                  <w:tcW w:w="1920" w:type="dxa"/>
                  <w:tcBorders>
                    <w:tl2br w:val="nil"/>
                    <w:tr2bl w:val="nil"/>
                  </w:tcBorders>
                  <w:vAlign w:val="center"/>
                </w:tcPr>
                <w:p>
                  <w:pPr>
                    <w:pStyle w:val="47"/>
                    <w:jc w:val="center"/>
                    <w:rPr>
                      <w:rFonts w:ascii="Times New Roman" w:hAnsi="Times New Roman" w:cs="Times New Roman"/>
                      <w:color w:val="auto"/>
                      <w:szCs w:val="21"/>
                      <w:u w:val="none"/>
                      <w:lang w:val="en-US"/>
                    </w:rPr>
                  </w:pPr>
                  <w:r>
                    <w:rPr>
                      <w:rFonts w:hint="eastAsia" w:ascii="Times New Roman" w:hAnsi="Times New Roman" w:cs="Times New Roman"/>
                      <w:color w:val="auto"/>
                      <w:u w:val="none"/>
                      <w:lang w:val="en-US"/>
                    </w:rPr>
                    <w:t>10m</w:t>
                  </w:r>
                </w:p>
              </w:tc>
              <w:tc>
                <w:tcPr>
                  <w:tcW w:w="2320" w:type="dxa"/>
                  <w:vMerge w:val="restart"/>
                  <w:tcBorders>
                    <w:tl2br w:val="nil"/>
                    <w:tr2bl w:val="nil"/>
                  </w:tcBorders>
                  <w:vAlign w:val="center"/>
                </w:tcPr>
                <w:p>
                  <w:pPr>
                    <w:widowControl/>
                    <w:jc w:val="center"/>
                    <w:rPr>
                      <w:color w:val="auto"/>
                      <w:szCs w:val="21"/>
                      <w:u w:val="none"/>
                    </w:rPr>
                  </w:pPr>
                  <w:r>
                    <w:rPr>
                      <w:color w:val="auto"/>
                      <w:szCs w:val="24"/>
                      <w:u w:val="none"/>
                    </w:rPr>
                    <w:t>《环境空气质量标准》（GB3095-2012）中的二级标准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80" w:type="dxa"/>
                  <w:vMerge w:val="continue"/>
                  <w:tcBorders>
                    <w:tl2br w:val="nil"/>
                    <w:tr2bl w:val="nil"/>
                  </w:tcBorders>
                  <w:vAlign w:val="center"/>
                </w:tcPr>
                <w:p>
                  <w:pPr>
                    <w:pStyle w:val="21"/>
                    <w:ind w:left="0" w:leftChars="0"/>
                    <w:jc w:val="center"/>
                    <w:rPr>
                      <w:color w:val="auto"/>
                      <w:szCs w:val="21"/>
                      <w:u w:val="none"/>
                    </w:rPr>
                  </w:pPr>
                </w:p>
              </w:tc>
              <w:tc>
                <w:tcPr>
                  <w:tcW w:w="2400" w:type="dxa"/>
                  <w:tcBorders>
                    <w:tl2br w:val="nil"/>
                    <w:tr2bl w:val="nil"/>
                  </w:tcBorders>
                  <w:vAlign w:val="center"/>
                </w:tcPr>
                <w:p>
                  <w:pPr>
                    <w:pStyle w:val="58"/>
                    <w:rPr>
                      <w:rFonts w:hint="eastAsia" w:eastAsia="宋体"/>
                      <w:color w:val="auto"/>
                      <w:szCs w:val="21"/>
                      <w:u w:val="none"/>
                      <w:lang w:eastAsia="zh-CN"/>
                    </w:rPr>
                  </w:pPr>
                  <w:r>
                    <w:rPr>
                      <w:rFonts w:hint="eastAsia"/>
                      <w:color w:val="auto"/>
                      <w:szCs w:val="21"/>
                      <w:u w:val="none"/>
                      <w:lang w:eastAsia="zh-CN"/>
                    </w:rPr>
                    <w:t>鸡笼</w:t>
                  </w:r>
                  <w:r>
                    <w:rPr>
                      <w:rFonts w:hint="eastAsia"/>
                      <w:color w:val="auto"/>
                      <w:szCs w:val="21"/>
                      <w:u w:val="none"/>
                    </w:rPr>
                    <w:t>中心</w:t>
                  </w:r>
                  <w:r>
                    <w:rPr>
                      <w:rFonts w:hint="eastAsia"/>
                      <w:color w:val="auto"/>
                      <w:szCs w:val="21"/>
                      <w:u w:val="none"/>
                      <w:lang w:eastAsia="zh-CN"/>
                    </w:rPr>
                    <w:t>完小</w:t>
                  </w:r>
                </w:p>
              </w:tc>
              <w:tc>
                <w:tcPr>
                  <w:tcW w:w="1440" w:type="dxa"/>
                  <w:tcBorders>
                    <w:tl2br w:val="nil"/>
                    <w:tr2bl w:val="nil"/>
                  </w:tcBorders>
                  <w:vAlign w:val="center"/>
                </w:tcPr>
                <w:p>
                  <w:pPr>
                    <w:pStyle w:val="21"/>
                    <w:ind w:left="0" w:leftChars="0"/>
                    <w:jc w:val="center"/>
                    <w:rPr>
                      <w:color w:val="auto"/>
                      <w:szCs w:val="21"/>
                      <w:u w:val="none"/>
                    </w:rPr>
                  </w:pPr>
                  <w:r>
                    <w:rPr>
                      <w:rFonts w:hint="eastAsia"/>
                      <w:color w:val="auto"/>
                      <w:szCs w:val="21"/>
                      <w:u w:val="none"/>
                    </w:rPr>
                    <w:t>师生，</w:t>
                  </w:r>
                  <w:r>
                    <w:rPr>
                      <w:rFonts w:hint="eastAsia"/>
                      <w:color w:val="auto"/>
                      <w:szCs w:val="21"/>
                      <w:u w:val="none"/>
                      <w:lang w:val="en-US" w:eastAsia="zh-CN"/>
                    </w:rPr>
                    <w:t>3</w:t>
                  </w:r>
                  <w:r>
                    <w:rPr>
                      <w:rFonts w:hint="eastAsia"/>
                      <w:color w:val="auto"/>
                      <w:szCs w:val="21"/>
                      <w:u w:val="none"/>
                    </w:rPr>
                    <w:t>00人</w:t>
                  </w:r>
                </w:p>
              </w:tc>
              <w:tc>
                <w:tcPr>
                  <w:tcW w:w="1920" w:type="dxa"/>
                  <w:tcBorders>
                    <w:tl2br w:val="nil"/>
                    <w:tr2bl w:val="nil"/>
                  </w:tcBorders>
                  <w:vAlign w:val="center"/>
                </w:tcPr>
                <w:p>
                  <w:pPr>
                    <w:pStyle w:val="47"/>
                    <w:jc w:val="center"/>
                    <w:rPr>
                      <w:rFonts w:ascii="Times New Roman" w:hAnsi="Times New Roman" w:cs="Times New Roman"/>
                      <w:color w:val="auto"/>
                      <w:u w:val="none"/>
                      <w:lang w:val="en-US"/>
                    </w:rPr>
                  </w:pPr>
                  <w:r>
                    <w:rPr>
                      <w:rFonts w:ascii="Times New Roman" w:hAnsi="Times New Roman" w:cs="Times New Roman"/>
                      <w:color w:val="auto"/>
                      <w:u w:val="none"/>
                      <w:lang w:val="en-US"/>
                    </w:rPr>
                    <w:t>10m</w:t>
                  </w:r>
                </w:p>
              </w:tc>
              <w:tc>
                <w:tcPr>
                  <w:tcW w:w="2320" w:type="dxa"/>
                  <w:vMerge w:val="continue"/>
                  <w:tcBorders>
                    <w:tl2br w:val="nil"/>
                    <w:tr2bl w:val="nil"/>
                  </w:tcBorders>
                  <w:vAlign w:val="center"/>
                </w:tcPr>
                <w:p>
                  <w:pPr>
                    <w:pStyle w:val="21"/>
                    <w:ind w:left="0" w:leftChars="0"/>
                    <w:jc w:val="center"/>
                    <w:rPr>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80" w:type="dxa"/>
                  <w:vMerge w:val="continue"/>
                  <w:tcBorders>
                    <w:tl2br w:val="nil"/>
                    <w:tr2bl w:val="nil"/>
                  </w:tcBorders>
                  <w:vAlign w:val="center"/>
                </w:tcPr>
                <w:p>
                  <w:pPr>
                    <w:pStyle w:val="21"/>
                    <w:ind w:left="0" w:leftChars="0"/>
                    <w:jc w:val="center"/>
                    <w:rPr>
                      <w:color w:val="auto"/>
                      <w:szCs w:val="21"/>
                      <w:u w:val="none"/>
                    </w:rPr>
                  </w:pPr>
                </w:p>
              </w:tc>
              <w:tc>
                <w:tcPr>
                  <w:tcW w:w="2400" w:type="dxa"/>
                  <w:tcBorders>
                    <w:tl2br w:val="nil"/>
                    <w:tr2bl w:val="nil"/>
                  </w:tcBorders>
                  <w:vAlign w:val="center"/>
                </w:tcPr>
                <w:p>
                  <w:pPr>
                    <w:pStyle w:val="58"/>
                    <w:rPr>
                      <w:rFonts w:hint="eastAsia" w:eastAsia="宋体"/>
                      <w:color w:val="auto"/>
                      <w:szCs w:val="21"/>
                      <w:u w:val="none"/>
                      <w:lang w:eastAsia="zh-CN"/>
                    </w:rPr>
                  </w:pPr>
                  <w:r>
                    <w:rPr>
                      <w:rFonts w:hint="eastAsia"/>
                      <w:color w:val="auto"/>
                      <w:szCs w:val="21"/>
                      <w:u w:val="none"/>
                      <w:lang w:eastAsia="zh-CN"/>
                    </w:rPr>
                    <w:t>渡头桥镇人民政府</w:t>
                  </w:r>
                </w:p>
              </w:tc>
              <w:tc>
                <w:tcPr>
                  <w:tcW w:w="1440" w:type="dxa"/>
                  <w:tcBorders>
                    <w:tl2br w:val="nil"/>
                    <w:tr2bl w:val="nil"/>
                  </w:tcBorders>
                  <w:vAlign w:val="center"/>
                </w:tcPr>
                <w:p>
                  <w:pPr>
                    <w:pStyle w:val="21"/>
                    <w:ind w:left="0" w:leftChars="0"/>
                    <w:jc w:val="center"/>
                    <w:rPr>
                      <w:color w:val="auto"/>
                      <w:szCs w:val="21"/>
                      <w:u w:val="none"/>
                    </w:rPr>
                  </w:pPr>
                  <w:r>
                    <w:rPr>
                      <w:rFonts w:hint="eastAsia"/>
                      <w:color w:val="auto"/>
                      <w:szCs w:val="21"/>
                      <w:u w:val="none"/>
                      <w:lang w:val="en-US" w:eastAsia="zh-CN"/>
                    </w:rPr>
                    <w:t>1</w:t>
                  </w:r>
                  <w:r>
                    <w:rPr>
                      <w:rFonts w:hint="eastAsia"/>
                      <w:color w:val="auto"/>
                      <w:szCs w:val="21"/>
                      <w:u w:val="none"/>
                    </w:rPr>
                    <w:t>00人</w:t>
                  </w:r>
                </w:p>
              </w:tc>
              <w:tc>
                <w:tcPr>
                  <w:tcW w:w="1920" w:type="dxa"/>
                  <w:tcBorders>
                    <w:tl2br w:val="nil"/>
                    <w:tr2bl w:val="nil"/>
                  </w:tcBorders>
                  <w:vAlign w:val="center"/>
                </w:tcPr>
                <w:p>
                  <w:pPr>
                    <w:pStyle w:val="47"/>
                    <w:jc w:val="center"/>
                    <w:rPr>
                      <w:rFonts w:ascii="Times New Roman" w:hAnsi="Times New Roman" w:cs="Times New Roman"/>
                      <w:color w:val="auto"/>
                      <w:u w:val="none"/>
                      <w:lang w:val="en-US"/>
                    </w:rPr>
                  </w:pPr>
                  <w:r>
                    <w:rPr>
                      <w:rFonts w:ascii="Times New Roman" w:hAnsi="Times New Roman" w:cs="Times New Roman"/>
                      <w:color w:val="auto"/>
                      <w:u w:val="none"/>
                      <w:lang w:val="en-US"/>
                    </w:rPr>
                    <w:t>10m</w:t>
                  </w:r>
                </w:p>
              </w:tc>
              <w:tc>
                <w:tcPr>
                  <w:tcW w:w="2320" w:type="dxa"/>
                  <w:vMerge w:val="continue"/>
                  <w:tcBorders>
                    <w:tl2br w:val="nil"/>
                    <w:tr2bl w:val="nil"/>
                  </w:tcBorders>
                  <w:vAlign w:val="center"/>
                </w:tcPr>
                <w:p>
                  <w:pPr>
                    <w:pStyle w:val="21"/>
                    <w:ind w:left="0" w:leftChars="0"/>
                    <w:jc w:val="center"/>
                    <w:rPr>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080" w:type="dxa"/>
                  <w:vMerge w:val="continue"/>
                  <w:tcBorders>
                    <w:tl2br w:val="nil"/>
                    <w:tr2bl w:val="nil"/>
                  </w:tcBorders>
                  <w:vAlign w:val="center"/>
                </w:tcPr>
                <w:p>
                  <w:pPr>
                    <w:pStyle w:val="21"/>
                    <w:ind w:left="0" w:leftChars="0"/>
                    <w:jc w:val="center"/>
                    <w:rPr>
                      <w:color w:val="auto"/>
                      <w:szCs w:val="21"/>
                      <w:u w:val="none"/>
                    </w:rPr>
                  </w:pPr>
                </w:p>
              </w:tc>
              <w:tc>
                <w:tcPr>
                  <w:tcW w:w="5760" w:type="dxa"/>
                  <w:gridSpan w:val="3"/>
                  <w:tcBorders>
                    <w:tl2br w:val="nil"/>
                    <w:tr2bl w:val="nil"/>
                  </w:tcBorders>
                  <w:vAlign w:val="center"/>
                </w:tcPr>
                <w:p>
                  <w:pPr>
                    <w:widowControl/>
                    <w:jc w:val="center"/>
                    <w:rPr>
                      <w:color w:val="auto"/>
                      <w:u w:val="none"/>
                    </w:rPr>
                  </w:pPr>
                  <w:r>
                    <w:rPr>
                      <w:color w:val="FF0000"/>
                      <w:kern w:val="0"/>
                      <w:szCs w:val="21"/>
                      <w:u w:val="wave"/>
                    </w:rPr>
                    <w:t>管网线路两侧向外延伸200米范围内居民</w:t>
                  </w:r>
                </w:p>
              </w:tc>
              <w:tc>
                <w:tcPr>
                  <w:tcW w:w="2320" w:type="dxa"/>
                  <w:vMerge w:val="continue"/>
                  <w:tcBorders>
                    <w:tl2br w:val="nil"/>
                    <w:tr2bl w:val="nil"/>
                  </w:tcBorders>
                  <w:vAlign w:val="center"/>
                </w:tcPr>
                <w:p>
                  <w:pPr>
                    <w:pStyle w:val="21"/>
                    <w:ind w:left="0" w:leftChars="0"/>
                    <w:jc w:val="center"/>
                    <w:rPr>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080" w:type="dxa"/>
                  <w:vMerge w:val="restart"/>
                  <w:tcBorders>
                    <w:tl2br w:val="nil"/>
                    <w:tr2bl w:val="nil"/>
                  </w:tcBorders>
                  <w:vAlign w:val="center"/>
                </w:tcPr>
                <w:p>
                  <w:pPr>
                    <w:pStyle w:val="21"/>
                    <w:ind w:left="0" w:leftChars="0"/>
                    <w:jc w:val="center"/>
                    <w:rPr>
                      <w:color w:val="auto"/>
                      <w:szCs w:val="21"/>
                      <w:u w:val="none"/>
                    </w:rPr>
                  </w:pPr>
                  <w:r>
                    <w:rPr>
                      <w:rFonts w:hint="eastAsia"/>
                      <w:color w:val="auto"/>
                      <w:szCs w:val="21"/>
                      <w:u w:val="none"/>
                    </w:rPr>
                    <w:t>声环境</w:t>
                  </w:r>
                </w:p>
              </w:tc>
              <w:tc>
                <w:tcPr>
                  <w:tcW w:w="2400" w:type="dxa"/>
                  <w:tcBorders>
                    <w:tl2br w:val="nil"/>
                    <w:tr2bl w:val="nil"/>
                  </w:tcBorders>
                  <w:vAlign w:val="center"/>
                </w:tcPr>
                <w:p>
                  <w:pPr>
                    <w:pStyle w:val="58"/>
                    <w:rPr>
                      <w:rFonts w:hint="eastAsia" w:ascii="Times New Roman" w:hAnsi="Times New Roman" w:eastAsia="宋体" w:cs="Times New Roman"/>
                      <w:color w:val="auto"/>
                      <w:kern w:val="0"/>
                      <w:sz w:val="21"/>
                      <w:szCs w:val="21"/>
                      <w:u w:val="none"/>
                      <w:lang w:val="en-US" w:eastAsia="zh-CN" w:bidi="ar-SA"/>
                    </w:rPr>
                  </w:pPr>
                  <w:r>
                    <w:rPr>
                      <w:rFonts w:hint="eastAsia"/>
                      <w:color w:val="auto"/>
                      <w:szCs w:val="21"/>
                      <w:u w:val="none"/>
                      <w:lang w:eastAsia="zh-CN"/>
                    </w:rPr>
                    <w:t>渡头桥镇江口学校</w:t>
                  </w:r>
                </w:p>
              </w:tc>
              <w:tc>
                <w:tcPr>
                  <w:tcW w:w="1440" w:type="dxa"/>
                  <w:tcBorders>
                    <w:tl2br w:val="nil"/>
                    <w:tr2bl w:val="nil"/>
                  </w:tcBorders>
                  <w:vAlign w:val="center"/>
                </w:tcPr>
                <w:p>
                  <w:pPr>
                    <w:pStyle w:val="21"/>
                    <w:ind w:left="0" w:leftChars="0"/>
                    <w:jc w:val="center"/>
                    <w:rPr>
                      <w:rFonts w:ascii="Times New Roman" w:hAnsi="Times New Roman" w:eastAsia="宋体" w:cs="Times New Roman"/>
                      <w:color w:val="auto"/>
                      <w:kern w:val="2"/>
                      <w:sz w:val="21"/>
                      <w:szCs w:val="21"/>
                      <w:u w:val="none"/>
                      <w:lang w:val="en-US" w:eastAsia="zh-CN" w:bidi="ar-SA"/>
                    </w:rPr>
                  </w:pPr>
                  <w:r>
                    <w:rPr>
                      <w:rFonts w:hint="eastAsia"/>
                      <w:color w:val="auto"/>
                      <w:szCs w:val="21"/>
                      <w:u w:val="none"/>
                    </w:rPr>
                    <w:t>师生，600</w:t>
                  </w:r>
                  <w:r>
                    <w:rPr>
                      <w:color w:val="auto"/>
                      <w:szCs w:val="21"/>
                      <w:u w:val="none"/>
                    </w:rPr>
                    <w:t>人</w:t>
                  </w:r>
                </w:p>
              </w:tc>
              <w:tc>
                <w:tcPr>
                  <w:tcW w:w="1920" w:type="dxa"/>
                  <w:tcBorders>
                    <w:tl2br w:val="nil"/>
                    <w:tr2bl w:val="nil"/>
                  </w:tcBorders>
                  <w:vAlign w:val="center"/>
                </w:tcPr>
                <w:p>
                  <w:pPr>
                    <w:pStyle w:val="47"/>
                    <w:jc w:val="center"/>
                    <w:rPr>
                      <w:rFonts w:ascii="Times New Roman" w:hAnsi="Times New Roman" w:eastAsia="宋体" w:cs="Times New Roman"/>
                      <w:color w:val="auto"/>
                      <w:kern w:val="2"/>
                      <w:sz w:val="21"/>
                      <w:szCs w:val="21"/>
                      <w:u w:val="none"/>
                      <w:lang w:val="en-US" w:eastAsia="zh-CN" w:bidi="zh-CN"/>
                    </w:rPr>
                  </w:pPr>
                  <w:r>
                    <w:rPr>
                      <w:rFonts w:hint="eastAsia" w:ascii="Times New Roman" w:hAnsi="Times New Roman" w:cs="Times New Roman"/>
                      <w:color w:val="auto"/>
                      <w:u w:val="none"/>
                      <w:lang w:val="en-US"/>
                    </w:rPr>
                    <w:t>10m</w:t>
                  </w:r>
                </w:p>
              </w:tc>
              <w:tc>
                <w:tcPr>
                  <w:tcW w:w="2320" w:type="dxa"/>
                  <w:vMerge w:val="restart"/>
                  <w:tcBorders>
                    <w:tl2br w:val="nil"/>
                    <w:tr2bl w:val="nil"/>
                  </w:tcBorders>
                  <w:vAlign w:val="center"/>
                </w:tcPr>
                <w:p>
                  <w:pPr>
                    <w:pStyle w:val="21"/>
                    <w:ind w:left="0" w:leftChars="0"/>
                    <w:jc w:val="center"/>
                    <w:rPr>
                      <w:color w:val="auto"/>
                      <w:szCs w:val="21"/>
                      <w:u w:val="none"/>
                    </w:rPr>
                  </w:pPr>
                  <w:r>
                    <w:rPr>
                      <w:color w:val="auto"/>
                      <w:szCs w:val="21"/>
                      <w:u w:val="none"/>
                    </w:rPr>
                    <w:t>《声环境质量标准》GB3096-2008的</w:t>
                  </w:r>
                  <w:r>
                    <w:rPr>
                      <w:rFonts w:hint="eastAsia"/>
                      <w:color w:val="auto"/>
                      <w:szCs w:val="21"/>
                      <w:u w:val="none"/>
                    </w:rPr>
                    <w:t>2</w:t>
                  </w:r>
                  <w:r>
                    <w:rPr>
                      <w:color w:val="auto"/>
                      <w:szCs w:val="21"/>
                      <w:u w:val="none"/>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80" w:type="dxa"/>
                  <w:vMerge w:val="continue"/>
                  <w:tcBorders>
                    <w:tl2br w:val="nil"/>
                    <w:tr2bl w:val="nil"/>
                  </w:tcBorders>
                  <w:vAlign w:val="center"/>
                </w:tcPr>
                <w:p>
                  <w:pPr>
                    <w:pStyle w:val="21"/>
                    <w:ind w:left="0" w:leftChars="0"/>
                    <w:jc w:val="center"/>
                    <w:rPr>
                      <w:color w:val="auto"/>
                      <w:szCs w:val="21"/>
                      <w:u w:val="none"/>
                    </w:rPr>
                  </w:pPr>
                </w:p>
              </w:tc>
              <w:tc>
                <w:tcPr>
                  <w:tcW w:w="2400" w:type="dxa"/>
                  <w:tcBorders>
                    <w:tl2br w:val="nil"/>
                    <w:tr2bl w:val="nil"/>
                  </w:tcBorders>
                  <w:vAlign w:val="center"/>
                </w:tcPr>
                <w:p>
                  <w:pPr>
                    <w:pStyle w:val="58"/>
                    <w:rPr>
                      <w:rFonts w:hint="eastAsia" w:ascii="Times New Roman" w:hAnsi="Times New Roman" w:eastAsia="宋体" w:cs="Times New Roman"/>
                      <w:color w:val="auto"/>
                      <w:kern w:val="0"/>
                      <w:sz w:val="21"/>
                      <w:szCs w:val="21"/>
                      <w:u w:val="none"/>
                      <w:lang w:val="en-US" w:eastAsia="zh-CN" w:bidi="ar-SA"/>
                    </w:rPr>
                  </w:pPr>
                  <w:r>
                    <w:rPr>
                      <w:rFonts w:hint="eastAsia"/>
                      <w:color w:val="auto"/>
                      <w:szCs w:val="21"/>
                      <w:u w:val="none"/>
                      <w:lang w:eastAsia="zh-CN"/>
                    </w:rPr>
                    <w:t>鸡笼</w:t>
                  </w:r>
                  <w:r>
                    <w:rPr>
                      <w:rFonts w:hint="eastAsia"/>
                      <w:color w:val="auto"/>
                      <w:szCs w:val="21"/>
                      <w:u w:val="none"/>
                    </w:rPr>
                    <w:t>中心</w:t>
                  </w:r>
                  <w:r>
                    <w:rPr>
                      <w:rFonts w:hint="eastAsia"/>
                      <w:color w:val="auto"/>
                      <w:szCs w:val="21"/>
                      <w:u w:val="none"/>
                      <w:lang w:eastAsia="zh-CN"/>
                    </w:rPr>
                    <w:t>完小</w:t>
                  </w:r>
                </w:p>
              </w:tc>
              <w:tc>
                <w:tcPr>
                  <w:tcW w:w="1440" w:type="dxa"/>
                  <w:tcBorders>
                    <w:tl2br w:val="nil"/>
                    <w:tr2bl w:val="nil"/>
                  </w:tcBorders>
                  <w:vAlign w:val="center"/>
                </w:tcPr>
                <w:p>
                  <w:pPr>
                    <w:pStyle w:val="21"/>
                    <w:ind w:left="0" w:leftChars="0"/>
                    <w:jc w:val="center"/>
                    <w:rPr>
                      <w:rFonts w:ascii="Times New Roman" w:hAnsi="Times New Roman" w:eastAsia="宋体" w:cs="Times New Roman"/>
                      <w:color w:val="auto"/>
                      <w:kern w:val="2"/>
                      <w:sz w:val="21"/>
                      <w:szCs w:val="21"/>
                      <w:u w:val="none"/>
                      <w:lang w:val="en-US" w:eastAsia="zh-CN" w:bidi="ar-SA"/>
                    </w:rPr>
                  </w:pPr>
                  <w:r>
                    <w:rPr>
                      <w:rFonts w:hint="eastAsia"/>
                      <w:color w:val="auto"/>
                      <w:szCs w:val="21"/>
                      <w:u w:val="none"/>
                    </w:rPr>
                    <w:t>师生，</w:t>
                  </w:r>
                  <w:r>
                    <w:rPr>
                      <w:rFonts w:hint="eastAsia"/>
                      <w:color w:val="auto"/>
                      <w:szCs w:val="21"/>
                      <w:u w:val="none"/>
                      <w:lang w:val="en-US" w:eastAsia="zh-CN"/>
                    </w:rPr>
                    <w:t>3</w:t>
                  </w:r>
                  <w:r>
                    <w:rPr>
                      <w:rFonts w:hint="eastAsia"/>
                      <w:color w:val="auto"/>
                      <w:szCs w:val="21"/>
                      <w:u w:val="none"/>
                    </w:rPr>
                    <w:t>00人</w:t>
                  </w:r>
                </w:p>
              </w:tc>
              <w:tc>
                <w:tcPr>
                  <w:tcW w:w="1920" w:type="dxa"/>
                  <w:tcBorders>
                    <w:tl2br w:val="nil"/>
                    <w:tr2bl w:val="nil"/>
                  </w:tcBorders>
                  <w:vAlign w:val="center"/>
                </w:tcPr>
                <w:p>
                  <w:pPr>
                    <w:pStyle w:val="47"/>
                    <w:jc w:val="center"/>
                    <w:rPr>
                      <w:rFonts w:ascii="Times New Roman" w:hAnsi="Times New Roman" w:eastAsia="宋体" w:cs="Times New Roman"/>
                      <w:color w:val="auto"/>
                      <w:kern w:val="2"/>
                      <w:sz w:val="21"/>
                      <w:u w:val="none"/>
                      <w:lang w:val="en-US" w:eastAsia="zh-CN" w:bidi="zh-CN"/>
                    </w:rPr>
                  </w:pPr>
                  <w:r>
                    <w:rPr>
                      <w:rFonts w:ascii="Times New Roman" w:hAnsi="Times New Roman" w:cs="Times New Roman"/>
                      <w:color w:val="auto"/>
                      <w:u w:val="none"/>
                      <w:lang w:val="en-US"/>
                    </w:rPr>
                    <w:t>10m</w:t>
                  </w:r>
                </w:p>
              </w:tc>
              <w:tc>
                <w:tcPr>
                  <w:tcW w:w="2320" w:type="dxa"/>
                  <w:vMerge w:val="continue"/>
                  <w:tcBorders>
                    <w:tl2br w:val="nil"/>
                    <w:tr2bl w:val="nil"/>
                  </w:tcBorders>
                  <w:vAlign w:val="center"/>
                </w:tcPr>
                <w:p>
                  <w:pPr>
                    <w:pStyle w:val="21"/>
                    <w:ind w:left="0" w:leftChars="0"/>
                    <w:jc w:val="center"/>
                    <w:rPr>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80" w:type="dxa"/>
                  <w:vMerge w:val="continue"/>
                  <w:tcBorders>
                    <w:tl2br w:val="nil"/>
                    <w:tr2bl w:val="nil"/>
                  </w:tcBorders>
                  <w:vAlign w:val="center"/>
                </w:tcPr>
                <w:p>
                  <w:pPr>
                    <w:pStyle w:val="21"/>
                    <w:ind w:left="0" w:leftChars="0"/>
                    <w:jc w:val="center"/>
                    <w:rPr>
                      <w:color w:val="auto"/>
                      <w:szCs w:val="21"/>
                      <w:u w:val="none"/>
                    </w:rPr>
                  </w:pPr>
                </w:p>
              </w:tc>
              <w:tc>
                <w:tcPr>
                  <w:tcW w:w="2400" w:type="dxa"/>
                  <w:tcBorders>
                    <w:tl2br w:val="nil"/>
                    <w:tr2bl w:val="nil"/>
                  </w:tcBorders>
                  <w:vAlign w:val="center"/>
                </w:tcPr>
                <w:p>
                  <w:pPr>
                    <w:pStyle w:val="58"/>
                    <w:rPr>
                      <w:rFonts w:hint="eastAsia" w:ascii="Times New Roman" w:hAnsi="Times New Roman" w:eastAsia="宋体" w:cs="Times New Roman"/>
                      <w:color w:val="auto"/>
                      <w:kern w:val="0"/>
                      <w:sz w:val="21"/>
                      <w:szCs w:val="21"/>
                      <w:u w:val="none"/>
                      <w:lang w:val="en-US" w:eastAsia="zh-CN" w:bidi="ar-SA"/>
                    </w:rPr>
                  </w:pPr>
                  <w:r>
                    <w:rPr>
                      <w:rFonts w:hint="eastAsia"/>
                      <w:color w:val="auto"/>
                      <w:szCs w:val="21"/>
                      <w:u w:val="none"/>
                      <w:lang w:eastAsia="zh-CN"/>
                    </w:rPr>
                    <w:t>渡头桥镇人民政府</w:t>
                  </w:r>
                </w:p>
              </w:tc>
              <w:tc>
                <w:tcPr>
                  <w:tcW w:w="1440" w:type="dxa"/>
                  <w:tcBorders>
                    <w:tl2br w:val="nil"/>
                    <w:tr2bl w:val="nil"/>
                  </w:tcBorders>
                  <w:vAlign w:val="center"/>
                </w:tcPr>
                <w:p>
                  <w:pPr>
                    <w:pStyle w:val="21"/>
                    <w:ind w:left="0" w:leftChars="0"/>
                    <w:jc w:val="center"/>
                    <w:rPr>
                      <w:rFonts w:ascii="Times New Roman" w:hAnsi="Times New Roman" w:eastAsia="宋体" w:cs="Times New Roman"/>
                      <w:color w:val="auto"/>
                      <w:kern w:val="2"/>
                      <w:sz w:val="21"/>
                      <w:szCs w:val="21"/>
                      <w:u w:val="none"/>
                      <w:lang w:val="en-US" w:eastAsia="zh-CN" w:bidi="ar-SA"/>
                    </w:rPr>
                  </w:pPr>
                  <w:r>
                    <w:rPr>
                      <w:rFonts w:hint="eastAsia"/>
                      <w:color w:val="auto"/>
                      <w:szCs w:val="21"/>
                      <w:u w:val="none"/>
                      <w:lang w:val="en-US" w:eastAsia="zh-CN"/>
                    </w:rPr>
                    <w:t>1</w:t>
                  </w:r>
                  <w:r>
                    <w:rPr>
                      <w:rFonts w:hint="eastAsia"/>
                      <w:color w:val="auto"/>
                      <w:szCs w:val="21"/>
                      <w:u w:val="none"/>
                    </w:rPr>
                    <w:t>00人</w:t>
                  </w:r>
                </w:p>
              </w:tc>
              <w:tc>
                <w:tcPr>
                  <w:tcW w:w="1920" w:type="dxa"/>
                  <w:tcBorders>
                    <w:tl2br w:val="nil"/>
                    <w:tr2bl w:val="nil"/>
                  </w:tcBorders>
                  <w:vAlign w:val="center"/>
                </w:tcPr>
                <w:p>
                  <w:pPr>
                    <w:pStyle w:val="47"/>
                    <w:jc w:val="center"/>
                    <w:rPr>
                      <w:rFonts w:ascii="Times New Roman" w:hAnsi="Times New Roman" w:eastAsia="宋体" w:cs="Times New Roman"/>
                      <w:color w:val="auto"/>
                      <w:kern w:val="2"/>
                      <w:sz w:val="21"/>
                      <w:u w:val="none"/>
                      <w:lang w:val="en-US" w:eastAsia="zh-CN" w:bidi="zh-CN"/>
                    </w:rPr>
                  </w:pPr>
                  <w:r>
                    <w:rPr>
                      <w:rFonts w:ascii="Times New Roman" w:hAnsi="Times New Roman" w:cs="Times New Roman"/>
                      <w:color w:val="auto"/>
                      <w:u w:val="none"/>
                      <w:lang w:val="en-US"/>
                    </w:rPr>
                    <w:t>10m</w:t>
                  </w:r>
                </w:p>
              </w:tc>
              <w:tc>
                <w:tcPr>
                  <w:tcW w:w="2320" w:type="dxa"/>
                  <w:vMerge w:val="continue"/>
                  <w:tcBorders>
                    <w:tl2br w:val="nil"/>
                    <w:tr2bl w:val="nil"/>
                  </w:tcBorders>
                  <w:vAlign w:val="center"/>
                </w:tcPr>
                <w:p>
                  <w:pPr>
                    <w:pStyle w:val="21"/>
                    <w:ind w:left="0" w:leftChars="0"/>
                    <w:jc w:val="center"/>
                    <w:rPr>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080" w:type="dxa"/>
                  <w:vMerge w:val="continue"/>
                  <w:tcBorders>
                    <w:tl2br w:val="nil"/>
                    <w:tr2bl w:val="nil"/>
                  </w:tcBorders>
                  <w:vAlign w:val="center"/>
                </w:tcPr>
                <w:p>
                  <w:pPr>
                    <w:pStyle w:val="21"/>
                    <w:ind w:left="0" w:leftChars="0"/>
                    <w:jc w:val="center"/>
                    <w:rPr>
                      <w:color w:val="auto"/>
                      <w:szCs w:val="21"/>
                      <w:u w:val="none"/>
                    </w:rPr>
                  </w:pPr>
                </w:p>
              </w:tc>
              <w:tc>
                <w:tcPr>
                  <w:tcW w:w="5760" w:type="dxa"/>
                  <w:gridSpan w:val="3"/>
                  <w:tcBorders>
                    <w:tl2br w:val="nil"/>
                    <w:tr2bl w:val="nil"/>
                  </w:tcBorders>
                  <w:vAlign w:val="center"/>
                </w:tcPr>
                <w:p>
                  <w:pPr>
                    <w:widowControl/>
                    <w:jc w:val="center"/>
                    <w:rPr>
                      <w:color w:val="auto"/>
                      <w:u w:val="none"/>
                    </w:rPr>
                  </w:pPr>
                  <w:r>
                    <w:rPr>
                      <w:rFonts w:ascii="宋体" w:hAnsi="宋体" w:cs="宋体"/>
                      <w:color w:val="FF0000"/>
                      <w:kern w:val="0"/>
                      <w:szCs w:val="21"/>
                      <w:u w:val="wave"/>
                    </w:rPr>
                    <w:t>管网线路两侧向外延伸</w:t>
                  </w:r>
                  <w:r>
                    <w:rPr>
                      <w:color w:val="FF0000"/>
                      <w:kern w:val="0"/>
                      <w:szCs w:val="21"/>
                      <w:u w:val="wave"/>
                    </w:rPr>
                    <w:t>200</w:t>
                  </w:r>
                  <w:r>
                    <w:rPr>
                      <w:rFonts w:ascii="宋体" w:hAnsi="宋体" w:cs="宋体"/>
                      <w:color w:val="FF0000"/>
                      <w:kern w:val="0"/>
                      <w:szCs w:val="21"/>
                      <w:u w:val="wave"/>
                    </w:rPr>
                    <w:t>米范围内居民</w:t>
                  </w:r>
                </w:p>
              </w:tc>
              <w:tc>
                <w:tcPr>
                  <w:tcW w:w="2320" w:type="dxa"/>
                  <w:vMerge w:val="continue"/>
                  <w:tcBorders>
                    <w:tl2br w:val="nil"/>
                    <w:tr2bl w:val="nil"/>
                  </w:tcBorders>
                  <w:vAlign w:val="center"/>
                </w:tcPr>
                <w:p>
                  <w:pPr>
                    <w:pStyle w:val="21"/>
                    <w:ind w:left="0" w:leftChars="0"/>
                    <w:jc w:val="center"/>
                    <w:rPr>
                      <w:color w:val="auto"/>
                      <w:szCs w:val="21"/>
                      <w:u w:val="none"/>
                    </w:rPr>
                  </w:pPr>
                </w:p>
              </w:tc>
            </w:tr>
          </w:tbl>
          <w:p>
            <w:pPr>
              <w:pStyle w:val="25"/>
              <w:spacing w:beforeLines="0"/>
              <w:ind w:firstLine="480"/>
              <w:rPr>
                <w:color w:val="auto"/>
                <w:u w:val="none"/>
              </w:rPr>
            </w:pPr>
          </w:p>
        </w:tc>
      </w:tr>
    </w:tbl>
    <w:p>
      <w:pPr>
        <w:snapToGrid w:val="0"/>
        <w:textAlignment w:val="baseline"/>
        <w:outlineLvl w:val="0"/>
        <w:rPr>
          <w:rFonts w:eastAsia="黑体"/>
          <w:sz w:val="32"/>
        </w:rPr>
        <w:sectPr>
          <w:pgSz w:w="11906" w:h="16838"/>
          <w:pgMar w:top="1418" w:right="1134" w:bottom="1418" w:left="1474" w:header="851" w:footer="992" w:gutter="0"/>
          <w:pgBorders>
            <w:top w:val="none" w:sz="0" w:space="0"/>
            <w:left w:val="none" w:sz="0" w:space="0"/>
            <w:bottom w:val="none" w:sz="0" w:space="0"/>
            <w:right w:val="none" w:sz="0" w:space="0"/>
          </w:pgBorders>
          <w:cols w:space="720" w:num="1"/>
          <w:docGrid w:linePitch="312" w:charSpace="55034"/>
        </w:sectPr>
      </w:pPr>
    </w:p>
    <w:p>
      <w:pPr>
        <w:snapToGrid w:val="0"/>
        <w:textAlignment w:val="baseline"/>
        <w:outlineLvl w:val="0"/>
        <w:rPr>
          <w:rFonts w:eastAsia="黑体"/>
          <w:sz w:val="32"/>
        </w:rPr>
      </w:pPr>
      <w:bookmarkStart w:id="6" w:name="_Toc11808"/>
      <w:r>
        <w:rPr>
          <w:rFonts w:hint="eastAsia" w:ascii="黑体" w:hAnsi="黑体" w:eastAsia="黑体"/>
          <w:sz w:val="32"/>
          <w:szCs w:val="32"/>
        </w:rPr>
        <w:t>四、</w:t>
      </w:r>
      <w:r>
        <w:rPr>
          <w:rFonts w:eastAsia="黑体"/>
          <w:sz w:val="32"/>
        </w:rPr>
        <w:t>评价适用标准</w:t>
      </w:r>
      <w:bookmarkEnd w:id="6"/>
    </w:p>
    <w:tbl>
      <w:tblPr>
        <w:tblStyle w:val="27"/>
        <w:tblW w:w="93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6"/>
        <w:gridCol w:w="87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8" w:hRule="atLeast"/>
          <w:jc w:val="center"/>
        </w:trPr>
        <w:tc>
          <w:tcPr>
            <w:tcW w:w="596" w:type="dxa"/>
            <w:vAlign w:val="center"/>
          </w:tcPr>
          <w:p>
            <w:pPr>
              <w:jc w:val="center"/>
              <w:rPr>
                <w:b/>
                <w:bCs/>
                <w:color w:val="auto"/>
                <w:sz w:val="24"/>
                <w:szCs w:val="24"/>
              </w:rPr>
            </w:pPr>
            <w:r>
              <w:rPr>
                <w:b/>
                <w:bCs/>
                <w:color w:val="auto"/>
                <w:sz w:val="24"/>
                <w:szCs w:val="24"/>
              </w:rPr>
              <w:t>环境质量标准</w:t>
            </w:r>
          </w:p>
        </w:tc>
        <w:tc>
          <w:tcPr>
            <w:tcW w:w="8746" w:type="dxa"/>
            <w:vAlign w:val="center"/>
          </w:tcPr>
          <w:p>
            <w:pPr>
              <w:pStyle w:val="25"/>
              <w:keepNext w:val="0"/>
              <w:keepLines w:val="0"/>
              <w:pageBreakBefore w:val="0"/>
              <w:widowControl w:val="0"/>
              <w:kinsoku/>
              <w:wordWrap/>
              <w:overflowPunct/>
              <w:topLinePunct w:val="0"/>
              <w:autoSpaceDE/>
              <w:autoSpaceDN/>
              <w:bidi w:val="0"/>
              <w:adjustRightInd w:val="0"/>
              <w:snapToGrid w:val="0"/>
              <w:spacing w:beforeLines="0" w:line="360" w:lineRule="auto"/>
              <w:ind w:firstLine="460"/>
              <w:textAlignment w:val="auto"/>
              <w:rPr>
                <w:color w:val="auto"/>
                <w:szCs w:val="22"/>
                <w:u w:val="none"/>
              </w:rPr>
            </w:pPr>
            <w:r>
              <w:rPr>
                <w:rFonts w:hint="eastAsia"/>
                <w:color w:val="auto"/>
                <w:szCs w:val="24"/>
                <w:u w:val="none"/>
              </w:rPr>
              <w:t>1、</w:t>
            </w:r>
            <w:r>
              <w:rPr>
                <w:color w:val="auto"/>
                <w:szCs w:val="24"/>
                <w:u w:val="none"/>
              </w:rPr>
              <w:t>环境空气：环境空气质量执行《环境空气质量标准》（GB3095-2012）中的二级标准</w:t>
            </w:r>
            <w:r>
              <w:rPr>
                <w:rFonts w:hint="eastAsia"/>
                <w:color w:val="auto"/>
                <w:szCs w:val="24"/>
                <w:u w:val="none"/>
              </w:rPr>
              <w:t>；</w:t>
            </w:r>
            <w:r>
              <w:rPr>
                <w:rFonts w:hint="eastAsia"/>
                <w:color w:val="auto"/>
                <w:u w:val="none"/>
              </w:rPr>
              <w:t>硫化氢、氨</w:t>
            </w:r>
            <w:r>
              <w:rPr>
                <w:color w:val="auto"/>
                <w:u w:val="none"/>
              </w:rPr>
              <w:t>执行</w:t>
            </w:r>
            <w:r>
              <w:rPr>
                <w:color w:val="auto"/>
                <w:szCs w:val="22"/>
                <w:u w:val="none"/>
              </w:rPr>
              <w:t>《环境影响评价技术导则－大气环境》</w:t>
            </w:r>
            <w:r>
              <w:rPr>
                <w:rFonts w:hint="eastAsia"/>
                <w:color w:val="auto"/>
                <w:szCs w:val="22"/>
                <w:u w:val="none"/>
              </w:rPr>
              <w:t>（HJ 2.2-2018）</w:t>
            </w:r>
            <w:r>
              <w:rPr>
                <w:color w:val="auto"/>
                <w:u w:val="none"/>
              </w:rPr>
              <w:t>中的附录D其他污染物空气质量浓度参考限值</w:t>
            </w:r>
            <w:r>
              <w:rPr>
                <w:color w:val="auto"/>
                <w:szCs w:val="22"/>
                <w:u w:val="none"/>
              </w:rPr>
              <w:t>。</w:t>
            </w:r>
            <w:r>
              <w:rPr>
                <w:rFonts w:hint="eastAsia"/>
                <w:color w:val="auto"/>
                <w:sz w:val="24"/>
                <w:u w:val="none"/>
                <w:lang w:eastAsia="zh-CN"/>
              </w:rPr>
              <w:t>标准限值</w:t>
            </w:r>
            <w:r>
              <w:rPr>
                <w:rFonts w:hint="eastAsia"/>
                <w:color w:val="auto"/>
                <w:sz w:val="24"/>
                <w:u w:val="none"/>
              </w:rPr>
              <w:t>详见表</w:t>
            </w:r>
            <w:r>
              <w:rPr>
                <w:rFonts w:hint="eastAsia"/>
                <w:color w:val="auto"/>
                <w:sz w:val="24"/>
                <w:u w:val="none"/>
                <w:lang w:val="en-US" w:eastAsia="zh-CN"/>
              </w:rPr>
              <w:t>4-1</w:t>
            </w:r>
            <w:r>
              <w:rPr>
                <w:color w:val="auto"/>
                <w:sz w:val="24"/>
                <w:szCs w:val="24"/>
                <w:u w:val="none"/>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auto"/>
                <w:szCs w:val="21"/>
                <w:u w:val="none"/>
              </w:rPr>
            </w:pPr>
            <w:r>
              <w:rPr>
                <w:b/>
                <w:color w:val="auto"/>
                <w:szCs w:val="21"/>
                <w:u w:val="none"/>
              </w:rPr>
              <w:t>表4-1   环境空气质量标准限值</w:t>
            </w:r>
          </w:p>
          <w:tbl>
            <w:tblPr>
              <w:tblStyle w:val="27"/>
              <w:tblW w:w="78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796"/>
              <w:gridCol w:w="1666"/>
              <w:gridCol w:w="29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72" w:type="dxa"/>
                  <w:tcBorders>
                    <w:tl2br w:val="nil"/>
                    <w:tr2bl w:val="nil"/>
                  </w:tcBorders>
                  <w:vAlign w:val="center"/>
                </w:tcPr>
                <w:p>
                  <w:pPr>
                    <w:jc w:val="center"/>
                    <w:rPr>
                      <w:bCs/>
                      <w:color w:val="auto"/>
                      <w:kern w:val="0"/>
                      <w:szCs w:val="21"/>
                      <w:u w:val="none"/>
                    </w:rPr>
                  </w:pPr>
                  <w:r>
                    <w:rPr>
                      <w:bCs/>
                      <w:color w:val="auto"/>
                      <w:kern w:val="0"/>
                      <w:szCs w:val="21"/>
                      <w:u w:val="none"/>
                    </w:rPr>
                    <w:t>污染物名称</w:t>
                  </w:r>
                </w:p>
              </w:tc>
              <w:tc>
                <w:tcPr>
                  <w:tcW w:w="1796" w:type="dxa"/>
                  <w:tcBorders>
                    <w:tl2br w:val="nil"/>
                    <w:tr2bl w:val="nil"/>
                  </w:tcBorders>
                  <w:vAlign w:val="center"/>
                </w:tcPr>
                <w:p>
                  <w:pPr>
                    <w:jc w:val="center"/>
                    <w:rPr>
                      <w:bCs/>
                      <w:color w:val="auto"/>
                      <w:szCs w:val="21"/>
                      <w:u w:val="none"/>
                    </w:rPr>
                  </w:pPr>
                  <w:r>
                    <w:rPr>
                      <w:bCs/>
                      <w:color w:val="auto"/>
                      <w:szCs w:val="21"/>
                      <w:u w:val="none"/>
                    </w:rPr>
                    <w:t>取值时间</w:t>
                  </w:r>
                </w:p>
              </w:tc>
              <w:tc>
                <w:tcPr>
                  <w:tcW w:w="1666" w:type="dxa"/>
                  <w:tcBorders>
                    <w:tl2br w:val="nil"/>
                    <w:tr2bl w:val="nil"/>
                  </w:tcBorders>
                  <w:vAlign w:val="center"/>
                </w:tcPr>
                <w:p>
                  <w:pPr>
                    <w:jc w:val="center"/>
                    <w:rPr>
                      <w:bCs/>
                      <w:color w:val="auto"/>
                      <w:szCs w:val="21"/>
                      <w:u w:val="none"/>
                    </w:rPr>
                  </w:pPr>
                  <w:r>
                    <w:rPr>
                      <w:bCs/>
                      <w:color w:val="auto"/>
                      <w:szCs w:val="21"/>
                      <w:u w:val="none"/>
                    </w:rPr>
                    <w:t>浓度限值</w:t>
                  </w:r>
                </w:p>
              </w:tc>
              <w:tc>
                <w:tcPr>
                  <w:tcW w:w="2974" w:type="dxa"/>
                  <w:tcBorders>
                    <w:tl2br w:val="nil"/>
                    <w:tr2bl w:val="nil"/>
                  </w:tcBorders>
                  <w:vAlign w:val="center"/>
                </w:tcPr>
                <w:p>
                  <w:pPr>
                    <w:jc w:val="center"/>
                    <w:rPr>
                      <w:bCs/>
                      <w:color w:val="auto"/>
                      <w:szCs w:val="21"/>
                      <w:u w:val="none"/>
                    </w:rPr>
                  </w:pPr>
                  <w:r>
                    <w:rPr>
                      <w:bCs/>
                      <w:color w:val="auto"/>
                      <w:szCs w:val="21"/>
                      <w:u w:val="none"/>
                    </w:rPr>
                    <w:t>选用标准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72" w:type="dxa"/>
                  <w:tcBorders>
                    <w:tl2br w:val="nil"/>
                    <w:tr2bl w:val="nil"/>
                  </w:tcBorders>
                  <w:vAlign w:val="center"/>
                </w:tcPr>
                <w:p>
                  <w:pPr>
                    <w:widowControl/>
                    <w:jc w:val="center"/>
                    <w:rPr>
                      <w:bCs/>
                      <w:color w:val="auto"/>
                      <w:szCs w:val="21"/>
                      <w:u w:val="none"/>
                    </w:rPr>
                  </w:pPr>
                  <w:r>
                    <w:rPr>
                      <w:bCs/>
                      <w:snapToGrid w:val="0"/>
                      <w:color w:val="auto"/>
                      <w:kern w:val="0"/>
                      <w:szCs w:val="21"/>
                      <w:u w:val="none"/>
                    </w:rPr>
                    <w:t>PM</w:t>
                  </w:r>
                  <w:r>
                    <w:rPr>
                      <w:rFonts w:hint="eastAsia"/>
                      <w:bCs/>
                      <w:snapToGrid w:val="0"/>
                      <w:color w:val="auto"/>
                      <w:kern w:val="0"/>
                      <w:szCs w:val="21"/>
                      <w:u w:val="none"/>
                      <w:vertAlign w:val="subscript"/>
                    </w:rPr>
                    <w:t>2.5</w:t>
                  </w:r>
                </w:p>
              </w:tc>
              <w:tc>
                <w:tcPr>
                  <w:tcW w:w="1796" w:type="dxa"/>
                  <w:tcBorders>
                    <w:tl2br w:val="nil"/>
                    <w:tr2bl w:val="nil"/>
                  </w:tcBorders>
                  <w:vAlign w:val="center"/>
                </w:tcPr>
                <w:p>
                  <w:pPr>
                    <w:widowControl/>
                    <w:jc w:val="center"/>
                    <w:rPr>
                      <w:bCs/>
                      <w:color w:val="auto"/>
                      <w:szCs w:val="21"/>
                      <w:u w:val="none"/>
                    </w:rPr>
                  </w:pPr>
                  <w:r>
                    <w:rPr>
                      <w:bCs/>
                      <w:color w:val="auto"/>
                      <w:kern w:val="0"/>
                      <w:szCs w:val="21"/>
                      <w:u w:val="none"/>
                    </w:rPr>
                    <w:t>24小时平均</w:t>
                  </w:r>
                </w:p>
              </w:tc>
              <w:tc>
                <w:tcPr>
                  <w:tcW w:w="1666" w:type="dxa"/>
                  <w:tcBorders>
                    <w:tl2br w:val="nil"/>
                    <w:tr2bl w:val="nil"/>
                  </w:tcBorders>
                  <w:vAlign w:val="center"/>
                </w:tcPr>
                <w:p>
                  <w:pPr>
                    <w:widowControl/>
                    <w:jc w:val="center"/>
                    <w:rPr>
                      <w:bCs/>
                      <w:color w:val="auto"/>
                      <w:szCs w:val="21"/>
                      <w:u w:val="none"/>
                    </w:rPr>
                  </w:pPr>
                  <w:r>
                    <w:rPr>
                      <w:rFonts w:hint="eastAsia"/>
                      <w:bCs/>
                      <w:color w:val="auto"/>
                      <w:kern w:val="0"/>
                      <w:szCs w:val="21"/>
                      <w:u w:val="none"/>
                    </w:rPr>
                    <w:t>75</w:t>
                  </w:r>
                  <w:r>
                    <w:rPr>
                      <w:bCs/>
                      <w:color w:val="auto"/>
                      <w:kern w:val="0"/>
                      <w:szCs w:val="21"/>
                      <w:u w:val="none"/>
                    </w:rPr>
                    <w:t>μg/m</w:t>
                  </w:r>
                  <w:r>
                    <w:rPr>
                      <w:bCs/>
                      <w:color w:val="auto"/>
                      <w:kern w:val="0"/>
                      <w:szCs w:val="21"/>
                      <w:u w:val="none"/>
                      <w:vertAlign w:val="superscript"/>
                    </w:rPr>
                    <w:t>3</w:t>
                  </w:r>
                </w:p>
              </w:tc>
              <w:tc>
                <w:tcPr>
                  <w:tcW w:w="2974" w:type="dxa"/>
                  <w:vMerge w:val="restart"/>
                  <w:tcBorders>
                    <w:tl2br w:val="nil"/>
                    <w:tr2bl w:val="nil"/>
                  </w:tcBorders>
                  <w:vAlign w:val="center"/>
                </w:tcPr>
                <w:p>
                  <w:pPr>
                    <w:jc w:val="center"/>
                    <w:rPr>
                      <w:bCs/>
                      <w:color w:val="auto"/>
                      <w:kern w:val="0"/>
                      <w:szCs w:val="21"/>
                      <w:u w:val="none"/>
                    </w:rPr>
                  </w:pPr>
                  <w:r>
                    <w:rPr>
                      <w:bCs/>
                      <w:color w:val="auto"/>
                      <w:szCs w:val="21"/>
                      <w:u w:val="none"/>
                    </w:rPr>
                    <w:t>《环境空气质量标准》</w:t>
                  </w:r>
                  <w:r>
                    <w:rPr>
                      <w:bCs/>
                      <w:color w:val="auto"/>
                      <w:kern w:val="0"/>
                      <w:szCs w:val="21"/>
                      <w:u w:val="none"/>
                    </w:rPr>
                    <w:t>（GB3095-2012）</w:t>
                  </w:r>
                </w:p>
                <w:p>
                  <w:pPr>
                    <w:jc w:val="center"/>
                    <w:rPr>
                      <w:bCs/>
                      <w:color w:val="auto"/>
                      <w:szCs w:val="21"/>
                      <w:u w:val="none"/>
                    </w:rPr>
                  </w:pPr>
                  <w:r>
                    <w:rPr>
                      <w:bCs/>
                      <w:color w:val="auto"/>
                      <w:kern w:val="0"/>
                      <w:szCs w:val="21"/>
                      <w:u w:val="none"/>
                    </w:rPr>
                    <w:t>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72" w:type="dxa"/>
                  <w:tcBorders>
                    <w:tl2br w:val="nil"/>
                    <w:tr2bl w:val="nil"/>
                  </w:tcBorders>
                  <w:vAlign w:val="center"/>
                </w:tcPr>
                <w:p>
                  <w:pPr>
                    <w:jc w:val="center"/>
                    <w:rPr>
                      <w:bCs/>
                      <w:color w:val="auto"/>
                      <w:szCs w:val="21"/>
                      <w:u w:val="none"/>
                    </w:rPr>
                  </w:pPr>
                  <w:r>
                    <w:rPr>
                      <w:bCs/>
                      <w:color w:val="auto"/>
                      <w:szCs w:val="21"/>
                      <w:u w:val="none"/>
                    </w:rPr>
                    <w:t>PM</w:t>
                  </w:r>
                  <w:r>
                    <w:rPr>
                      <w:bCs/>
                      <w:color w:val="auto"/>
                      <w:szCs w:val="21"/>
                      <w:u w:val="none"/>
                      <w:vertAlign w:val="subscript"/>
                    </w:rPr>
                    <w:t>10</w:t>
                  </w:r>
                </w:p>
              </w:tc>
              <w:tc>
                <w:tcPr>
                  <w:tcW w:w="1796" w:type="dxa"/>
                  <w:tcBorders>
                    <w:tl2br w:val="nil"/>
                    <w:tr2bl w:val="nil"/>
                  </w:tcBorders>
                  <w:vAlign w:val="center"/>
                </w:tcPr>
                <w:p>
                  <w:pPr>
                    <w:jc w:val="center"/>
                    <w:rPr>
                      <w:bCs/>
                      <w:color w:val="auto"/>
                      <w:szCs w:val="21"/>
                      <w:u w:val="none"/>
                    </w:rPr>
                  </w:pPr>
                  <w:r>
                    <w:rPr>
                      <w:bCs/>
                      <w:color w:val="auto"/>
                      <w:kern w:val="0"/>
                      <w:szCs w:val="21"/>
                      <w:u w:val="none"/>
                    </w:rPr>
                    <w:t>24小时均值</w:t>
                  </w:r>
                </w:p>
              </w:tc>
              <w:tc>
                <w:tcPr>
                  <w:tcW w:w="1666" w:type="dxa"/>
                  <w:tcBorders>
                    <w:tl2br w:val="nil"/>
                    <w:tr2bl w:val="nil"/>
                  </w:tcBorders>
                  <w:vAlign w:val="center"/>
                </w:tcPr>
                <w:p>
                  <w:pPr>
                    <w:jc w:val="center"/>
                    <w:rPr>
                      <w:bCs/>
                      <w:color w:val="auto"/>
                      <w:szCs w:val="21"/>
                      <w:u w:val="none"/>
                    </w:rPr>
                  </w:pPr>
                  <w:r>
                    <w:rPr>
                      <w:bCs/>
                      <w:color w:val="auto"/>
                      <w:szCs w:val="21"/>
                      <w:u w:val="none"/>
                    </w:rPr>
                    <w:t>150</w:t>
                  </w:r>
                  <w:r>
                    <w:rPr>
                      <w:bCs/>
                      <w:color w:val="auto"/>
                      <w:kern w:val="0"/>
                      <w:szCs w:val="21"/>
                      <w:u w:val="none"/>
                    </w:rPr>
                    <w:t>μg/m</w:t>
                  </w:r>
                  <w:r>
                    <w:rPr>
                      <w:bCs/>
                      <w:color w:val="auto"/>
                      <w:kern w:val="0"/>
                      <w:szCs w:val="21"/>
                      <w:u w:val="none"/>
                      <w:vertAlign w:val="superscript"/>
                    </w:rPr>
                    <w:t>3</w:t>
                  </w:r>
                </w:p>
              </w:tc>
              <w:tc>
                <w:tcPr>
                  <w:tcW w:w="2974" w:type="dxa"/>
                  <w:vMerge w:val="continue"/>
                  <w:tcBorders>
                    <w:tl2br w:val="nil"/>
                    <w:tr2bl w:val="nil"/>
                  </w:tcBorders>
                  <w:vAlign w:val="center"/>
                </w:tcPr>
                <w:p>
                  <w:pPr>
                    <w:jc w:val="center"/>
                    <w:rPr>
                      <w:bCs/>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372" w:type="dxa"/>
                  <w:tcBorders>
                    <w:tl2br w:val="nil"/>
                    <w:tr2bl w:val="nil"/>
                  </w:tcBorders>
                  <w:vAlign w:val="center"/>
                </w:tcPr>
                <w:p>
                  <w:pPr>
                    <w:jc w:val="center"/>
                    <w:rPr>
                      <w:bCs/>
                      <w:color w:val="auto"/>
                      <w:szCs w:val="21"/>
                      <w:u w:val="none"/>
                    </w:rPr>
                  </w:pPr>
                  <w:r>
                    <w:rPr>
                      <w:bCs/>
                      <w:color w:val="auto"/>
                      <w:szCs w:val="21"/>
                      <w:u w:val="none"/>
                    </w:rPr>
                    <w:t>SO</w:t>
                  </w:r>
                  <w:r>
                    <w:rPr>
                      <w:bCs/>
                      <w:color w:val="auto"/>
                      <w:szCs w:val="21"/>
                      <w:u w:val="none"/>
                      <w:vertAlign w:val="subscript"/>
                    </w:rPr>
                    <w:t>2</w:t>
                  </w:r>
                </w:p>
              </w:tc>
              <w:tc>
                <w:tcPr>
                  <w:tcW w:w="1796" w:type="dxa"/>
                  <w:tcBorders>
                    <w:tl2br w:val="nil"/>
                    <w:tr2bl w:val="nil"/>
                  </w:tcBorders>
                  <w:vAlign w:val="center"/>
                </w:tcPr>
                <w:p>
                  <w:pPr>
                    <w:jc w:val="center"/>
                    <w:rPr>
                      <w:bCs/>
                      <w:color w:val="auto"/>
                      <w:szCs w:val="21"/>
                      <w:u w:val="none"/>
                    </w:rPr>
                  </w:pPr>
                  <w:r>
                    <w:rPr>
                      <w:bCs/>
                      <w:color w:val="auto"/>
                      <w:kern w:val="0"/>
                      <w:szCs w:val="21"/>
                      <w:u w:val="none"/>
                    </w:rPr>
                    <w:t>24小时均值</w:t>
                  </w:r>
                </w:p>
              </w:tc>
              <w:tc>
                <w:tcPr>
                  <w:tcW w:w="1666" w:type="dxa"/>
                  <w:tcBorders>
                    <w:tl2br w:val="nil"/>
                    <w:tr2bl w:val="nil"/>
                  </w:tcBorders>
                  <w:vAlign w:val="center"/>
                </w:tcPr>
                <w:p>
                  <w:pPr>
                    <w:jc w:val="center"/>
                    <w:rPr>
                      <w:bCs/>
                      <w:color w:val="auto"/>
                      <w:szCs w:val="21"/>
                      <w:u w:val="none"/>
                    </w:rPr>
                  </w:pPr>
                  <w:r>
                    <w:rPr>
                      <w:bCs/>
                      <w:color w:val="auto"/>
                      <w:szCs w:val="21"/>
                      <w:u w:val="none"/>
                    </w:rPr>
                    <w:t>150</w:t>
                  </w:r>
                  <w:r>
                    <w:rPr>
                      <w:bCs/>
                      <w:color w:val="auto"/>
                      <w:kern w:val="0"/>
                      <w:szCs w:val="21"/>
                      <w:u w:val="none"/>
                    </w:rPr>
                    <w:t>μg/m</w:t>
                  </w:r>
                  <w:r>
                    <w:rPr>
                      <w:bCs/>
                      <w:color w:val="auto"/>
                      <w:kern w:val="0"/>
                      <w:szCs w:val="21"/>
                      <w:u w:val="none"/>
                      <w:vertAlign w:val="superscript"/>
                    </w:rPr>
                    <w:t>3</w:t>
                  </w:r>
                </w:p>
              </w:tc>
              <w:tc>
                <w:tcPr>
                  <w:tcW w:w="2974" w:type="dxa"/>
                  <w:vMerge w:val="continue"/>
                  <w:tcBorders>
                    <w:tl2br w:val="nil"/>
                    <w:tr2bl w:val="nil"/>
                  </w:tcBorders>
                  <w:vAlign w:val="center"/>
                </w:tcPr>
                <w:p>
                  <w:pPr>
                    <w:jc w:val="center"/>
                    <w:rPr>
                      <w:bCs/>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372" w:type="dxa"/>
                  <w:tcBorders>
                    <w:tl2br w:val="nil"/>
                    <w:tr2bl w:val="nil"/>
                  </w:tcBorders>
                  <w:vAlign w:val="center"/>
                </w:tcPr>
                <w:p>
                  <w:pPr>
                    <w:jc w:val="center"/>
                    <w:rPr>
                      <w:bCs/>
                      <w:color w:val="auto"/>
                      <w:kern w:val="0"/>
                      <w:szCs w:val="21"/>
                      <w:u w:val="none"/>
                    </w:rPr>
                  </w:pPr>
                  <w:r>
                    <w:rPr>
                      <w:bCs/>
                      <w:color w:val="auto"/>
                      <w:kern w:val="0"/>
                      <w:szCs w:val="21"/>
                      <w:u w:val="none"/>
                    </w:rPr>
                    <w:t>NO</w:t>
                  </w:r>
                  <w:r>
                    <w:rPr>
                      <w:bCs/>
                      <w:color w:val="auto"/>
                      <w:kern w:val="0"/>
                      <w:szCs w:val="21"/>
                      <w:u w:val="none"/>
                      <w:vertAlign w:val="subscript"/>
                    </w:rPr>
                    <w:t>2</w:t>
                  </w:r>
                </w:p>
              </w:tc>
              <w:tc>
                <w:tcPr>
                  <w:tcW w:w="1796" w:type="dxa"/>
                  <w:tcBorders>
                    <w:tl2br w:val="nil"/>
                    <w:tr2bl w:val="nil"/>
                  </w:tcBorders>
                  <w:vAlign w:val="center"/>
                </w:tcPr>
                <w:p>
                  <w:pPr>
                    <w:jc w:val="center"/>
                    <w:rPr>
                      <w:bCs/>
                      <w:color w:val="auto"/>
                      <w:kern w:val="0"/>
                      <w:szCs w:val="21"/>
                      <w:u w:val="none"/>
                    </w:rPr>
                  </w:pPr>
                  <w:r>
                    <w:rPr>
                      <w:bCs/>
                      <w:color w:val="auto"/>
                      <w:kern w:val="0"/>
                      <w:szCs w:val="21"/>
                      <w:u w:val="none"/>
                    </w:rPr>
                    <w:t>24小时</w:t>
                  </w:r>
                  <w:r>
                    <w:rPr>
                      <w:bCs/>
                      <w:color w:val="auto"/>
                      <w:szCs w:val="21"/>
                      <w:u w:val="none"/>
                    </w:rPr>
                    <w:t>均值</w:t>
                  </w:r>
                </w:p>
              </w:tc>
              <w:tc>
                <w:tcPr>
                  <w:tcW w:w="1666" w:type="dxa"/>
                  <w:tcBorders>
                    <w:tl2br w:val="nil"/>
                    <w:tr2bl w:val="nil"/>
                  </w:tcBorders>
                  <w:vAlign w:val="center"/>
                </w:tcPr>
                <w:p>
                  <w:pPr>
                    <w:jc w:val="center"/>
                    <w:rPr>
                      <w:bCs/>
                      <w:color w:val="auto"/>
                      <w:szCs w:val="21"/>
                      <w:u w:val="none"/>
                    </w:rPr>
                  </w:pPr>
                  <w:r>
                    <w:rPr>
                      <w:bCs/>
                      <w:color w:val="auto"/>
                      <w:szCs w:val="21"/>
                      <w:u w:val="none"/>
                    </w:rPr>
                    <w:t>80</w:t>
                  </w:r>
                  <w:r>
                    <w:rPr>
                      <w:bCs/>
                      <w:color w:val="auto"/>
                      <w:kern w:val="0"/>
                      <w:szCs w:val="21"/>
                      <w:u w:val="none"/>
                    </w:rPr>
                    <w:t>μg/m</w:t>
                  </w:r>
                  <w:r>
                    <w:rPr>
                      <w:bCs/>
                      <w:color w:val="auto"/>
                      <w:kern w:val="0"/>
                      <w:szCs w:val="21"/>
                      <w:u w:val="none"/>
                      <w:vertAlign w:val="superscript"/>
                    </w:rPr>
                    <w:t>3</w:t>
                  </w:r>
                </w:p>
              </w:tc>
              <w:tc>
                <w:tcPr>
                  <w:tcW w:w="2974" w:type="dxa"/>
                  <w:vMerge w:val="continue"/>
                  <w:tcBorders>
                    <w:tl2br w:val="nil"/>
                    <w:tr2bl w:val="nil"/>
                  </w:tcBorders>
                  <w:vAlign w:val="center"/>
                </w:tcPr>
                <w:p>
                  <w:pPr>
                    <w:jc w:val="center"/>
                    <w:rPr>
                      <w:bCs/>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372" w:type="dxa"/>
                  <w:tcBorders>
                    <w:tl2br w:val="nil"/>
                    <w:tr2bl w:val="nil"/>
                  </w:tcBorders>
                  <w:vAlign w:val="center"/>
                </w:tcPr>
                <w:p>
                  <w:pPr>
                    <w:widowControl/>
                    <w:jc w:val="center"/>
                    <w:rPr>
                      <w:bCs/>
                      <w:color w:val="auto"/>
                      <w:kern w:val="0"/>
                      <w:szCs w:val="21"/>
                      <w:u w:val="none"/>
                    </w:rPr>
                  </w:pPr>
                  <w:r>
                    <w:rPr>
                      <w:rFonts w:hint="eastAsia"/>
                      <w:bCs/>
                      <w:color w:val="auto"/>
                      <w:kern w:val="0"/>
                      <w:szCs w:val="21"/>
                      <w:u w:val="none"/>
                    </w:rPr>
                    <w:t>CO</w:t>
                  </w:r>
                </w:p>
              </w:tc>
              <w:tc>
                <w:tcPr>
                  <w:tcW w:w="1796" w:type="dxa"/>
                  <w:tcBorders>
                    <w:tl2br w:val="nil"/>
                    <w:tr2bl w:val="nil"/>
                  </w:tcBorders>
                  <w:vAlign w:val="center"/>
                </w:tcPr>
                <w:p>
                  <w:pPr>
                    <w:spacing w:line="300" w:lineRule="atLeast"/>
                    <w:jc w:val="center"/>
                    <w:rPr>
                      <w:bCs/>
                      <w:color w:val="auto"/>
                      <w:kern w:val="0"/>
                      <w:szCs w:val="21"/>
                      <w:u w:val="none"/>
                    </w:rPr>
                  </w:pPr>
                  <w:r>
                    <w:rPr>
                      <w:bCs/>
                      <w:color w:val="auto"/>
                      <w:szCs w:val="21"/>
                      <w:u w:val="none"/>
                    </w:rPr>
                    <w:t>24小时平均</w:t>
                  </w:r>
                </w:p>
              </w:tc>
              <w:tc>
                <w:tcPr>
                  <w:tcW w:w="1666" w:type="dxa"/>
                  <w:tcBorders>
                    <w:tl2br w:val="nil"/>
                    <w:tr2bl w:val="nil"/>
                  </w:tcBorders>
                  <w:vAlign w:val="center"/>
                </w:tcPr>
                <w:p>
                  <w:pPr>
                    <w:widowControl/>
                    <w:jc w:val="center"/>
                    <w:rPr>
                      <w:bCs/>
                      <w:color w:val="auto"/>
                      <w:szCs w:val="21"/>
                      <w:u w:val="none"/>
                    </w:rPr>
                  </w:pPr>
                  <w:r>
                    <w:rPr>
                      <w:rFonts w:hint="eastAsia"/>
                      <w:bCs/>
                      <w:color w:val="auto"/>
                      <w:kern w:val="0"/>
                      <w:szCs w:val="21"/>
                      <w:u w:val="none"/>
                    </w:rPr>
                    <w:t>4m</w:t>
                  </w:r>
                  <w:r>
                    <w:rPr>
                      <w:bCs/>
                      <w:color w:val="auto"/>
                      <w:kern w:val="0"/>
                      <w:szCs w:val="21"/>
                      <w:u w:val="none"/>
                    </w:rPr>
                    <w:t>g/m</w:t>
                  </w:r>
                  <w:r>
                    <w:rPr>
                      <w:bCs/>
                      <w:color w:val="auto"/>
                      <w:kern w:val="0"/>
                      <w:szCs w:val="21"/>
                      <w:u w:val="none"/>
                      <w:vertAlign w:val="superscript"/>
                    </w:rPr>
                    <w:t>3</w:t>
                  </w:r>
                </w:p>
              </w:tc>
              <w:tc>
                <w:tcPr>
                  <w:tcW w:w="2974" w:type="dxa"/>
                  <w:vMerge w:val="continue"/>
                  <w:tcBorders>
                    <w:tl2br w:val="nil"/>
                    <w:tr2bl w:val="nil"/>
                  </w:tcBorders>
                  <w:vAlign w:val="center"/>
                </w:tcPr>
                <w:p>
                  <w:pPr>
                    <w:jc w:val="center"/>
                    <w:rPr>
                      <w:bCs/>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372" w:type="dxa"/>
                  <w:tcBorders>
                    <w:tl2br w:val="nil"/>
                    <w:tr2bl w:val="nil"/>
                  </w:tcBorders>
                  <w:vAlign w:val="center"/>
                </w:tcPr>
                <w:p>
                  <w:pPr>
                    <w:widowControl/>
                    <w:jc w:val="center"/>
                    <w:rPr>
                      <w:bCs/>
                      <w:color w:val="auto"/>
                      <w:kern w:val="0"/>
                      <w:szCs w:val="21"/>
                      <w:u w:val="none"/>
                    </w:rPr>
                  </w:pPr>
                  <w:r>
                    <w:rPr>
                      <w:rFonts w:hint="eastAsia"/>
                      <w:bCs/>
                      <w:color w:val="auto"/>
                      <w:kern w:val="0"/>
                      <w:szCs w:val="21"/>
                      <w:u w:val="none"/>
                    </w:rPr>
                    <w:t>O</w:t>
                  </w:r>
                  <w:r>
                    <w:rPr>
                      <w:rFonts w:hint="eastAsia"/>
                      <w:bCs/>
                      <w:color w:val="auto"/>
                      <w:kern w:val="0"/>
                      <w:szCs w:val="21"/>
                      <w:u w:val="none"/>
                      <w:vertAlign w:val="subscript"/>
                    </w:rPr>
                    <w:t>3</w:t>
                  </w:r>
                </w:p>
              </w:tc>
              <w:tc>
                <w:tcPr>
                  <w:tcW w:w="1796" w:type="dxa"/>
                  <w:tcBorders>
                    <w:tl2br w:val="nil"/>
                    <w:tr2bl w:val="nil"/>
                  </w:tcBorders>
                  <w:vAlign w:val="center"/>
                </w:tcPr>
                <w:p>
                  <w:pPr>
                    <w:spacing w:line="300" w:lineRule="atLeast"/>
                    <w:jc w:val="center"/>
                    <w:rPr>
                      <w:bCs/>
                      <w:color w:val="auto"/>
                      <w:kern w:val="0"/>
                      <w:szCs w:val="21"/>
                      <w:u w:val="none"/>
                    </w:rPr>
                  </w:pPr>
                  <w:r>
                    <w:rPr>
                      <w:rFonts w:hint="eastAsia"/>
                      <w:bCs/>
                      <w:color w:val="auto"/>
                      <w:szCs w:val="21"/>
                      <w:u w:val="none"/>
                    </w:rPr>
                    <w:t>日最大8小时平均</w:t>
                  </w:r>
                </w:p>
              </w:tc>
              <w:tc>
                <w:tcPr>
                  <w:tcW w:w="1666" w:type="dxa"/>
                  <w:tcBorders>
                    <w:tl2br w:val="nil"/>
                    <w:tr2bl w:val="nil"/>
                  </w:tcBorders>
                  <w:vAlign w:val="center"/>
                </w:tcPr>
                <w:p>
                  <w:pPr>
                    <w:widowControl/>
                    <w:jc w:val="center"/>
                    <w:rPr>
                      <w:bCs/>
                      <w:color w:val="auto"/>
                      <w:szCs w:val="21"/>
                      <w:u w:val="none"/>
                    </w:rPr>
                  </w:pPr>
                  <w:r>
                    <w:rPr>
                      <w:rFonts w:hint="eastAsia"/>
                      <w:bCs/>
                      <w:color w:val="auto"/>
                      <w:kern w:val="0"/>
                      <w:szCs w:val="21"/>
                      <w:u w:val="none"/>
                    </w:rPr>
                    <w:t>160</w:t>
                  </w:r>
                  <w:r>
                    <w:rPr>
                      <w:bCs/>
                      <w:color w:val="auto"/>
                      <w:kern w:val="0"/>
                      <w:szCs w:val="21"/>
                      <w:u w:val="none"/>
                    </w:rPr>
                    <w:t>μg/m</w:t>
                  </w:r>
                  <w:r>
                    <w:rPr>
                      <w:bCs/>
                      <w:color w:val="auto"/>
                      <w:kern w:val="0"/>
                      <w:szCs w:val="21"/>
                      <w:u w:val="none"/>
                      <w:vertAlign w:val="superscript"/>
                    </w:rPr>
                    <w:t>3</w:t>
                  </w:r>
                </w:p>
              </w:tc>
              <w:tc>
                <w:tcPr>
                  <w:tcW w:w="2974" w:type="dxa"/>
                  <w:vMerge w:val="continue"/>
                  <w:tcBorders>
                    <w:tl2br w:val="nil"/>
                    <w:tr2bl w:val="nil"/>
                  </w:tcBorders>
                  <w:vAlign w:val="center"/>
                </w:tcPr>
                <w:p>
                  <w:pPr>
                    <w:jc w:val="center"/>
                    <w:rPr>
                      <w:bCs/>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72" w:type="dxa"/>
                  <w:tcBorders>
                    <w:tl2br w:val="nil"/>
                    <w:tr2bl w:val="nil"/>
                  </w:tcBorders>
                  <w:vAlign w:val="center"/>
                </w:tcPr>
                <w:p>
                  <w:pPr>
                    <w:jc w:val="center"/>
                    <w:rPr>
                      <w:bCs/>
                      <w:color w:val="auto"/>
                      <w:kern w:val="0"/>
                      <w:szCs w:val="21"/>
                      <w:u w:val="none"/>
                    </w:rPr>
                  </w:pPr>
                  <w:r>
                    <w:rPr>
                      <w:rFonts w:hint="eastAsia"/>
                      <w:bCs/>
                      <w:color w:val="auto"/>
                      <w:kern w:val="0"/>
                      <w:szCs w:val="21"/>
                      <w:u w:val="none"/>
                    </w:rPr>
                    <w:t>硫化氢</w:t>
                  </w:r>
                </w:p>
              </w:tc>
              <w:tc>
                <w:tcPr>
                  <w:tcW w:w="1796" w:type="dxa"/>
                  <w:tcBorders>
                    <w:tl2br w:val="nil"/>
                    <w:tr2bl w:val="nil"/>
                  </w:tcBorders>
                  <w:vAlign w:val="center"/>
                </w:tcPr>
                <w:p>
                  <w:pPr>
                    <w:jc w:val="center"/>
                    <w:rPr>
                      <w:bCs/>
                      <w:color w:val="auto"/>
                      <w:kern w:val="0"/>
                      <w:szCs w:val="21"/>
                      <w:u w:val="none"/>
                    </w:rPr>
                  </w:pPr>
                  <w:r>
                    <w:rPr>
                      <w:rFonts w:hint="eastAsia"/>
                      <w:bCs/>
                      <w:color w:val="auto"/>
                      <w:szCs w:val="21"/>
                      <w:u w:val="none"/>
                    </w:rPr>
                    <w:t>1</w:t>
                  </w:r>
                  <w:r>
                    <w:rPr>
                      <w:bCs/>
                      <w:color w:val="auto"/>
                      <w:szCs w:val="21"/>
                      <w:u w:val="none"/>
                    </w:rPr>
                    <w:t>小时平均</w:t>
                  </w:r>
                </w:p>
              </w:tc>
              <w:tc>
                <w:tcPr>
                  <w:tcW w:w="1666" w:type="dxa"/>
                  <w:tcBorders>
                    <w:tl2br w:val="nil"/>
                    <w:tr2bl w:val="nil"/>
                  </w:tcBorders>
                  <w:vAlign w:val="center"/>
                </w:tcPr>
                <w:p>
                  <w:pPr>
                    <w:jc w:val="center"/>
                    <w:rPr>
                      <w:bCs/>
                      <w:color w:val="auto"/>
                      <w:szCs w:val="21"/>
                      <w:u w:val="none"/>
                    </w:rPr>
                  </w:pPr>
                  <w:r>
                    <w:rPr>
                      <w:rFonts w:hint="eastAsia"/>
                      <w:bCs/>
                      <w:color w:val="auto"/>
                      <w:kern w:val="0"/>
                      <w:szCs w:val="21"/>
                      <w:u w:val="none"/>
                    </w:rPr>
                    <w:t>0.01m</w:t>
                  </w:r>
                  <w:r>
                    <w:rPr>
                      <w:bCs/>
                      <w:color w:val="auto"/>
                      <w:kern w:val="0"/>
                      <w:szCs w:val="21"/>
                      <w:u w:val="none"/>
                    </w:rPr>
                    <w:t>g/</w:t>
                  </w:r>
                  <w:r>
                    <w:rPr>
                      <w:bCs/>
                      <w:color w:val="auto"/>
                      <w:szCs w:val="21"/>
                      <w:u w:val="none"/>
                    </w:rPr>
                    <w:t>m</w:t>
                  </w:r>
                  <w:r>
                    <w:rPr>
                      <w:bCs/>
                      <w:color w:val="auto"/>
                      <w:szCs w:val="21"/>
                      <w:u w:val="none"/>
                      <w:vertAlign w:val="superscript"/>
                    </w:rPr>
                    <w:t>3</w:t>
                  </w:r>
                </w:p>
              </w:tc>
              <w:tc>
                <w:tcPr>
                  <w:tcW w:w="2974" w:type="dxa"/>
                  <w:vMerge w:val="restart"/>
                  <w:tcBorders>
                    <w:tl2br w:val="nil"/>
                    <w:tr2bl w:val="nil"/>
                  </w:tcBorders>
                  <w:vAlign w:val="center"/>
                </w:tcPr>
                <w:p>
                  <w:pPr>
                    <w:jc w:val="center"/>
                    <w:rPr>
                      <w:bCs/>
                      <w:color w:val="auto"/>
                      <w:szCs w:val="21"/>
                      <w:u w:val="none"/>
                    </w:rPr>
                  </w:pPr>
                  <w:r>
                    <w:rPr>
                      <w:rFonts w:hint="eastAsia"/>
                      <w:bCs/>
                      <w:color w:val="auto"/>
                      <w:szCs w:val="21"/>
                      <w:u w:val="none"/>
                    </w:rPr>
                    <w:t>《环境影响评价技术导则 大气环境》中附录D 表D.1其他污染物空气质量浓度参考限值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372" w:type="dxa"/>
                  <w:tcBorders>
                    <w:tl2br w:val="nil"/>
                    <w:tr2bl w:val="nil"/>
                  </w:tcBorders>
                  <w:vAlign w:val="center"/>
                </w:tcPr>
                <w:p>
                  <w:pPr>
                    <w:jc w:val="center"/>
                    <w:rPr>
                      <w:bCs/>
                      <w:color w:val="auto"/>
                      <w:kern w:val="0"/>
                      <w:szCs w:val="21"/>
                      <w:u w:val="none"/>
                    </w:rPr>
                  </w:pPr>
                  <w:r>
                    <w:rPr>
                      <w:rFonts w:hint="eastAsia"/>
                      <w:bCs/>
                      <w:color w:val="auto"/>
                      <w:kern w:val="0"/>
                      <w:szCs w:val="21"/>
                      <w:u w:val="none"/>
                    </w:rPr>
                    <w:t>氨</w:t>
                  </w:r>
                </w:p>
              </w:tc>
              <w:tc>
                <w:tcPr>
                  <w:tcW w:w="1796" w:type="dxa"/>
                  <w:tcBorders>
                    <w:tl2br w:val="nil"/>
                    <w:tr2bl w:val="nil"/>
                  </w:tcBorders>
                  <w:vAlign w:val="center"/>
                </w:tcPr>
                <w:p>
                  <w:pPr>
                    <w:jc w:val="center"/>
                    <w:rPr>
                      <w:bCs/>
                      <w:color w:val="auto"/>
                      <w:szCs w:val="21"/>
                      <w:u w:val="none"/>
                    </w:rPr>
                  </w:pPr>
                  <w:r>
                    <w:rPr>
                      <w:rFonts w:hint="eastAsia"/>
                      <w:bCs/>
                      <w:color w:val="auto"/>
                      <w:szCs w:val="21"/>
                      <w:u w:val="none"/>
                    </w:rPr>
                    <w:t>1</w:t>
                  </w:r>
                  <w:r>
                    <w:rPr>
                      <w:bCs/>
                      <w:color w:val="auto"/>
                      <w:szCs w:val="21"/>
                      <w:u w:val="none"/>
                    </w:rPr>
                    <w:t>小时平均</w:t>
                  </w:r>
                </w:p>
              </w:tc>
              <w:tc>
                <w:tcPr>
                  <w:tcW w:w="1666" w:type="dxa"/>
                  <w:tcBorders>
                    <w:tl2br w:val="nil"/>
                    <w:tr2bl w:val="nil"/>
                  </w:tcBorders>
                  <w:vAlign w:val="center"/>
                </w:tcPr>
                <w:p>
                  <w:pPr>
                    <w:jc w:val="center"/>
                    <w:rPr>
                      <w:bCs/>
                      <w:color w:val="auto"/>
                      <w:kern w:val="0"/>
                      <w:szCs w:val="21"/>
                      <w:u w:val="none"/>
                    </w:rPr>
                  </w:pPr>
                  <w:r>
                    <w:rPr>
                      <w:rFonts w:hint="eastAsia"/>
                      <w:bCs/>
                      <w:color w:val="auto"/>
                      <w:kern w:val="0"/>
                      <w:szCs w:val="21"/>
                      <w:u w:val="none"/>
                    </w:rPr>
                    <w:t>0.</w:t>
                  </w:r>
                  <w:r>
                    <w:rPr>
                      <w:rFonts w:hint="eastAsia"/>
                      <w:bCs/>
                      <w:color w:val="auto"/>
                      <w:kern w:val="0"/>
                      <w:szCs w:val="21"/>
                      <w:u w:val="none"/>
                      <w:lang w:val="en-US" w:eastAsia="zh-CN"/>
                    </w:rPr>
                    <w:t>2</w:t>
                  </w:r>
                  <w:r>
                    <w:rPr>
                      <w:rFonts w:hint="eastAsia"/>
                      <w:bCs/>
                      <w:color w:val="auto"/>
                      <w:kern w:val="0"/>
                      <w:szCs w:val="21"/>
                      <w:u w:val="none"/>
                    </w:rPr>
                    <w:t>m</w:t>
                  </w:r>
                  <w:r>
                    <w:rPr>
                      <w:bCs/>
                      <w:color w:val="auto"/>
                      <w:kern w:val="0"/>
                      <w:szCs w:val="21"/>
                      <w:u w:val="none"/>
                    </w:rPr>
                    <w:t>g/m</w:t>
                  </w:r>
                  <w:r>
                    <w:rPr>
                      <w:bCs/>
                      <w:color w:val="auto"/>
                      <w:kern w:val="0"/>
                      <w:szCs w:val="21"/>
                      <w:u w:val="none"/>
                      <w:vertAlign w:val="superscript"/>
                    </w:rPr>
                    <w:t>3</w:t>
                  </w:r>
                </w:p>
              </w:tc>
              <w:tc>
                <w:tcPr>
                  <w:tcW w:w="2974" w:type="dxa"/>
                  <w:vMerge w:val="continue"/>
                  <w:tcBorders>
                    <w:tl2br w:val="nil"/>
                    <w:tr2bl w:val="nil"/>
                  </w:tcBorders>
                  <w:vAlign w:val="center"/>
                </w:tcPr>
                <w:p>
                  <w:pPr>
                    <w:jc w:val="center"/>
                    <w:rPr>
                      <w:bCs/>
                      <w:color w:val="auto"/>
                      <w:szCs w:val="21"/>
                      <w:u w:val="none"/>
                    </w:rPr>
                  </w:pPr>
                </w:p>
              </w:tc>
            </w:tr>
          </w:tbl>
          <w:p>
            <w:pPr>
              <w:adjustRightInd w:val="0"/>
              <w:snapToGrid w:val="0"/>
              <w:spacing w:beforeLines="50" w:line="360" w:lineRule="auto"/>
              <w:ind w:firstLine="462" w:firstLineChars="200"/>
              <w:rPr>
                <w:color w:val="auto"/>
                <w:sz w:val="24"/>
                <w:szCs w:val="24"/>
                <w:u w:val="none"/>
              </w:rPr>
            </w:pPr>
            <w:r>
              <w:rPr>
                <w:rFonts w:hint="eastAsia"/>
                <w:color w:val="auto"/>
                <w:sz w:val="24"/>
                <w:szCs w:val="24"/>
                <w:u w:val="none"/>
              </w:rPr>
              <w:t>2、</w:t>
            </w:r>
            <w:r>
              <w:rPr>
                <w:color w:val="auto"/>
                <w:sz w:val="24"/>
                <w:szCs w:val="24"/>
                <w:u w:val="none"/>
              </w:rPr>
              <w:t>地表水环境：执行《地表水环境质量标准》（GB3838-200</w:t>
            </w:r>
            <w:r>
              <w:rPr>
                <w:rFonts w:hint="eastAsia"/>
                <w:color w:val="auto"/>
                <w:sz w:val="24"/>
                <w:szCs w:val="24"/>
                <w:u w:val="none"/>
              </w:rPr>
              <w:t>2</w:t>
            </w:r>
            <w:r>
              <w:rPr>
                <w:color w:val="auto"/>
                <w:sz w:val="24"/>
                <w:szCs w:val="24"/>
                <w:u w:val="none"/>
              </w:rPr>
              <w:t>）III类标准。</w:t>
            </w:r>
            <w:r>
              <w:rPr>
                <w:rFonts w:hint="eastAsia"/>
                <w:color w:val="auto"/>
                <w:sz w:val="24"/>
                <w:u w:val="none"/>
                <w:lang w:eastAsia="zh-CN"/>
              </w:rPr>
              <w:t>标准限值</w:t>
            </w:r>
            <w:r>
              <w:rPr>
                <w:rFonts w:hint="eastAsia"/>
                <w:color w:val="auto"/>
                <w:sz w:val="24"/>
                <w:u w:val="none"/>
              </w:rPr>
              <w:t>详见表</w:t>
            </w:r>
            <w:r>
              <w:rPr>
                <w:rFonts w:hint="eastAsia"/>
                <w:color w:val="auto"/>
                <w:sz w:val="24"/>
                <w:u w:val="none"/>
                <w:lang w:val="en-US" w:eastAsia="zh-CN"/>
              </w:rPr>
              <w:t>4-2</w:t>
            </w:r>
            <w:r>
              <w:rPr>
                <w:color w:val="auto"/>
                <w:sz w:val="24"/>
                <w:szCs w:val="24"/>
                <w:u w:val="none"/>
              </w:rPr>
              <w:t>。</w:t>
            </w:r>
          </w:p>
          <w:p>
            <w:pPr>
              <w:tabs>
                <w:tab w:val="center" w:pos="10467"/>
                <w:tab w:val="left" w:pos="13095"/>
              </w:tabs>
              <w:jc w:val="center"/>
              <w:rPr>
                <w:b/>
                <w:color w:val="auto"/>
                <w:szCs w:val="21"/>
                <w:u w:val="none"/>
              </w:rPr>
            </w:pPr>
            <w:r>
              <w:rPr>
                <w:b/>
                <w:color w:val="auto"/>
                <w:szCs w:val="21"/>
                <w:u w:val="none"/>
              </w:rPr>
              <w:t>表4-2  地表水环境质量标准    单位：mg/L</w:t>
            </w:r>
            <w:r>
              <w:rPr>
                <w:rFonts w:hint="eastAsia"/>
                <w:b/>
                <w:color w:val="auto"/>
                <w:szCs w:val="21"/>
                <w:u w:val="none"/>
              </w:rPr>
              <w:t>（</w:t>
            </w:r>
            <w:r>
              <w:rPr>
                <w:b/>
                <w:color w:val="auto"/>
                <w:szCs w:val="21"/>
                <w:u w:val="none"/>
              </w:rPr>
              <w:t>pH除外</w:t>
            </w:r>
            <w:r>
              <w:rPr>
                <w:rFonts w:hint="eastAsia"/>
                <w:b/>
                <w:color w:val="auto"/>
                <w:szCs w:val="21"/>
                <w:u w:val="none"/>
              </w:rPr>
              <w:t>）</w:t>
            </w:r>
          </w:p>
          <w:tbl>
            <w:tblPr>
              <w:tblStyle w:val="27"/>
              <w:tblW w:w="83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97"/>
              <w:gridCol w:w="825"/>
              <w:gridCol w:w="740"/>
              <w:gridCol w:w="750"/>
              <w:gridCol w:w="846"/>
              <w:gridCol w:w="814"/>
              <w:gridCol w:w="1136"/>
              <w:gridCol w:w="13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17"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水质因子</w:t>
                  </w:r>
                </w:p>
              </w:tc>
              <w:tc>
                <w:tcPr>
                  <w:tcW w:w="7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pH</w:t>
                  </w: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COD</w:t>
                  </w:r>
                </w:p>
              </w:tc>
              <w:tc>
                <w:tcPr>
                  <w:tcW w:w="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氨氮</w:t>
                  </w: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SS</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总磷</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BOD</w:t>
                  </w:r>
                  <w:r>
                    <w:rPr>
                      <w:color w:val="auto"/>
                      <w:szCs w:val="21"/>
                      <w:u w:val="none"/>
                      <w:vertAlign w:val="subscript"/>
                    </w:rPr>
                    <w:t>5</w:t>
                  </w:r>
                </w:p>
              </w:tc>
              <w:tc>
                <w:tcPr>
                  <w:tcW w:w="11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rFonts w:hint="eastAsia"/>
                      <w:color w:val="auto"/>
                      <w:szCs w:val="21"/>
                      <w:u w:val="none"/>
                    </w:rPr>
                    <w:t>总氮</w:t>
                  </w:r>
                </w:p>
              </w:tc>
              <w:tc>
                <w:tcPr>
                  <w:tcW w:w="13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szCs w:val="21"/>
                      <w:u w:val="none"/>
                    </w:rPr>
                  </w:pPr>
                  <w:r>
                    <w:rPr>
                      <w:rFonts w:hint="eastAsia"/>
                      <w:color w:val="auto"/>
                      <w:sz w:val="21"/>
                      <w:szCs w:val="21"/>
                      <w:u w:val="none"/>
                      <w:lang w:eastAsia="zh-CN"/>
                    </w:rPr>
                    <w:t>粪大肠菌群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17"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标准值</w:t>
                  </w:r>
                </w:p>
              </w:tc>
              <w:tc>
                <w:tcPr>
                  <w:tcW w:w="7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6-9</w:t>
                  </w:r>
                </w:p>
              </w:tc>
              <w:tc>
                <w:tcPr>
                  <w:tcW w:w="8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≤20</w:t>
                  </w:r>
                </w:p>
              </w:tc>
              <w:tc>
                <w:tcPr>
                  <w:tcW w:w="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≤1.0</w:t>
                  </w: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≤0.2</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≤4</w:t>
                  </w:r>
                </w:p>
              </w:tc>
              <w:tc>
                <w:tcPr>
                  <w:tcW w:w="11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w:t>
                  </w:r>
                  <w:r>
                    <w:rPr>
                      <w:rFonts w:hint="eastAsia"/>
                      <w:color w:val="auto"/>
                      <w:szCs w:val="21"/>
                      <w:u w:val="none"/>
                    </w:rPr>
                    <w:t>1.0</w:t>
                  </w:r>
                </w:p>
              </w:tc>
              <w:tc>
                <w:tcPr>
                  <w:tcW w:w="13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szCs w:val="21"/>
                      <w:u w:val="none"/>
                    </w:rPr>
                  </w:pPr>
                  <w:r>
                    <w:rPr>
                      <w:color w:val="auto"/>
                      <w:szCs w:val="21"/>
                      <w:u w:val="none"/>
                    </w:rPr>
                    <w:t>≤</w:t>
                  </w:r>
                  <w:r>
                    <w:rPr>
                      <w:rFonts w:hint="eastAsia"/>
                      <w:color w:val="auto"/>
                      <w:sz w:val="21"/>
                      <w:szCs w:val="21"/>
                      <w:u w:val="none"/>
                      <w:lang w:val="en-US" w:eastAsia="zh-CN"/>
                    </w:rPr>
                    <w:t>10000个/L</w:t>
                  </w:r>
                </w:p>
              </w:tc>
            </w:tr>
          </w:tbl>
          <w:p>
            <w:pPr>
              <w:keepNext w:val="0"/>
              <w:keepLines w:val="0"/>
              <w:pageBreakBefore w:val="0"/>
              <w:widowControl w:val="0"/>
              <w:numPr>
                <w:ilvl w:val="0"/>
                <w:numId w:val="3"/>
              </w:numPr>
              <w:kinsoku/>
              <w:wordWrap/>
              <w:overflowPunct/>
              <w:topLinePunct w:val="0"/>
              <w:autoSpaceDE/>
              <w:autoSpaceDN/>
              <w:bidi w:val="0"/>
              <w:adjustRightInd w:val="0"/>
              <w:snapToGrid w:val="0"/>
              <w:spacing w:beforeLines="50" w:line="360" w:lineRule="auto"/>
              <w:ind w:left="0" w:leftChars="0" w:firstLine="462" w:firstLineChars="200"/>
              <w:textAlignment w:val="auto"/>
              <w:rPr>
                <w:color w:val="auto"/>
                <w:sz w:val="24"/>
                <w:szCs w:val="24"/>
                <w:u w:val="none"/>
              </w:rPr>
            </w:pPr>
            <w:r>
              <w:rPr>
                <w:rFonts w:hint="eastAsia"/>
                <w:color w:val="auto"/>
                <w:sz w:val="24"/>
                <w:szCs w:val="24"/>
                <w:u w:val="none"/>
              </w:rPr>
              <w:t>地下水环境：执行</w:t>
            </w:r>
            <w:r>
              <w:rPr>
                <w:rFonts w:hint="eastAsia"/>
                <w:bCs/>
                <w:color w:val="auto"/>
                <w:sz w:val="24"/>
                <w:szCs w:val="24"/>
                <w:u w:val="none"/>
              </w:rPr>
              <w:t>《地下水质量标准》（GB/T14848-2017）中III类标准。</w:t>
            </w:r>
            <w:r>
              <w:rPr>
                <w:rFonts w:hint="eastAsia"/>
                <w:color w:val="auto"/>
                <w:sz w:val="24"/>
                <w:u w:val="none"/>
                <w:lang w:eastAsia="zh-CN"/>
              </w:rPr>
              <w:t>标准限值</w:t>
            </w:r>
            <w:r>
              <w:rPr>
                <w:rFonts w:hint="eastAsia"/>
                <w:color w:val="auto"/>
                <w:sz w:val="24"/>
                <w:u w:val="none"/>
              </w:rPr>
              <w:t>详见表</w:t>
            </w:r>
            <w:r>
              <w:rPr>
                <w:rFonts w:hint="eastAsia"/>
                <w:color w:val="auto"/>
                <w:sz w:val="24"/>
                <w:u w:val="none"/>
                <w:lang w:val="en-US" w:eastAsia="zh-CN"/>
              </w:rPr>
              <w:t>4-3</w:t>
            </w:r>
            <w:r>
              <w:rPr>
                <w:color w:val="auto"/>
                <w:sz w:val="24"/>
                <w:szCs w:val="24"/>
                <w:u w:val="none"/>
              </w:rPr>
              <w:t>。</w:t>
            </w:r>
          </w:p>
          <w:p>
            <w:pPr>
              <w:tabs>
                <w:tab w:val="center" w:pos="10467"/>
                <w:tab w:val="left" w:pos="13095"/>
              </w:tabs>
              <w:jc w:val="center"/>
              <w:rPr>
                <w:color w:val="auto"/>
                <w:u w:val="none"/>
              </w:rPr>
            </w:pPr>
            <w:r>
              <w:rPr>
                <w:b/>
                <w:color w:val="auto"/>
                <w:szCs w:val="21"/>
                <w:u w:val="none"/>
              </w:rPr>
              <w:t>表4-</w:t>
            </w:r>
            <w:r>
              <w:rPr>
                <w:rFonts w:hint="eastAsia"/>
                <w:b/>
                <w:color w:val="auto"/>
                <w:szCs w:val="21"/>
                <w:u w:val="none"/>
              </w:rPr>
              <w:t>3</w:t>
            </w:r>
            <w:r>
              <w:rPr>
                <w:b/>
                <w:color w:val="auto"/>
                <w:szCs w:val="21"/>
                <w:u w:val="none"/>
              </w:rPr>
              <w:t xml:space="preserve">  地</w:t>
            </w:r>
            <w:r>
              <w:rPr>
                <w:rFonts w:hint="eastAsia"/>
                <w:b/>
                <w:color w:val="auto"/>
                <w:szCs w:val="21"/>
                <w:u w:val="none"/>
              </w:rPr>
              <w:t>下</w:t>
            </w:r>
            <w:r>
              <w:rPr>
                <w:b/>
                <w:color w:val="auto"/>
                <w:szCs w:val="21"/>
                <w:u w:val="none"/>
              </w:rPr>
              <w:t xml:space="preserve">水环境质量标准   </w:t>
            </w:r>
            <w:r>
              <w:rPr>
                <w:rFonts w:hint="eastAsia"/>
                <w:b/>
                <w:color w:val="auto"/>
                <w:szCs w:val="21"/>
                <w:u w:val="none"/>
                <w:lang w:val="en-US" w:eastAsia="zh-CN"/>
              </w:rPr>
              <w:t xml:space="preserve"> </w:t>
            </w:r>
            <w:r>
              <w:rPr>
                <w:b/>
                <w:color w:val="auto"/>
                <w:szCs w:val="21"/>
                <w:u w:val="none"/>
              </w:rPr>
              <w:t xml:space="preserve"> 单位：mg/L</w:t>
            </w:r>
            <w:r>
              <w:rPr>
                <w:rFonts w:hint="eastAsia"/>
                <w:b/>
                <w:color w:val="auto"/>
                <w:szCs w:val="21"/>
                <w:u w:val="none"/>
              </w:rPr>
              <w:t>（</w:t>
            </w:r>
            <w:r>
              <w:rPr>
                <w:b/>
                <w:color w:val="auto"/>
                <w:szCs w:val="21"/>
                <w:u w:val="none"/>
              </w:rPr>
              <w:t>pH除外</w:t>
            </w:r>
            <w:r>
              <w:rPr>
                <w:rFonts w:hint="eastAsia"/>
                <w:b/>
                <w:color w:val="auto"/>
                <w:szCs w:val="21"/>
                <w:u w:val="none"/>
              </w:rPr>
              <w:t>）</w:t>
            </w:r>
          </w:p>
          <w:tbl>
            <w:tblPr>
              <w:tblStyle w:val="27"/>
              <w:tblW w:w="84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852"/>
              <w:gridCol w:w="750"/>
              <w:gridCol w:w="939"/>
              <w:gridCol w:w="918"/>
              <w:gridCol w:w="1169"/>
              <w:gridCol w:w="1914"/>
              <w:gridCol w:w="8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029" w:type="dxa"/>
                  <w:tcBorders>
                    <w:tl2br w:val="nil"/>
                    <w:tr2bl w:val="nil"/>
                  </w:tcBorders>
                  <w:vAlign w:val="center"/>
                </w:tcPr>
                <w:p>
                  <w:pPr>
                    <w:pStyle w:val="5"/>
                    <w:rPr>
                      <w:color w:val="auto"/>
                      <w:szCs w:val="21"/>
                      <w:u w:val="none"/>
                    </w:rPr>
                  </w:pPr>
                  <w:r>
                    <w:rPr>
                      <w:rFonts w:hint="eastAsia"/>
                      <w:color w:val="auto"/>
                      <w:szCs w:val="21"/>
                      <w:u w:val="none"/>
                    </w:rPr>
                    <w:t>质量</w:t>
                  </w:r>
                  <w:r>
                    <w:rPr>
                      <w:color w:val="auto"/>
                      <w:szCs w:val="21"/>
                      <w:u w:val="none"/>
                    </w:rPr>
                    <w:t>因子</w:t>
                  </w:r>
                </w:p>
              </w:tc>
              <w:tc>
                <w:tcPr>
                  <w:tcW w:w="852" w:type="dxa"/>
                  <w:tcBorders>
                    <w:tl2br w:val="nil"/>
                    <w:tr2bl w:val="nil"/>
                  </w:tcBorders>
                  <w:vAlign w:val="center"/>
                </w:tcPr>
                <w:p>
                  <w:pPr>
                    <w:pStyle w:val="5"/>
                    <w:rPr>
                      <w:color w:val="auto"/>
                      <w:szCs w:val="21"/>
                      <w:u w:val="none"/>
                    </w:rPr>
                  </w:pPr>
                  <w:r>
                    <w:rPr>
                      <w:rFonts w:hint="eastAsia"/>
                      <w:color w:val="auto"/>
                      <w:szCs w:val="21"/>
                      <w:u w:val="none"/>
                    </w:rPr>
                    <w:t>pH</w:t>
                  </w:r>
                </w:p>
              </w:tc>
              <w:tc>
                <w:tcPr>
                  <w:tcW w:w="750" w:type="dxa"/>
                  <w:tcBorders>
                    <w:tl2br w:val="nil"/>
                    <w:tr2bl w:val="nil"/>
                  </w:tcBorders>
                  <w:vAlign w:val="center"/>
                </w:tcPr>
                <w:p>
                  <w:pPr>
                    <w:pStyle w:val="5"/>
                    <w:rPr>
                      <w:color w:val="auto"/>
                      <w:szCs w:val="21"/>
                      <w:u w:val="none"/>
                    </w:rPr>
                  </w:pPr>
                  <w:r>
                    <w:rPr>
                      <w:rFonts w:hint="eastAsia"/>
                      <w:color w:val="auto"/>
                      <w:szCs w:val="21"/>
                      <w:u w:val="none"/>
                    </w:rPr>
                    <w:t>氨氮</w:t>
                  </w:r>
                </w:p>
              </w:tc>
              <w:tc>
                <w:tcPr>
                  <w:tcW w:w="939" w:type="dxa"/>
                  <w:tcBorders>
                    <w:tl2br w:val="nil"/>
                    <w:tr2bl w:val="nil"/>
                  </w:tcBorders>
                  <w:vAlign w:val="center"/>
                </w:tcPr>
                <w:p>
                  <w:pPr>
                    <w:pStyle w:val="5"/>
                    <w:rPr>
                      <w:rFonts w:hint="eastAsia" w:eastAsia="宋体"/>
                      <w:color w:val="auto"/>
                      <w:szCs w:val="21"/>
                      <w:u w:val="none"/>
                      <w:lang w:eastAsia="zh-CN"/>
                    </w:rPr>
                  </w:pPr>
                  <w:r>
                    <w:rPr>
                      <w:rFonts w:hint="eastAsia"/>
                      <w:color w:val="auto"/>
                      <w:szCs w:val="21"/>
                      <w:u w:val="none"/>
                      <w:lang w:eastAsia="zh-CN"/>
                    </w:rPr>
                    <w:t>耗氧量</w:t>
                  </w:r>
                </w:p>
              </w:tc>
              <w:tc>
                <w:tcPr>
                  <w:tcW w:w="918" w:type="dxa"/>
                  <w:tcBorders>
                    <w:tl2br w:val="nil"/>
                    <w:tr2bl w:val="nil"/>
                  </w:tcBorders>
                  <w:vAlign w:val="center"/>
                </w:tcPr>
                <w:p>
                  <w:pPr>
                    <w:pStyle w:val="5"/>
                    <w:rPr>
                      <w:color w:val="auto"/>
                      <w:szCs w:val="21"/>
                      <w:u w:val="none"/>
                    </w:rPr>
                  </w:pPr>
                  <w:r>
                    <w:rPr>
                      <w:rFonts w:hint="eastAsia"/>
                      <w:color w:val="auto"/>
                      <w:szCs w:val="21"/>
                      <w:u w:val="none"/>
                    </w:rPr>
                    <w:t>总硬度</w:t>
                  </w:r>
                </w:p>
              </w:tc>
              <w:tc>
                <w:tcPr>
                  <w:tcW w:w="1169" w:type="dxa"/>
                  <w:tcBorders>
                    <w:tl2br w:val="nil"/>
                    <w:tr2bl w:val="nil"/>
                  </w:tcBorders>
                  <w:vAlign w:val="center"/>
                </w:tcPr>
                <w:p>
                  <w:pPr>
                    <w:pStyle w:val="5"/>
                    <w:rPr>
                      <w:color w:val="auto"/>
                      <w:szCs w:val="21"/>
                      <w:u w:val="none"/>
                    </w:rPr>
                  </w:pPr>
                  <w:r>
                    <w:rPr>
                      <w:rFonts w:hint="eastAsia"/>
                      <w:color w:val="auto"/>
                      <w:szCs w:val="21"/>
                      <w:u w:val="none"/>
                    </w:rPr>
                    <w:t>氰化物</w:t>
                  </w:r>
                </w:p>
              </w:tc>
              <w:tc>
                <w:tcPr>
                  <w:tcW w:w="1914" w:type="dxa"/>
                  <w:tcBorders>
                    <w:tl2br w:val="nil"/>
                    <w:tr2bl w:val="nil"/>
                  </w:tcBorders>
                  <w:vAlign w:val="center"/>
                </w:tcPr>
                <w:p>
                  <w:pPr>
                    <w:pStyle w:val="5"/>
                    <w:rPr>
                      <w:color w:val="auto"/>
                      <w:szCs w:val="21"/>
                      <w:u w:val="none"/>
                    </w:rPr>
                  </w:pPr>
                  <w:r>
                    <w:rPr>
                      <w:rFonts w:hint="eastAsia"/>
                      <w:color w:val="auto"/>
                      <w:szCs w:val="21"/>
                      <w:u w:val="none"/>
                    </w:rPr>
                    <w:t>铜</w:t>
                  </w:r>
                </w:p>
              </w:tc>
              <w:tc>
                <w:tcPr>
                  <w:tcW w:w="846" w:type="dxa"/>
                  <w:tcBorders>
                    <w:tl2br w:val="nil"/>
                    <w:tr2bl w:val="nil"/>
                  </w:tcBorders>
                  <w:vAlign w:val="center"/>
                </w:tcPr>
                <w:p>
                  <w:pPr>
                    <w:pStyle w:val="5"/>
                    <w:rPr>
                      <w:color w:val="auto"/>
                      <w:szCs w:val="21"/>
                      <w:u w:val="none"/>
                    </w:rPr>
                  </w:pPr>
                  <w:r>
                    <w:rPr>
                      <w:rFonts w:hint="eastAsia"/>
                      <w:color w:val="auto"/>
                      <w:szCs w:val="21"/>
                      <w:u w:val="none"/>
                    </w:rPr>
                    <w:t>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029" w:type="dxa"/>
                  <w:tcBorders>
                    <w:tl2br w:val="nil"/>
                    <w:tr2bl w:val="nil"/>
                  </w:tcBorders>
                  <w:vAlign w:val="center"/>
                </w:tcPr>
                <w:p>
                  <w:pPr>
                    <w:pStyle w:val="5"/>
                    <w:rPr>
                      <w:color w:val="auto"/>
                      <w:szCs w:val="21"/>
                      <w:u w:val="none"/>
                    </w:rPr>
                  </w:pPr>
                  <w:r>
                    <w:rPr>
                      <w:rFonts w:hint="eastAsia"/>
                      <w:bCs/>
                      <w:color w:val="auto"/>
                      <w:szCs w:val="22"/>
                      <w:u w:val="none"/>
                    </w:rPr>
                    <w:t>标准值</w:t>
                  </w:r>
                </w:p>
              </w:tc>
              <w:tc>
                <w:tcPr>
                  <w:tcW w:w="852" w:type="dxa"/>
                  <w:tcBorders>
                    <w:tl2br w:val="nil"/>
                    <w:tr2bl w:val="nil"/>
                  </w:tcBorders>
                  <w:vAlign w:val="center"/>
                </w:tcPr>
                <w:p>
                  <w:pPr>
                    <w:pStyle w:val="5"/>
                    <w:rPr>
                      <w:color w:val="auto"/>
                      <w:szCs w:val="21"/>
                      <w:u w:val="none"/>
                    </w:rPr>
                  </w:pPr>
                  <w:r>
                    <w:rPr>
                      <w:rFonts w:hint="eastAsia"/>
                      <w:color w:val="auto"/>
                      <w:szCs w:val="21"/>
                      <w:u w:val="none"/>
                    </w:rPr>
                    <w:t>6.5~8.5</w:t>
                  </w:r>
                </w:p>
              </w:tc>
              <w:tc>
                <w:tcPr>
                  <w:tcW w:w="750" w:type="dxa"/>
                  <w:tcBorders>
                    <w:tl2br w:val="nil"/>
                    <w:tr2bl w:val="nil"/>
                  </w:tcBorders>
                  <w:vAlign w:val="center"/>
                </w:tcPr>
                <w:p>
                  <w:pPr>
                    <w:pStyle w:val="5"/>
                    <w:rPr>
                      <w:color w:val="auto"/>
                      <w:szCs w:val="21"/>
                      <w:u w:val="none"/>
                    </w:rPr>
                  </w:pPr>
                  <w:r>
                    <w:rPr>
                      <w:rFonts w:hint="eastAsia"/>
                      <w:color w:val="auto"/>
                      <w:szCs w:val="21"/>
                      <w:u w:val="none"/>
                    </w:rPr>
                    <w:t>0.5</w:t>
                  </w:r>
                </w:p>
              </w:tc>
              <w:tc>
                <w:tcPr>
                  <w:tcW w:w="939" w:type="dxa"/>
                  <w:tcBorders>
                    <w:tl2br w:val="nil"/>
                    <w:tr2bl w:val="nil"/>
                  </w:tcBorders>
                  <w:vAlign w:val="center"/>
                </w:tcPr>
                <w:p>
                  <w:pPr>
                    <w:pStyle w:val="5"/>
                    <w:rPr>
                      <w:rFonts w:hint="default" w:eastAsia="宋体"/>
                      <w:color w:val="auto"/>
                      <w:szCs w:val="21"/>
                      <w:u w:val="none"/>
                      <w:lang w:val="en-US" w:eastAsia="zh-CN"/>
                    </w:rPr>
                  </w:pPr>
                  <w:r>
                    <w:rPr>
                      <w:rFonts w:hint="eastAsia"/>
                      <w:color w:val="auto"/>
                      <w:szCs w:val="21"/>
                      <w:u w:val="none"/>
                      <w:lang w:val="en-US" w:eastAsia="zh-CN"/>
                    </w:rPr>
                    <w:t>3.0</w:t>
                  </w:r>
                </w:p>
              </w:tc>
              <w:tc>
                <w:tcPr>
                  <w:tcW w:w="918" w:type="dxa"/>
                  <w:tcBorders>
                    <w:tl2br w:val="nil"/>
                    <w:tr2bl w:val="nil"/>
                  </w:tcBorders>
                  <w:vAlign w:val="center"/>
                </w:tcPr>
                <w:p>
                  <w:pPr>
                    <w:pStyle w:val="5"/>
                    <w:rPr>
                      <w:color w:val="auto"/>
                      <w:szCs w:val="21"/>
                      <w:u w:val="none"/>
                    </w:rPr>
                  </w:pPr>
                  <w:r>
                    <w:rPr>
                      <w:rFonts w:hint="eastAsia"/>
                      <w:color w:val="auto"/>
                      <w:szCs w:val="21"/>
                      <w:u w:val="none"/>
                    </w:rPr>
                    <w:t>450</w:t>
                  </w:r>
                </w:p>
              </w:tc>
              <w:tc>
                <w:tcPr>
                  <w:tcW w:w="1169" w:type="dxa"/>
                  <w:tcBorders>
                    <w:tl2br w:val="nil"/>
                    <w:tr2bl w:val="nil"/>
                  </w:tcBorders>
                  <w:vAlign w:val="center"/>
                </w:tcPr>
                <w:p>
                  <w:pPr>
                    <w:pStyle w:val="5"/>
                    <w:rPr>
                      <w:color w:val="auto"/>
                      <w:szCs w:val="21"/>
                      <w:u w:val="none"/>
                    </w:rPr>
                  </w:pPr>
                  <w:r>
                    <w:rPr>
                      <w:rFonts w:hint="eastAsia"/>
                      <w:color w:val="auto"/>
                      <w:szCs w:val="21"/>
                      <w:u w:val="none"/>
                    </w:rPr>
                    <w:t>0.05</w:t>
                  </w:r>
                </w:p>
              </w:tc>
              <w:tc>
                <w:tcPr>
                  <w:tcW w:w="1914" w:type="dxa"/>
                  <w:tcBorders>
                    <w:tl2br w:val="nil"/>
                    <w:tr2bl w:val="nil"/>
                  </w:tcBorders>
                  <w:vAlign w:val="center"/>
                </w:tcPr>
                <w:p>
                  <w:pPr>
                    <w:pStyle w:val="5"/>
                    <w:rPr>
                      <w:color w:val="auto"/>
                      <w:szCs w:val="21"/>
                      <w:u w:val="none"/>
                    </w:rPr>
                  </w:pPr>
                  <w:r>
                    <w:rPr>
                      <w:rFonts w:hint="eastAsia"/>
                      <w:color w:val="auto"/>
                      <w:szCs w:val="21"/>
                      <w:u w:val="none"/>
                    </w:rPr>
                    <w:t>1.0</w:t>
                  </w:r>
                </w:p>
              </w:tc>
              <w:tc>
                <w:tcPr>
                  <w:tcW w:w="846" w:type="dxa"/>
                  <w:tcBorders>
                    <w:tl2br w:val="nil"/>
                    <w:tr2bl w:val="nil"/>
                  </w:tcBorders>
                  <w:vAlign w:val="center"/>
                </w:tcPr>
                <w:p>
                  <w:pPr>
                    <w:pStyle w:val="5"/>
                    <w:rPr>
                      <w:color w:val="auto"/>
                      <w:szCs w:val="21"/>
                      <w:u w:val="none"/>
                    </w:rPr>
                  </w:pPr>
                  <w:r>
                    <w:rPr>
                      <w:rFonts w:hint="eastAsia"/>
                      <w:color w:val="auto"/>
                      <w:szCs w:val="21"/>
                      <w:u w:val="none"/>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029" w:type="dxa"/>
                  <w:tcBorders>
                    <w:tl2br w:val="nil"/>
                    <w:tr2bl w:val="nil"/>
                  </w:tcBorders>
                  <w:vAlign w:val="center"/>
                </w:tcPr>
                <w:p>
                  <w:pPr>
                    <w:pStyle w:val="5"/>
                    <w:rPr>
                      <w:rFonts w:hint="eastAsia" w:ascii="Times New Roman" w:hAnsi="Times New Roman" w:eastAsia="宋体" w:cs="Times New Roman"/>
                      <w:color w:val="auto"/>
                      <w:kern w:val="0"/>
                      <w:sz w:val="21"/>
                      <w:szCs w:val="21"/>
                      <w:u w:val="none"/>
                      <w:lang w:val="en-US" w:eastAsia="zh-CN" w:bidi="ar-SA"/>
                    </w:rPr>
                  </w:pPr>
                  <w:r>
                    <w:rPr>
                      <w:rFonts w:hint="eastAsia"/>
                      <w:color w:val="auto"/>
                      <w:szCs w:val="21"/>
                      <w:u w:val="none"/>
                    </w:rPr>
                    <w:t>质量</w:t>
                  </w:r>
                  <w:r>
                    <w:rPr>
                      <w:color w:val="auto"/>
                      <w:szCs w:val="21"/>
                      <w:u w:val="none"/>
                    </w:rPr>
                    <w:t>因子</w:t>
                  </w:r>
                </w:p>
              </w:tc>
              <w:tc>
                <w:tcPr>
                  <w:tcW w:w="852" w:type="dxa"/>
                  <w:tcBorders>
                    <w:tl2br w:val="nil"/>
                    <w:tr2bl w:val="nil"/>
                  </w:tcBorders>
                  <w:vAlign w:val="center"/>
                </w:tcPr>
                <w:p>
                  <w:pPr>
                    <w:pStyle w:val="5"/>
                    <w:rPr>
                      <w:rFonts w:hint="eastAsia" w:ascii="Times New Roman" w:hAnsi="Times New Roman" w:eastAsia="宋体" w:cs="Times New Roman"/>
                      <w:color w:val="auto"/>
                      <w:kern w:val="0"/>
                      <w:sz w:val="21"/>
                      <w:szCs w:val="21"/>
                      <w:u w:val="none"/>
                      <w:lang w:val="en-US" w:eastAsia="zh-CN" w:bidi="ar-SA"/>
                    </w:rPr>
                  </w:pPr>
                  <w:r>
                    <w:rPr>
                      <w:rFonts w:hint="eastAsia"/>
                      <w:color w:val="auto"/>
                      <w:szCs w:val="21"/>
                      <w:u w:val="none"/>
                    </w:rPr>
                    <w:t>镉</w:t>
                  </w:r>
                </w:p>
              </w:tc>
              <w:tc>
                <w:tcPr>
                  <w:tcW w:w="750" w:type="dxa"/>
                  <w:tcBorders>
                    <w:tl2br w:val="nil"/>
                    <w:tr2bl w:val="nil"/>
                  </w:tcBorders>
                  <w:vAlign w:val="center"/>
                </w:tcPr>
                <w:p>
                  <w:pPr>
                    <w:pStyle w:val="5"/>
                    <w:rPr>
                      <w:rFonts w:hint="eastAsia" w:ascii="Times New Roman" w:hAnsi="Times New Roman" w:eastAsia="宋体" w:cs="Times New Roman"/>
                      <w:color w:val="auto"/>
                      <w:kern w:val="0"/>
                      <w:sz w:val="21"/>
                      <w:szCs w:val="21"/>
                      <w:u w:val="none"/>
                      <w:lang w:val="en-US" w:eastAsia="zh-CN" w:bidi="ar-SA"/>
                    </w:rPr>
                  </w:pPr>
                  <w:r>
                    <w:rPr>
                      <w:rFonts w:hint="eastAsia"/>
                      <w:color w:val="auto"/>
                      <w:szCs w:val="21"/>
                      <w:u w:val="none"/>
                    </w:rPr>
                    <w:t>砷</w:t>
                  </w:r>
                </w:p>
              </w:tc>
              <w:tc>
                <w:tcPr>
                  <w:tcW w:w="939" w:type="dxa"/>
                  <w:tcBorders>
                    <w:tl2br w:val="nil"/>
                    <w:tr2bl w:val="nil"/>
                  </w:tcBorders>
                  <w:vAlign w:val="center"/>
                </w:tcPr>
                <w:p>
                  <w:pPr>
                    <w:pStyle w:val="5"/>
                    <w:rPr>
                      <w:rFonts w:hint="eastAsia" w:ascii="Times New Roman" w:hAnsi="Times New Roman" w:eastAsia="宋体" w:cs="Times New Roman"/>
                      <w:color w:val="auto"/>
                      <w:kern w:val="0"/>
                      <w:sz w:val="21"/>
                      <w:szCs w:val="21"/>
                      <w:u w:val="none"/>
                      <w:lang w:val="en-US" w:eastAsia="zh-CN" w:bidi="ar-SA"/>
                    </w:rPr>
                  </w:pPr>
                  <w:r>
                    <w:rPr>
                      <w:rFonts w:hint="eastAsia"/>
                      <w:color w:val="auto"/>
                      <w:szCs w:val="21"/>
                      <w:u w:val="none"/>
                      <w:lang w:eastAsia="zh-CN"/>
                    </w:rPr>
                    <w:t>硫酸盐</w:t>
                  </w:r>
                </w:p>
              </w:tc>
              <w:tc>
                <w:tcPr>
                  <w:tcW w:w="918" w:type="dxa"/>
                  <w:tcBorders>
                    <w:tl2br w:val="nil"/>
                    <w:tr2bl w:val="nil"/>
                  </w:tcBorders>
                  <w:vAlign w:val="center"/>
                </w:tcPr>
                <w:p>
                  <w:pPr>
                    <w:pStyle w:val="5"/>
                    <w:rPr>
                      <w:rFonts w:hint="eastAsia" w:ascii="Times New Roman" w:hAnsi="Times New Roman" w:eastAsia="宋体" w:cs="Times New Roman"/>
                      <w:color w:val="auto"/>
                      <w:kern w:val="0"/>
                      <w:sz w:val="21"/>
                      <w:szCs w:val="21"/>
                      <w:u w:val="none"/>
                      <w:lang w:val="en-US" w:eastAsia="zh-CN" w:bidi="ar-SA"/>
                    </w:rPr>
                  </w:pPr>
                  <w:r>
                    <w:rPr>
                      <w:rFonts w:hint="eastAsia"/>
                      <w:color w:val="auto"/>
                      <w:szCs w:val="21"/>
                      <w:u w:val="none"/>
                      <w:lang w:eastAsia="zh-CN"/>
                    </w:rPr>
                    <w:t>硝酸盐</w:t>
                  </w:r>
                </w:p>
              </w:tc>
              <w:tc>
                <w:tcPr>
                  <w:tcW w:w="1169" w:type="dxa"/>
                  <w:tcBorders>
                    <w:tl2br w:val="nil"/>
                    <w:tr2bl w:val="nil"/>
                  </w:tcBorders>
                  <w:vAlign w:val="center"/>
                </w:tcPr>
                <w:p>
                  <w:pPr>
                    <w:pStyle w:val="5"/>
                    <w:rPr>
                      <w:rFonts w:hint="eastAsia" w:ascii="Times New Roman" w:hAnsi="Times New Roman" w:eastAsia="宋体" w:cs="Times New Roman"/>
                      <w:color w:val="auto"/>
                      <w:kern w:val="0"/>
                      <w:sz w:val="21"/>
                      <w:szCs w:val="21"/>
                      <w:u w:val="none"/>
                      <w:lang w:val="en-US" w:eastAsia="zh-CN" w:bidi="ar-SA"/>
                    </w:rPr>
                  </w:pPr>
                  <w:r>
                    <w:rPr>
                      <w:rFonts w:hint="eastAsia"/>
                      <w:color w:val="auto"/>
                      <w:szCs w:val="21"/>
                      <w:u w:val="none"/>
                    </w:rPr>
                    <w:t>铬（六价）</w:t>
                  </w:r>
                </w:p>
              </w:tc>
              <w:tc>
                <w:tcPr>
                  <w:tcW w:w="1914" w:type="dxa"/>
                  <w:tcBorders>
                    <w:tl2br w:val="nil"/>
                    <w:tr2bl w:val="nil"/>
                  </w:tcBorders>
                  <w:vAlign w:val="center"/>
                </w:tcPr>
                <w:p>
                  <w:pPr>
                    <w:pStyle w:val="5"/>
                    <w:rPr>
                      <w:rFonts w:hint="eastAsia" w:ascii="Times New Roman" w:hAnsi="Times New Roman" w:eastAsia="宋体" w:cs="Times New Roman"/>
                      <w:color w:val="auto"/>
                      <w:kern w:val="0"/>
                      <w:sz w:val="21"/>
                      <w:szCs w:val="21"/>
                      <w:u w:val="none"/>
                      <w:lang w:val="en-US" w:eastAsia="zh-CN" w:bidi="ar-SA"/>
                    </w:rPr>
                  </w:pPr>
                  <w:r>
                    <w:rPr>
                      <w:rFonts w:hint="eastAsia"/>
                      <w:color w:val="auto"/>
                      <w:szCs w:val="21"/>
                      <w:u w:val="none"/>
                    </w:rPr>
                    <w:t>总大肠菌群（个/L）</w:t>
                  </w:r>
                </w:p>
              </w:tc>
              <w:tc>
                <w:tcPr>
                  <w:tcW w:w="846" w:type="dxa"/>
                  <w:tcBorders>
                    <w:tl2br w:val="nil"/>
                    <w:tr2bl w:val="nil"/>
                  </w:tcBorders>
                  <w:vAlign w:val="center"/>
                </w:tcPr>
                <w:p>
                  <w:pPr>
                    <w:pStyle w:val="5"/>
                    <w:rPr>
                      <w:rFonts w:hint="eastAsia"/>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029" w:type="dxa"/>
                  <w:tcBorders>
                    <w:tl2br w:val="nil"/>
                    <w:tr2bl w:val="nil"/>
                  </w:tcBorders>
                  <w:vAlign w:val="center"/>
                </w:tcPr>
                <w:p>
                  <w:pPr>
                    <w:pStyle w:val="5"/>
                    <w:rPr>
                      <w:rFonts w:hint="eastAsia" w:ascii="Times New Roman" w:hAnsi="Times New Roman" w:eastAsia="宋体" w:cs="Times New Roman"/>
                      <w:color w:val="auto"/>
                      <w:kern w:val="0"/>
                      <w:sz w:val="21"/>
                      <w:szCs w:val="21"/>
                      <w:u w:val="none"/>
                      <w:lang w:val="en-US" w:eastAsia="zh-CN" w:bidi="ar-SA"/>
                    </w:rPr>
                  </w:pPr>
                  <w:r>
                    <w:rPr>
                      <w:rFonts w:hint="eastAsia"/>
                      <w:bCs/>
                      <w:color w:val="auto"/>
                      <w:szCs w:val="22"/>
                      <w:u w:val="none"/>
                    </w:rPr>
                    <w:t>标准值</w:t>
                  </w:r>
                </w:p>
              </w:tc>
              <w:tc>
                <w:tcPr>
                  <w:tcW w:w="852" w:type="dxa"/>
                  <w:tcBorders>
                    <w:tl2br w:val="nil"/>
                    <w:tr2bl w:val="nil"/>
                  </w:tcBorders>
                  <w:vAlign w:val="center"/>
                </w:tcPr>
                <w:p>
                  <w:pPr>
                    <w:pStyle w:val="5"/>
                    <w:rPr>
                      <w:rFonts w:hint="default" w:ascii="Times New Roman" w:hAnsi="Times New Roman" w:eastAsia="宋体" w:cs="Times New Roman"/>
                      <w:color w:val="auto"/>
                      <w:kern w:val="0"/>
                      <w:sz w:val="21"/>
                      <w:szCs w:val="21"/>
                      <w:u w:val="none"/>
                      <w:lang w:val="en-US" w:eastAsia="zh-CN" w:bidi="ar-SA"/>
                    </w:rPr>
                  </w:pPr>
                  <w:r>
                    <w:rPr>
                      <w:rFonts w:hint="eastAsia"/>
                      <w:color w:val="auto"/>
                      <w:szCs w:val="21"/>
                      <w:u w:val="none"/>
                    </w:rPr>
                    <w:t>0.005</w:t>
                  </w:r>
                </w:p>
              </w:tc>
              <w:tc>
                <w:tcPr>
                  <w:tcW w:w="750" w:type="dxa"/>
                  <w:tcBorders>
                    <w:tl2br w:val="nil"/>
                    <w:tr2bl w:val="nil"/>
                  </w:tcBorders>
                  <w:vAlign w:val="center"/>
                </w:tcPr>
                <w:p>
                  <w:pPr>
                    <w:pStyle w:val="5"/>
                    <w:rPr>
                      <w:rFonts w:hint="default" w:ascii="Times New Roman" w:hAnsi="Times New Roman" w:eastAsia="宋体" w:cs="Times New Roman"/>
                      <w:color w:val="auto"/>
                      <w:kern w:val="0"/>
                      <w:sz w:val="21"/>
                      <w:szCs w:val="21"/>
                      <w:u w:val="none"/>
                      <w:lang w:val="en-US" w:eastAsia="zh-CN" w:bidi="ar-SA"/>
                    </w:rPr>
                  </w:pPr>
                  <w:r>
                    <w:rPr>
                      <w:color w:val="auto"/>
                      <w:szCs w:val="21"/>
                      <w:u w:val="none"/>
                    </w:rPr>
                    <w:t>0.0</w:t>
                  </w:r>
                  <w:r>
                    <w:rPr>
                      <w:rFonts w:hint="eastAsia"/>
                      <w:color w:val="auto"/>
                      <w:szCs w:val="21"/>
                      <w:u w:val="none"/>
                    </w:rPr>
                    <w:t>1</w:t>
                  </w:r>
                </w:p>
              </w:tc>
              <w:tc>
                <w:tcPr>
                  <w:tcW w:w="939" w:type="dxa"/>
                  <w:tcBorders>
                    <w:tl2br w:val="nil"/>
                    <w:tr2bl w:val="nil"/>
                  </w:tcBorders>
                  <w:vAlign w:val="center"/>
                </w:tcPr>
                <w:p>
                  <w:pPr>
                    <w:pStyle w:val="5"/>
                    <w:rPr>
                      <w:rFonts w:hint="eastAsia" w:ascii="Times New Roman" w:hAnsi="Times New Roman" w:eastAsia="宋体" w:cs="Times New Roman"/>
                      <w:color w:val="auto"/>
                      <w:kern w:val="0"/>
                      <w:sz w:val="21"/>
                      <w:szCs w:val="21"/>
                      <w:u w:val="none"/>
                      <w:lang w:val="en-US" w:eastAsia="zh-CN" w:bidi="ar-SA"/>
                    </w:rPr>
                  </w:pPr>
                  <w:r>
                    <w:rPr>
                      <w:rFonts w:hint="eastAsia"/>
                      <w:color w:val="auto"/>
                      <w:szCs w:val="21"/>
                      <w:u w:val="none"/>
                      <w:lang w:val="en-US" w:eastAsia="zh-CN"/>
                    </w:rPr>
                    <w:t>250</w:t>
                  </w:r>
                </w:p>
              </w:tc>
              <w:tc>
                <w:tcPr>
                  <w:tcW w:w="918" w:type="dxa"/>
                  <w:tcBorders>
                    <w:tl2br w:val="nil"/>
                    <w:tr2bl w:val="nil"/>
                  </w:tcBorders>
                  <w:vAlign w:val="center"/>
                </w:tcPr>
                <w:p>
                  <w:pPr>
                    <w:pStyle w:val="5"/>
                    <w:rPr>
                      <w:rFonts w:hint="eastAsia" w:ascii="Times New Roman" w:hAnsi="Times New Roman" w:eastAsia="宋体" w:cs="Times New Roman"/>
                      <w:color w:val="auto"/>
                      <w:kern w:val="0"/>
                      <w:sz w:val="21"/>
                      <w:szCs w:val="21"/>
                      <w:u w:val="none"/>
                      <w:lang w:val="en-US" w:eastAsia="zh-CN" w:bidi="ar-SA"/>
                    </w:rPr>
                  </w:pPr>
                  <w:r>
                    <w:rPr>
                      <w:rFonts w:hint="eastAsia"/>
                      <w:color w:val="auto"/>
                      <w:szCs w:val="21"/>
                      <w:u w:val="none"/>
                      <w:lang w:val="en-US" w:eastAsia="zh-CN"/>
                    </w:rPr>
                    <w:t>20.0</w:t>
                  </w:r>
                </w:p>
              </w:tc>
              <w:tc>
                <w:tcPr>
                  <w:tcW w:w="1169" w:type="dxa"/>
                  <w:tcBorders>
                    <w:tl2br w:val="nil"/>
                    <w:tr2bl w:val="nil"/>
                  </w:tcBorders>
                  <w:vAlign w:val="center"/>
                </w:tcPr>
                <w:p>
                  <w:pPr>
                    <w:pStyle w:val="5"/>
                    <w:rPr>
                      <w:rFonts w:hint="eastAsia" w:ascii="Times New Roman" w:hAnsi="Times New Roman" w:eastAsia="宋体" w:cs="Times New Roman"/>
                      <w:color w:val="auto"/>
                      <w:kern w:val="0"/>
                      <w:sz w:val="21"/>
                      <w:szCs w:val="21"/>
                      <w:u w:val="none"/>
                      <w:lang w:val="en-US" w:eastAsia="zh-CN" w:bidi="ar-SA"/>
                    </w:rPr>
                  </w:pPr>
                  <w:r>
                    <w:rPr>
                      <w:rFonts w:hint="eastAsia"/>
                      <w:color w:val="auto"/>
                      <w:szCs w:val="21"/>
                      <w:u w:val="none"/>
                    </w:rPr>
                    <w:t>0.05</w:t>
                  </w:r>
                </w:p>
              </w:tc>
              <w:tc>
                <w:tcPr>
                  <w:tcW w:w="1914" w:type="dxa"/>
                  <w:tcBorders>
                    <w:tl2br w:val="nil"/>
                    <w:tr2bl w:val="nil"/>
                  </w:tcBorders>
                  <w:vAlign w:val="center"/>
                </w:tcPr>
                <w:p>
                  <w:pPr>
                    <w:pStyle w:val="5"/>
                    <w:rPr>
                      <w:rFonts w:hint="eastAsia" w:ascii="Times New Roman" w:hAnsi="Times New Roman" w:eastAsia="宋体" w:cs="Times New Roman"/>
                      <w:color w:val="auto"/>
                      <w:kern w:val="0"/>
                      <w:sz w:val="21"/>
                      <w:szCs w:val="21"/>
                      <w:u w:val="none"/>
                      <w:lang w:val="en-US" w:eastAsia="zh-CN" w:bidi="ar-SA"/>
                    </w:rPr>
                  </w:pPr>
                  <w:r>
                    <w:rPr>
                      <w:rFonts w:hint="eastAsia"/>
                      <w:color w:val="auto"/>
                      <w:szCs w:val="21"/>
                      <w:u w:val="none"/>
                    </w:rPr>
                    <w:t>3.0</w:t>
                  </w:r>
                </w:p>
              </w:tc>
              <w:tc>
                <w:tcPr>
                  <w:tcW w:w="846" w:type="dxa"/>
                  <w:tcBorders>
                    <w:tl2br w:val="nil"/>
                    <w:tr2bl w:val="nil"/>
                  </w:tcBorders>
                  <w:vAlign w:val="center"/>
                </w:tcPr>
                <w:p>
                  <w:pPr>
                    <w:pStyle w:val="5"/>
                    <w:rPr>
                      <w:rFonts w:hint="eastAsia"/>
                      <w:color w:val="auto"/>
                      <w:szCs w:val="21"/>
                      <w:u w:val="none"/>
                    </w:rPr>
                  </w:pPr>
                </w:p>
              </w:tc>
            </w:tr>
          </w:tbl>
          <w:p>
            <w:pPr>
              <w:pStyle w:val="8"/>
              <w:keepNext w:val="0"/>
              <w:keepLines w:val="0"/>
              <w:pageBreakBefore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4"/>
                <w:u w:val="none"/>
              </w:rPr>
            </w:pPr>
            <w:r>
              <w:rPr>
                <w:rFonts w:hint="eastAsia"/>
                <w:color w:val="auto"/>
                <w:sz w:val="24"/>
                <w:szCs w:val="24"/>
                <w:u w:val="none"/>
              </w:rPr>
              <w:t>4、土壤环境：执行</w:t>
            </w:r>
            <w:r>
              <w:rPr>
                <w:bCs/>
                <w:color w:val="auto"/>
                <w:sz w:val="24"/>
                <w:szCs w:val="24"/>
                <w:u w:val="none"/>
              </w:rPr>
              <w:t>《土壤环境质量建设用地土壤污染风险管控标准试行》</w:t>
            </w:r>
            <w:r>
              <w:rPr>
                <w:rFonts w:hint="eastAsia"/>
                <w:bCs/>
                <w:color w:val="auto"/>
                <w:sz w:val="24"/>
                <w:szCs w:val="24"/>
                <w:u w:val="none"/>
              </w:rPr>
              <w:t>（</w:t>
            </w:r>
            <w:r>
              <w:rPr>
                <w:bCs/>
                <w:color w:val="auto"/>
                <w:sz w:val="24"/>
                <w:szCs w:val="24"/>
                <w:u w:val="none"/>
              </w:rPr>
              <w:t>GB36600-2018</w:t>
            </w:r>
            <w:r>
              <w:rPr>
                <w:rFonts w:hint="eastAsia"/>
                <w:bCs/>
                <w:color w:val="auto"/>
                <w:sz w:val="24"/>
                <w:szCs w:val="24"/>
                <w:u w:val="none"/>
              </w:rPr>
              <w:t>）</w:t>
            </w:r>
            <w:r>
              <w:rPr>
                <w:bCs/>
                <w:color w:val="auto"/>
                <w:sz w:val="24"/>
                <w:szCs w:val="24"/>
                <w:u w:val="none"/>
              </w:rPr>
              <w:t>表1中</w:t>
            </w:r>
            <w:r>
              <w:rPr>
                <w:rFonts w:hint="eastAsia"/>
                <w:bCs/>
                <w:color w:val="auto"/>
                <w:sz w:val="24"/>
                <w:szCs w:val="24"/>
                <w:u w:val="none"/>
              </w:rPr>
              <w:t>二</w:t>
            </w:r>
            <w:r>
              <w:rPr>
                <w:bCs/>
                <w:color w:val="auto"/>
                <w:sz w:val="24"/>
                <w:szCs w:val="24"/>
                <w:u w:val="none"/>
              </w:rPr>
              <w:t>类用地</w:t>
            </w:r>
            <w:r>
              <w:rPr>
                <w:rFonts w:hint="eastAsia"/>
                <w:bCs/>
                <w:color w:val="auto"/>
                <w:sz w:val="24"/>
                <w:szCs w:val="24"/>
                <w:u w:val="none"/>
              </w:rPr>
              <w:t>风险筛选值。</w:t>
            </w:r>
            <w:r>
              <w:rPr>
                <w:rFonts w:hint="default" w:ascii="Times New Roman" w:hAnsi="Times New Roman" w:eastAsia="宋体" w:cs="Times New Roman"/>
                <w:color w:val="auto"/>
                <w:sz w:val="24"/>
                <w:szCs w:val="24"/>
                <w:u w:val="none"/>
              </w:rPr>
              <w:t>标准限值见表</w:t>
            </w:r>
            <w:r>
              <w:rPr>
                <w:rFonts w:hint="eastAsia" w:cs="Times New Roman"/>
                <w:color w:val="auto"/>
                <w:sz w:val="24"/>
                <w:szCs w:val="24"/>
                <w:u w:val="none"/>
                <w:lang w:val="en-US" w:eastAsia="zh-CN"/>
              </w:rPr>
              <w:t>4-4</w:t>
            </w:r>
            <w:r>
              <w:rPr>
                <w:rFonts w:hint="default" w:ascii="Times New Roman" w:hAnsi="Times New Roman" w:eastAsia="宋体" w:cs="Times New Roman"/>
                <w:color w:val="auto"/>
                <w:sz w:val="24"/>
                <w:szCs w:val="24"/>
                <w:u w:val="none"/>
              </w:rPr>
              <w:t>。</w:t>
            </w:r>
          </w:p>
          <w:p>
            <w:pPr>
              <w:pStyle w:val="7"/>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u w:val="none"/>
              </w:rPr>
            </w:pPr>
          </w:p>
          <w:p>
            <w:pPr>
              <w:pStyle w:val="7"/>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u w:val="none"/>
              </w:rPr>
            </w:pPr>
          </w:p>
          <w:p>
            <w:pPr>
              <w:pStyle w:val="7"/>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u w:val="none"/>
              </w:rPr>
            </w:pPr>
          </w:p>
          <w:p>
            <w:pPr>
              <w:pStyle w:val="7"/>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u w:val="none"/>
              </w:rPr>
            </w:pPr>
          </w:p>
          <w:p>
            <w:pPr>
              <w:pStyle w:val="7"/>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u w:val="none"/>
              </w:rPr>
            </w:pPr>
          </w:p>
          <w:p>
            <w:pPr>
              <w:pStyle w:val="7"/>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u w:val="none"/>
              </w:rPr>
            </w:pPr>
          </w:p>
          <w:p>
            <w:pPr>
              <w:pStyle w:val="7"/>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u w:val="none"/>
              </w:rPr>
            </w:pPr>
          </w:p>
          <w:p>
            <w:pPr>
              <w:pStyle w:val="7"/>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u w:val="none"/>
              </w:rPr>
            </w:pPr>
          </w:p>
          <w:p>
            <w:pPr>
              <w:pStyle w:val="7"/>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rPr>
              <w:t>表</w:t>
            </w:r>
            <w:r>
              <w:rPr>
                <w:rFonts w:hint="eastAsia" w:cs="Times New Roman"/>
                <w:color w:val="auto"/>
                <w:sz w:val="21"/>
                <w:szCs w:val="21"/>
                <w:u w:val="none"/>
                <w:lang w:val="en-US" w:eastAsia="zh-CN"/>
              </w:rPr>
              <w:t>4-4</w:t>
            </w:r>
            <w:r>
              <w:rPr>
                <w:rFonts w:hint="eastAsia" w:ascii="Times New Roman" w:hAnsi="Times New Roman" w:cs="Times New Roman"/>
                <w:color w:val="auto"/>
                <w:sz w:val="21"/>
                <w:szCs w:val="21"/>
                <w:u w:val="none"/>
                <w:lang w:val="en-US" w:eastAsia="zh-CN"/>
              </w:rPr>
              <w:t xml:space="preserve"> </w:t>
            </w:r>
            <w:r>
              <w:rPr>
                <w:rFonts w:hint="default" w:ascii="Times New Roman" w:hAnsi="Times New Roman" w:eastAsia="宋体" w:cs="Times New Roman"/>
                <w:color w:val="auto"/>
                <w:sz w:val="21"/>
                <w:szCs w:val="21"/>
                <w:u w:val="none"/>
              </w:rPr>
              <w:t>建设用地土壤风险筛选值和管控管控制值（基本项目）</w:t>
            </w:r>
            <w:r>
              <w:rPr>
                <w:rFonts w:hint="eastAsia" w:ascii="Times New Roman" w:hAnsi="Times New Roman" w:cs="Times New Roman"/>
                <w:color w:val="auto"/>
                <w:sz w:val="21"/>
                <w:szCs w:val="21"/>
                <w:u w:val="none"/>
                <w:lang w:val="en-US" w:eastAsia="zh-CN"/>
              </w:rPr>
              <w:t xml:space="preserve"> 单位：mg/kg</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268"/>
              <w:gridCol w:w="1134"/>
              <w:gridCol w:w="142"/>
              <w:gridCol w:w="1134"/>
              <w:gridCol w:w="992"/>
              <w:gridCol w:w="1134"/>
              <w:gridCol w:w="9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序号</w:t>
                  </w:r>
                </w:p>
              </w:tc>
              <w:tc>
                <w:tcPr>
                  <w:tcW w:w="226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污染物项目</w:t>
                  </w:r>
                </w:p>
              </w:tc>
              <w:tc>
                <w:tcPr>
                  <w:tcW w:w="1276" w:type="dxa"/>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CAS编号</w:t>
                  </w:r>
                </w:p>
              </w:tc>
              <w:tc>
                <w:tcPr>
                  <w:tcW w:w="212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筛选值</w:t>
                  </w:r>
                </w:p>
              </w:tc>
              <w:tc>
                <w:tcPr>
                  <w:tcW w:w="2041"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管控值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p>
              </w:tc>
              <w:tc>
                <w:tcPr>
                  <w:tcW w:w="226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p>
              </w:tc>
              <w:tc>
                <w:tcPr>
                  <w:tcW w:w="1276" w:type="dxa"/>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第一类用地</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第二类用地</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第一类用地</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第二类用地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528" w:type="dxa"/>
                  <w:gridSpan w:val="8"/>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重金属和无机物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砷</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7440-38-2</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vertAlign w:val="superscript"/>
                    </w:rPr>
                    <w:t>①</w:t>
                  </w:r>
                  <w:r>
                    <w:rPr>
                      <w:rFonts w:hint="default" w:ascii="Times New Roman" w:hAnsi="Times New Roman" w:eastAsia="宋体" w:cs="Times New Roman"/>
                      <w:b w:val="0"/>
                      <w:bCs/>
                      <w:color w:val="auto"/>
                      <w:sz w:val="21"/>
                      <w:szCs w:val="21"/>
                      <w:u w:val="none"/>
                    </w:rPr>
                    <w:t>20</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60</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120</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镉</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7440-43-9</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20</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65</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47</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铬（六价）</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18540-29-9</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3.0</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5.7</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30</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4</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铜</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7440-50-8</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2000</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18000</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8000</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36000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铅</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7439-92-1</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400</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800</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800</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6</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汞</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7439-97-6</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8</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38</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33</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镍</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7440-02-0</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150</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900</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600</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528" w:type="dxa"/>
                  <w:gridSpan w:val="8"/>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挥发性有机物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8</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四氯化碳</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56-23-5</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0.9</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2.8</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9</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9</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氯仿</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67-66-3</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0.3</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0.9</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10</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氯甲烷</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74-87-3</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12</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37</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21</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11</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val="0"/>
                      <w:bCs/>
                      <w:color w:val="auto"/>
                      <w:kern w:val="0"/>
                      <w:sz w:val="21"/>
                      <w:szCs w:val="21"/>
                      <w:u w:val="none"/>
                    </w:rPr>
                  </w:pPr>
                  <w:r>
                    <w:rPr>
                      <w:rFonts w:hint="default" w:ascii="Times New Roman" w:hAnsi="Times New Roman" w:eastAsia="宋体" w:cs="Times New Roman"/>
                      <w:b w:val="0"/>
                      <w:bCs/>
                      <w:color w:val="auto"/>
                      <w:sz w:val="21"/>
                      <w:szCs w:val="21"/>
                      <w:u w:val="none"/>
                    </w:rPr>
                    <w:t>1，1-二氯乙烷</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75-34-3</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9</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20</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12</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1，2-二氯乙烷</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107-06-2</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0.52</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6</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13</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1，1-二氯乙烯</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75-35-4</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12</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66</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40</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14</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顺-1，2-二氯乙烯</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156-59-2</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66</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596</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200</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15</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反-1，2-二氯乙烯</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156-60-5</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10</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54</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31</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16</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二氯甲烷</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75-09-2</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94</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616</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300</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17</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1，2-二氯丙烷</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78-87-5</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18</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1，1，1，2-四氯乙烷</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630-20-6</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2.6</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10</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26</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19</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1，1，2，2-四氯乙烯</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79-34-5</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1.6</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6.8</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14</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20</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四氯乙烷</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127-18-4</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11</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53</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34</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21</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1，1，1-三氯乙烷</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71-55-6</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701</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840</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840</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840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22</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1，1，2-三氯乙烷</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79-00-5</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0.6</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2.8</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23</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三氯乙烯</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79-01-6</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0.7</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2.8</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24</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1，2，3-三氯丙烷</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96-18-4</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0.05</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0.5</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0.5</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25</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氯乙烯</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75-01-4</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0.12</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0.43</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1.2</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26</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苯</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71-43-2</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4</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10</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27</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氯苯</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108-90-7</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68</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270</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200</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28</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1，2-二氯苯</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95-50-1</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560</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560</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560</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29</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1，4-二氯苯</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106-46-7</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5.6</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20</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56</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30</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乙苯</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100-41-4</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7.2</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28</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72</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31</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苯乙烯</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100-42-5</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1290</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1290</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1290</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1290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32</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甲苯</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108-88-3</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1200</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1200</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1200</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33</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间二甲苯+对二甲苯</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108-38-3</w:t>
                  </w:r>
                </w:p>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106-42-3</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163</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570</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500</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34</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邻二甲苯</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95-47-6</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222</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640</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640</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640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528" w:type="dxa"/>
                  <w:gridSpan w:val="8"/>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半挥发性有机物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35</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硝基苯</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98-95-3</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34</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76</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190</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36</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苯胺</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62-53-3</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92</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260</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211</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663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37</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2-氯酚</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95-57-8</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250</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2256</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500</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4500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38</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苯并[a]蒽</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56-55-3</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5.5</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15</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55</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39</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苯并[a]芘</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50-32-8</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0.55</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1.5</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5.5</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40</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苯并[b]荧蒽</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205-99-2</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5.5</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15</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55</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41</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苯并[k]荧蒽</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207-08-9</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55</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151</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550</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42</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䓛</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218-01-9</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490</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1293</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4900</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12900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43</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二苯并[a，h]蒽</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53-70-3</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0.55</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1.5</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5.5</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44</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茚并[1，2，3-cd]芘</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193-39-5</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55</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15</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55</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151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1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45</w:t>
                  </w:r>
                </w:p>
              </w:tc>
              <w:tc>
                <w:tcPr>
                  <w:tcW w:w="2268" w:type="dxa"/>
                  <w:noWrap w:val="0"/>
                  <w:vAlign w:val="center"/>
                </w:tcPr>
                <w:p>
                  <w:pPr>
                    <w:keepNext w:val="0"/>
                    <w:keepLines w:val="0"/>
                    <w:pageBreakBefore w:val="0"/>
                    <w:widowControl/>
                    <w:tabs>
                      <w:tab w:val="left" w:pos="480"/>
                    </w:tabs>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萘</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91-20-3</w:t>
                  </w:r>
                </w:p>
              </w:tc>
              <w:tc>
                <w:tcPr>
                  <w:tcW w:w="1276"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25</w:t>
                  </w:r>
                </w:p>
              </w:tc>
              <w:tc>
                <w:tcPr>
                  <w:tcW w:w="992"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70</w:t>
                  </w:r>
                </w:p>
              </w:tc>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255</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528" w:type="dxa"/>
                  <w:gridSpan w:val="8"/>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注：①具体地块土壤中污染物监测含量超过筛选值，但等于或者低于土壤环境背景值（见3.6）水平的，不纳入污染地块管理。土壤环境背景值可参见附录A。</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rPr>
            </w:pPr>
            <w:r>
              <w:rPr>
                <w:rFonts w:hint="eastAsia"/>
                <w:color w:val="auto"/>
                <w:sz w:val="24"/>
                <w:szCs w:val="24"/>
                <w:u w:val="none"/>
              </w:rPr>
              <w:t>5、</w:t>
            </w:r>
            <w:r>
              <w:rPr>
                <w:color w:val="auto"/>
                <w:sz w:val="24"/>
                <w:szCs w:val="24"/>
                <w:u w:val="none"/>
              </w:rPr>
              <w:t>声环境：</w:t>
            </w:r>
            <w:r>
              <w:rPr>
                <w:rFonts w:hint="eastAsia"/>
                <w:color w:val="auto"/>
                <w:sz w:val="24"/>
                <w:u w:val="none"/>
              </w:rPr>
              <w:t>区域声环境执行《声环境质量标准》（GB3096-2008）的2类标准。</w:t>
            </w:r>
            <w:r>
              <w:rPr>
                <w:rFonts w:hint="eastAsia"/>
                <w:color w:val="auto"/>
                <w:sz w:val="24"/>
                <w:u w:val="none"/>
                <w:lang w:eastAsia="zh-CN"/>
              </w:rPr>
              <w:t>标准限值</w:t>
            </w:r>
            <w:r>
              <w:rPr>
                <w:rFonts w:hint="eastAsia"/>
                <w:color w:val="auto"/>
                <w:sz w:val="24"/>
                <w:u w:val="none"/>
              </w:rPr>
              <w:t>详见表</w:t>
            </w:r>
            <w:r>
              <w:rPr>
                <w:rFonts w:hint="eastAsia"/>
                <w:color w:val="auto"/>
                <w:sz w:val="24"/>
                <w:u w:val="none"/>
                <w:lang w:val="en-US" w:eastAsia="zh-CN"/>
              </w:rPr>
              <w:t>4-5</w:t>
            </w:r>
            <w:r>
              <w:rPr>
                <w:color w:val="auto"/>
                <w:sz w:val="24"/>
                <w:szCs w:val="24"/>
                <w:u w:val="none"/>
              </w:rPr>
              <w:t>。</w:t>
            </w:r>
          </w:p>
          <w:p>
            <w:pPr>
              <w:ind w:left="1" w:firstLine="480"/>
              <w:jc w:val="center"/>
              <w:rPr>
                <w:b/>
                <w:color w:val="auto"/>
                <w:szCs w:val="21"/>
                <w:u w:val="none"/>
              </w:rPr>
            </w:pPr>
            <w:r>
              <w:rPr>
                <w:b/>
                <w:color w:val="auto"/>
                <w:szCs w:val="21"/>
                <w:u w:val="none"/>
              </w:rPr>
              <w:t>表4-</w:t>
            </w:r>
            <w:r>
              <w:rPr>
                <w:rFonts w:hint="eastAsia"/>
                <w:b/>
                <w:color w:val="auto"/>
                <w:szCs w:val="21"/>
                <w:u w:val="none"/>
                <w:lang w:val="en-US" w:eastAsia="zh-CN"/>
              </w:rPr>
              <w:t>5</w:t>
            </w:r>
            <w:r>
              <w:rPr>
                <w:b/>
                <w:color w:val="auto"/>
                <w:szCs w:val="21"/>
                <w:u w:val="none"/>
              </w:rPr>
              <w:t xml:space="preserve">  声环境质量标准   单位dB(A)</w:t>
            </w:r>
          </w:p>
          <w:tbl>
            <w:tblPr>
              <w:tblStyle w:val="27"/>
              <w:tblW w:w="7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31"/>
              <w:gridCol w:w="2840"/>
              <w:gridCol w:w="21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2631" w:type="dxa"/>
                  <w:tcBorders>
                    <w:tl2br w:val="nil"/>
                    <w:tr2bl w:val="nil"/>
                  </w:tcBorders>
                </w:tcPr>
                <w:p>
                  <w:pPr>
                    <w:jc w:val="center"/>
                    <w:rPr>
                      <w:color w:val="auto"/>
                      <w:szCs w:val="21"/>
                      <w:u w:val="none"/>
                    </w:rPr>
                  </w:pPr>
                  <w:r>
                    <w:rPr>
                      <w:color w:val="auto"/>
                      <w:szCs w:val="21"/>
                      <w:u w:val="none"/>
                    </w:rPr>
                    <w:t>类别</w:t>
                  </w:r>
                </w:p>
              </w:tc>
              <w:tc>
                <w:tcPr>
                  <w:tcW w:w="2840" w:type="dxa"/>
                  <w:tcBorders>
                    <w:tl2br w:val="nil"/>
                    <w:tr2bl w:val="nil"/>
                  </w:tcBorders>
                </w:tcPr>
                <w:p>
                  <w:pPr>
                    <w:jc w:val="center"/>
                    <w:rPr>
                      <w:color w:val="auto"/>
                      <w:szCs w:val="21"/>
                      <w:u w:val="none"/>
                    </w:rPr>
                  </w:pPr>
                  <w:r>
                    <w:rPr>
                      <w:color w:val="auto"/>
                      <w:szCs w:val="21"/>
                      <w:u w:val="none"/>
                    </w:rPr>
                    <w:t>昼间</w:t>
                  </w:r>
                </w:p>
              </w:tc>
              <w:tc>
                <w:tcPr>
                  <w:tcW w:w="2145" w:type="dxa"/>
                  <w:tcBorders>
                    <w:tl2br w:val="nil"/>
                    <w:tr2bl w:val="nil"/>
                  </w:tcBorders>
                </w:tcPr>
                <w:p>
                  <w:pPr>
                    <w:jc w:val="center"/>
                    <w:rPr>
                      <w:color w:val="auto"/>
                      <w:szCs w:val="21"/>
                      <w:u w:val="none"/>
                    </w:rPr>
                  </w:pPr>
                  <w:r>
                    <w:rPr>
                      <w:color w:val="auto"/>
                      <w:szCs w:val="21"/>
                      <w:u w:val="none"/>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631" w:type="dxa"/>
                  <w:tcBorders>
                    <w:tl2br w:val="nil"/>
                    <w:tr2bl w:val="nil"/>
                  </w:tcBorders>
                </w:tcPr>
                <w:p>
                  <w:pPr>
                    <w:jc w:val="center"/>
                    <w:rPr>
                      <w:color w:val="auto"/>
                      <w:szCs w:val="21"/>
                      <w:u w:val="none"/>
                    </w:rPr>
                  </w:pPr>
                  <w:r>
                    <w:rPr>
                      <w:rFonts w:hint="eastAsia"/>
                      <w:color w:val="auto"/>
                      <w:szCs w:val="21"/>
                      <w:u w:val="none"/>
                    </w:rPr>
                    <w:t>2类</w:t>
                  </w:r>
                </w:p>
              </w:tc>
              <w:tc>
                <w:tcPr>
                  <w:tcW w:w="2840" w:type="dxa"/>
                  <w:tcBorders>
                    <w:tl2br w:val="nil"/>
                    <w:tr2bl w:val="nil"/>
                  </w:tcBorders>
                </w:tcPr>
                <w:p>
                  <w:pPr>
                    <w:jc w:val="center"/>
                    <w:rPr>
                      <w:color w:val="auto"/>
                      <w:szCs w:val="21"/>
                      <w:u w:val="none"/>
                    </w:rPr>
                  </w:pPr>
                  <w:r>
                    <w:rPr>
                      <w:rFonts w:hint="eastAsia"/>
                      <w:color w:val="auto"/>
                      <w:szCs w:val="21"/>
                      <w:u w:val="none"/>
                    </w:rPr>
                    <w:t>60</w:t>
                  </w:r>
                </w:p>
              </w:tc>
              <w:tc>
                <w:tcPr>
                  <w:tcW w:w="2145" w:type="dxa"/>
                  <w:tcBorders>
                    <w:tl2br w:val="nil"/>
                    <w:tr2bl w:val="nil"/>
                  </w:tcBorders>
                </w:tcPr>
                <w:p>
                  <w:pPr>
                    <w:jc w:val="center"/>
                    <w:rPr>
                      <w:color w:val="auto"/>
                      <w:szCs w:val="21"/>
                      <w:u w:val="none"/>
                    </w:rPr>
                  </w:pPr>
                  <w:r>
                    <w:rPr>
                      <w:rFonts w:hint="eastAsia"/>
                      <w:color w:val="auto"/>
                      <w:szCs w:val="21"/>
                      <w:u w:val="none"/>
                    </w:rPr>
                    <w:t>50</w:t>
                  </w:r>
                </w:p>
              </w:tc>
            </w:tr>
          </w:tbl>
          <w:p>
            <w:pPr>
              <w:adjustRightInd w:val="0"/>
              <w:snapToGrid w:val="0"/>
              <w:spacing w:line="360" w:lineRule="auto"/>
              <w:rPr>
                <w:color w:val="auto"/>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596" w:type="dxa"/>
            <w:vAlign w:val="center"/>
          </w:tcPr>
          <w:p>
            <w:pPr>
              <w:jc w:val="center"/>
              <w:rPr>
                <w:b/>
                <w:bCs/>
                <w:color w:val="auto"/>
                <w:sz w:val="24"/>
                <w:szCs w:val="24"/>
              </w:rPr>
            </w:pPr>
            <w:r>
              <w:rPr>
                <w:b/>
                <w:bCs/>
                <w:color w:val="auto"/>
                <w:sz w:val="24"/>
                <w:szCs w:val="24"/>
              </w:rPr>
              <w:t>污染物排放标准</w:t>
            </w:r>
          </w:p>
        </w:tc>
        <w:tc>
          <w:tcPr>
            <w:tcW w:w="8746" w:type="dxa"/>
            <w:vAlign w:val="center"/>
          </w:tcPr>
          <w:p>
            <w:pPr>
              <w:numPr>
                <w:ilvl w:val="0"/>
                <w:numId w:val="4"/>
              </w:numPr>
              <w:adjustRightInd w:val="0"/>
              <w:snapToGrid w:val="0"/>
              <w:spacing w:line="360" w:lineRule="auto"/>
              <w:ind w:firstLine="462" w:firstLineChars="200"/>
              <w:rPr>
                <w:color w:val="auto"/>
                <w:sz w:val="24"/>
                <w:szCs w:val="24"/>
                <w:u w:val="none"/>
              </w:rPr>
            </w:pPr>
            <w:r>
              <w:rPr>
                <w:color w:val="auto"/>
                <w:sz w:val="24"/>
                <w:szCs w:val="24"/>
                <w:u w:val="none"/>
              </w:rPr>
              <w:t>废水：</w:t>
            </w:r>
            <w:r>
              <w:rPr>
                <w:color w:val="auto"/>
                <w:sz w:val="24"/>
                <w:u w:val="none"/>
              </w:rPr>
              <w:t>污水处理</w:t>
            </w:r>
            <w:r>
              <w:rPr>
                <w:rFonts w:hint="eastAsia"/>
                <w:color w:val="auto"/>
                <w:sz w:val="24"/>
                <w:u w:val="none"/>
              </w:rPr>
              <w:t>站</w:t>
            </w:r>
            <w:r>
              <w:rPr>
                <w:color w:val="auto"/>
                <w:sz w:val="24"/>
                <w:u w:val="none"/>
              </w:rPr>
              <w:t>尾水排放执行</w:t>
            </w:r>
            <w:r>
              <w:rPr>
                <w:rFonts w:hint="eastAsia"/>
                <w:color w:val="auto"/>
                <w:sz w:val="24"/>
                <w:szCs w:val="24"/>
                <w:u w:val="none"/>
              </w:rPr>
              <w:t>《城镇污水处理厂污染物排放标准》（</w:t>
            </w:r>
            <w:r>
              <w:rPr>
                <w:color w:val="auto"/>
                <w:sz w:val="24"/>
                <w:szCs w:val="24"/>
                <w:u w:val="none"/>
              </w:rPr>
              <w:t>GB18918-2002</w:t>
            </w:r>
            <w:r>
              <w:rPr>
                <w:rFonts w:hint="eastAsia"/>
                <w:color w:val="auto"/>
                <w:sz w:val="24"/>
                <w:szCs w:val="24"/>
                <w:u w:val="none"/>
              </w:rPr>
              <w:t>）一级</w:t>
            </w:r>
            <w:r>
              <w:rPr>
                <w:rFonts w:hint="eastAsia"/>
                <w:color w:val="auto"/>
                <w:sz w:val="24"/>
                <w:szCs w:val="24"/>
                <w:u w:val="none"/>
                <w:lang w:val="en-US" w:eastAsia="zh-CN"/>
              </w:rPr>
              <w:t>B</w:t>
            </w:r>
            <w:r>
              <w:rPr>
                <w:rFonts w:hint="eastAsia"/>
                <w:color w:val="auto"/>
                <w:sz w:val="24"/>
                <w:szCs w:val="24"/>
                <w:u w:val="none"/>
              </w:rPr>
              <w:t>标准。</w:t>
            </w:r>
            <w:r>
              <w:rPr>
                <w:rFonts w:hint="eastAsia"/>
                <w:color w:val="auto"/>
                <w:sz w:val="24"/>
                <w:u w:val="none"/>
                <w:lang w:eastAsia="zh-CN"/>
              </w:rPr>
              <w:t>标准限值</w:t>
            </w:r>
            <w:r>
              <w:rPr>
                <w:rFonts w:hint="eastAsia"/>
                <w:color w:val="auto"/>
                <w:sz w:val="24"/>
                <w:u w:val="none"/>
              </w:rPr>
              <w:t>详见表</w:t>
            </w:r>
            <w:r>
              <w:rPr>
                <w:rFonts w:hint="eastAsia"/>
                <w:color w:val="auto"/>
                <w:sz w:val="24"/>
                <w:u w:val="none"/>
                <w:lang w:val="en-US" w:eastAsia="zh-CN"/>
              </w:rPr>
              <w:t>4-6</w:t>
            </w:r>
            <w:r>
              <w:rPr>
                <w:color w:val="auto"/>
                <w:sz w:val="24"/>
                <w:szCs w:val="24"/>
                <w:u w:val="none"/>
              </w:rPr>
              <w:t>。</w:t>
            </w:r>
          </w:p>
          <w:p>
            <w:pPr>
              <w:ind w:left="1" w:firstLine="480"/>
              <w:jc w:val="center"/>
              <w:rPr>
                <w:b/>
                <w:color w:val="auto"/>
                <w:szCs w:val="21"/>
                <w:u w:val="none"/>
              </w:rPr>
            </w:pPr>
            <w:r>
              <w:rPr>
                <w:rFonts w:hint="eastAsia"/>
                <w:b/>
                <w:color w:val="auto"/>
                <w:szCs w:val="21"/>
                <w:u w:val="none"/>
              </w:rPr>
              <w:t>表4-</w:t>
            </w:r>
            <w:r>
              <w:rPr>
                <w:rFonts w:hint="eastAsia"/>
                <w:b/>
                <w:color w:val="auto"/>
                <w:szCs w:val="21"/>
                <w:u w:val="none"/>
                <w:lang w:val="en-US" w:eastAsia="zh-CN"/>
              </w:rPr>
              <w:t>6</w:t>
            </w:r>
            <w:r>
              <w:rPr>
                <w:rFonts w:hint="eastAsia"/>
                <w:b/>
                <w:color w:val="auto"/>
                <w:szCs w:val="21"/>
                <w:u w:val="none"/>
              </w:rPr>
              <w:t xml:space="preserve">  </w:t>
            </w:r>
            <w:r>
              <w:rPr>
                <w:rFonts w:hint="eastAsia"/>
                <w:b/>
                <w:color w:val="auto"/>
                <w:szCs w:val="21"/>
                <w:u w:val="none"/>
                <w:lang w:eastAsia="zh-CN"/>
              </w:rPr>
              <w:t>水型污染物排放标准</w:t>
            </w:r>
            <w:r>
              <w:rPr>
                <w:rFonts w:hint="eastAsia"/>
                <w:b/>
                <w:color w:val="auto"/>
                <w:szCs w:val="21"/>
                <w:u w:val="none"/>
              </w:rPr>
              <w:t xml:space="preserve">      单位：mg/L（pH无量纲）</w:t>
            </w:r>
          </w:p>
          <w:tbl>
            <w:tblPr>
              <w:tblStyle w:val="27"/>
              <w:tblW w:w="8057"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857"/>
              <w:gridCol w:w="1048"/>
              <w:gridCol w:w="1070"/>
              <w:gridCol w:w="1011"/>
              <w:gridCol w:w="1183"/>
              <w:gridCol w:w="850"/>
              <w:gridCol w:w="1126"/>
              <w:gridCol w:w="91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451" w:hRule="atLeast"/>
                <w:jc w:val="center"/>
              </w:trPr>
              <w:tc>
                <w:tcPr>
                  <w:tcW w:w="857" w:type="dxa"/>
                  <w:tcBorders>
                    <w:tl2br w:val="nil"/>
                    <w:tr2bl w:val="nil"/>
                  </w:tcBorders>
                  <w:vAlign w:val="center"/>
                </w:tcPr>
                <w:p>
                  <w:pPr>
                    <w:pStyle w:val="5"/>
                    <w:keepNext w:val="0"/>
                    <w:keepLines w:val="0"/>
                    <w:pageBreakBefore w:val="0"/>
                    <w:widowControl w:val="0"/>
                    <w:kinsoku/>
                    <w:wordWrap/>
                    <w:overflowPunct/>
                    <w:topLinePunct w:val="0"/>
                    <w:autoSpaceDE w:val="0"/>
                    <w:autoSpaceDN w:val="0"/>
                    <w:bidi w:val="0"/>
                    <w:adjustRightInd w:val="0"/>
                    <w:snapToGrid w:val="0"/>
                    <w:textAlignment w:val="baseline"/>
                    <w:rPr>
                      <w:color w:val="auto"/>
                      <w:szCs w:val="21"/>
                      <w:u w:val="none"/>
                    </w:rPr>
                  </w:pPr>
                  <w:r>
                    <w:rPr>
                      <w:color w:val="auto"/>
                      <w:szCs w:val="21"/>
                      <w:u w:val="none"/>
                    </w:rPr>
                    <w:t>项目</w:t>
                  </w:r>
                </w:p>
              </w:tc>
              <w:tc>
                <w:tcPr>
                  <w:tcW w:w="1048" w:type="dxa"/>
                  <w:tcBorders>
                    <w:tl2br w:val="nil"/>
                    <w:tr2bl w:val="nil"/>
                  </w:tcBorders>
                  <w:vAlign w:val="center"/>
                </w:tcPr>
                <w:p>
                  <w:pPr>
                    <w:pStyle w:val="5"/>
                    <w:keepNext w:val="0"/>
                    <w:keepLines w:val="0"/>
                    <w:pageBreakBefore w:val="0"/>
                    <w:widowControl w:val="0"/>
                    <w:kinsoku/>
                    <w:wordWrap/>
                    <w:overflowPunct/>
                    <w:topLinePunct w:val="0"/>
                    <w:autoSpaceDE w:val="0"/>
                    <w:autoSpaceDN w:val="0"/>
                    <w:bidi w:val="0"/>
                    <w:adjustRightInd w:val="0"/>
                    <w:snapToGrid w:val="0"/>
                    <w:textAlignment w:val="baseline"/>
                    <w:rPr>
                      <w:color w:val="auto"/>
                      <w:szCs w:val="21"/>
                      <w:u w:val="none"/>
                    </w:rPr>
                  </w:pPr>
                  <w:r>
                    <w:rPr>
                      <w:color w:val="auto"/>
                      <w:szCs w:val="21"/>
                      <w:u w:val="none"/>
                    </w:rPr>
                    <w:t>pH</w:t>
                  </w:r>
                </w:p>
              </w:tc>
              <w:tc>
                <w:tcPr>
                  <w:tcW w:w="1070" w:type="dxa"/>
                  <w:tcBorders>
                    <w:tl2br w:val="nil"/>
                    <w:tr2bl w:val="nil"/>
                  </w:tcBorders>
                  <w:vAlign w:val="center"/>
                </w:tcPr>
                <w:p>
                  <w:pPr>
                    <w:pStyle w:val="5"/>
                    <w:keepNext w:val="0"/>
                    <w:keepLines w:val="0"/>
                    <w:pageBreakBefore w:val="0"/>
                    <w:widowControl w:val="0"/>
                    <w:kinsoku/>
                    <w:wordWrap/>
                    <w:overflowPunct/>
                    <w:topLinePunct w:val="0"/>
                    <w:autoSpaceDE w:val="0"/>
                    <w:autoSpaceDN w:val="0"/>
                    <w:bidi w:val="0"/>
                    <w:adjustRightInd w:val="0"/>
                    <w:snapToGrid w:val="0"/>
                    <w:textAlignment w:val="baseline"/>
                    <w:rPr>
                      <w:color w:val="auto"/>
                      <w:szCs w:val="21"/>
                      <w:u w:val="none"/>
                    </w:rPr>
                  </w:pPr>
                  <w:r>
                    <w:rPr>
                      <w:color w:val="auto"/>
                      <w:szCs w:val="21"/>
                      <w:u w:val="none"/>
                    </w:rPr>
                    <w:t>COD</w:t>
                  </w:r>
                </w:p>
              </w:tc>
              <w:tc>
                <w:tcPr>
                  <w:tcW w:w="1011" w:type="dxa"/>
                  <w:tcBorders>
                    <w:tl2br w:val="nil"/>
                    <w:tr2bl w:val="nil"/>
                  </w:tcBorders>
                  <w:vAlign w:val="center"/>
                </w:tcPr>
                <w:p>
                  <w:pPr>
                    <w:pStyle w:val="5"/>
                    <w:keepNext w:val="0"/>
                    <w:keepLines w:val="0"/>
                    <w:pageBreakBefore w:val="0"/>
                    <w:widowControl w:val="0"/>
                    <w:kinsoku/>
                    <w:wordWrap/>
                    <w:overflowPunct/>
                    <w:topLinePunct w:val="0"/>
                    <w:autoSpaceDE w:val="0"/>
                    <w:autoSpaceDN w:val="0"/>
                    <w:bidi w:val="0"/>
                    <w:adjustRightInd w:val="0"/>
                    <w:snapToGrid w:val="0"/>
                    <w:textAlignment w:val="baseline"/>
                    <w:rPr>
                      <w:color w:val="auto"/>
                      <w:szCs w:val="21"/>
                      <w:u w:val="none"/>
                    </w:rPr>
                  </w:pPr>
                  <w:r>
                    <w:rPr>
                      <w:color w:val="auto"/>
                      <w:szCs w:val="21"/>
                      <w:u w:val="none"/>
                    </w:rPr>
                    <w:t>BOD</w:t>
                  </w:r>
                  <w:r>
                    <w:rPr>
                      <w:color w:val="auto"/>
                      <w:szCs w:val="21"/>
                      <w:u w:val="none"/>
                      <w:vertAlign w:val="subscript"/>
                    </w:rPr>
                    <w:t>5</w:t>
                  </w:r>
                </w:p>
              </w:tc>
              <w:tc>
                <w:tcPr>
                  <w:tcW w:w="1183" w:type="dxa"/>
                  <w:tcBorders>
                    <w:tl2br w:val="nil"/>
                    <w:tr2bl w:val="nil"/>
                  </w:tcBorders>
                  <w:vAlign w:val="center"/>
                </w:tcPr>
                <w:p>
                  <w:pPr>
                    <w:pStyle w:val="5"/>
                    <w:keepNext w:val="0"/>
                    <w:keepLines w:val="0"/>
                    <w:pageBreakBefore w:val="0"/>
                    <w:widowControl w:val="0"/>
                    <w:kinsoku/>
                    <w:wordWrap/>
                    <w:overflowPunct/>
                    <w:topLinePunct w:val="0"/>
                    <w:autoSpaceDE w:val="0"/>
                    <w:autoSpaceDN w:val="0"/>
                    <w:bidi w:val="0"/>
                    <w:adjustRightInd w:val="0"/>
                    <w:snapToGrid w:val="0"/>
                    <w:textAlignment w:val="baseline"/>
                    <w:rPr>
                      <w:color w:val="auto"/>
                      <w:szCs w:val="21"/>
                      <w:u w:val="none"/>
                    </w:rPr>
                  </w:pPr>
                  <w:r>
                    <w:rPr>
                      <w:color w:val="auto"/>
                      <w:szCs w:val="21"/>
                      <w:u w:val="none"/>
                    </w:rPr>
                    <w:t>NH</w:t>
                  </w:r>
                  <w:r>
                    <w:rPr>
                      <w:color w:val="auto"/>
                      <w:szCs w:val="21"/>
                      <w:u w:val="none"/>
                      <w:vertAlign w:val="subscript"/>
                    </w:rPr>
                    <w:t>3</w:t>
                  </w:r>
                  <w:r>
                    <w:rPr>
                      <w:color w:val="auto"/>
                      <w:szCs w:val="21"/>
                      <w:u w:val="none"/>
                    </w:rPr>
                    <w:t>-N</w:t>
                  </w:r>
                </w:p>
              </w:tc>
              <w:tc>
                <w:tcPr>
                  <w:tcW w:w="850" w:type="dxa"/>
                  <w:tcBorders>
                    <w:tl2br w:val="nil"/>
                    <w:tr2bl w:val="nil"/>
                  </w:tcBorders>
                  <w:vAlign w:val="center"/>
                </w:tcPr>
                <w:p>
                  <w:pPr>
                    <w:pStyle w:val="5"/>
                    <w:keepNext w:val="0"/>
                    <w:keepLines w:val="0"/>
                    <w:pageBreakBefore w:val="0"/>
                    <w:widowControl w:val="0"/>
                    <w:kinsoku/>
                    <w:wordWrap/>
                    <w:overflowPunct/>
                    <w:topLinePunct w:val="0"/>
                    <w:autoSpaceDE w:val="0"/>
                    <w:autoSpaceDN w:val="0"/>
                    <w:bidi w:val="0"/>
                    <w:adjustRightInd w:val="0"/>
                    <w:snapToGrid w:val="0"/>
                    <w:textAlignment w:val="baseline"/>
                    <w:rPr>
                      <w:color w:val="auto"/>
                      <w:szCs w:val="21"/>
                      <w:u w:val="none"/>
                    </w:rPr>
                  </w:pPr>
                  <w:r>
                    <w:rPr>
                      <w:color w:val="auto"/>
                      <w:szCs w:val="21"/>
                      <w:u w:val="none"/>
                    </w:rPr>
                    <w:t>SS</w:t>
                  </w:r>
                </w:p>
              </w:tc>
              <w:tc>
                <w:tcPr>
                  <w:tcW w:w="1126" w:type="dxa"/>
                  <w:tcBorders>
                    <w:tl2br w:val="nil"/>
                    <w:tr2bl w:val="nil"/>
                  </w:tcBorders>
                  <w:vAlign w:val="center"/>
                </w:tcPr>
                <w:p>
                  <w:pPr>
                    <w:pStyle w:val="5"/>
                    <w:keepNext w:val="0"/>
                    <w:keepLines w:val="0"/>
                    <w:pageBreakBefore w:val="0"/>
                    <w:widowControl w:val="0"/>
                    <w:kinsoku/>
                    <w:wordWrap/>
                    <w:overflowPunct/>
                    <w:topLinePunct w:val="0"/>
                    <w:autoSpaceDE w:val="0"/>
                    <w:autoSpaceDN w:val="0"/>
                    <w:bidi w:val="0"/>
                    <w:adjustRightInd w:val="0"/>
                    <w:snapToGrid w:val="0"/>
                    <w:textAlignment w:val="baseline"/>
                    <w:rPr>
                      <w:color w:val="auto"/>
                      <w:szCs w:val="21"/>
                      <w:u w:val="none"/>
                    </w:rPr>
                  </w:pPr>
                  <w:r>
                    <w:rPr>
                      <w:rFonts w:hint="eastAsia"/>
                      <w:color w:val="auto"/>
                      <w:szCs w:val="21"/>
                      <w:u w:val="none"/>
                    </w:rPr>
                    <w:t>总磷</w:t>
                  </w:r>
                </w:p>
              </w:tc>
              <w:tc>
                <w:tcPr>
                  <w:tcW w:w="912" w:type="dxa"/>
                  <w:tcBorders>
                    <w:tl2br w:val="nil"/>
                    <w:tr2bl w:val="nil"/>
                  </w:tcBorders>
                  <w:vAlign w:val="center"/>
                </w:tcPr>
                <w:p>
                  <w:pPr>
                    <w:pStyle w:val="5"/>
                    <w:keepNext w:val="0"/>
                    <w:keepLines w:val="0"/>
                    <w:pageBreakBefore w:val="0"/>
                    <w:widowControl w:val="0"/>
                    <w:kinsoku/>
                    <w:wordWrap/>
                    <w:overflowPunct/>
                    <w:topLinePunct w:val="0"/>
                    <w:autoSpaceDE w:val="0"/>
                    <w:autoSpaceDN w:val="0"/>
                    <w:bidi w:val="0"/>
                    <w:adjustRightInd w:val="0"/>
                    <w:snapToGrid w:val="0"/>
                    <w:textAlignment w:val="baseline"/>
                    <w:rPr>
                      <w:color w:val="auto"/>
                      <w:szCs w:val="21"/>
                      <w:u w:val="none"/>
                    </w:rPr>
                  </w:pPr>
                  <w:r>
                    <w:rPr>
                      <w:rFonts w:hint="eastAsia"/>
                      <w:color w:val="auto"/>
                      <w:szCs w:val="21"/>
                      <w:u w:val="none"/>
                    </w:rPr>
                    <w:t>总氮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452" w:hRule="atLeast"/>
                <w:jc w:val="center"/>
              </w:trPr>
              <w:tc>
                <w:tcPr>
                  <w:tcW w:w="857" w:type="dxa"/>
                  <w:tcBorders>
                    <w:tl2br w:val="nil"/>
                    <w:tr2bl w:val="nil"/>
                  </w:tcBorders>
                  <w:vAlign w:val="center"/>
                </w:tcPr>
                <w:p>
                  <w:pPr>
                    <w:pStyle w:val="5"/>
                    <w:keepNext w:val="0"/>
                    <w:keepLines w:val="0"/>
                    <w:pageBreakBefore w:val="0"/>
                    <w:widowControl w:val="0"/>
                    <w:kinsoku/>
                    <w:wordWrap/>
                    <w:overflowPunct/>
                    <w:topLinePunct w:val="0"/>
                    <w:autoSpaceDE w:val="0"/>
                    <w:autoSpaceDN w:val="0"/>
                    <w:bidi w:val="0"/>
                    <w:adjustRightInd w:val="0"/>
                    <w:snapToGrid w:val="0"/>
                    <w:textAlignment w:val="baseline"/>
                    <w:rPr>
                      <w:color w:val="auto"/>
                      <w:szCs w:val="21"/>
                      <w:u w:val="none"/>
                    </w:rPr>
                  </w:pPr>
                  <w:r>
                    <w:rPr>
                      <w:color w:val="auto"/>
                      <w:szCs w:val="21"/>
                      <w:u w:val="none"/>
                    </w:rPr>
                    <w:t>标准值</w:t>
                  </w:r>
                </w:p>
              </w:tc>
              <w:tc>
                <w:tcPr>
                  <w:tcW w:w="1048" w:type="dxa"/>
                  <w:tcBorders>
                    <w:tl2br w:val="nil"/>
                    <w:tr2bl w:val="nil"/>
                  </w:tcBorders>
                  <w:vAlign w:val="center"/>
                </w:tcPr>
                <w:p>
                  <w:pPr>
                    <w:pStyle w:val="5"/>
                    <w:keepNext w:val="0"/>
                    <w:keepLines w:val="0"/>
                    <w:pageBreakBefore w:val="0"/>
                    <w:widowControl w:val="0"/>
                    <w:kinsoku/>
                    <w:wordWrap/>
                    <w:overflowPunct/>
                    <w:topLinePunct w:val="0"/>
                    <w:autoSpaceDE w:val="0"/>
                    <w:autoSpaceDN w:val="0"/>
                    <w:bidi w:val="0"/>
                    <w:adjustRightInd w:val="0"/>
                    <w:snapToGrid w:val="0"/>
                    <w:textAlignment w:val="baseline"/>
                    <w:rPr>
                      <w:color w:val="auto"/>
                      <w:szCs w:val="21"/>
                      <w:u w:val="none"/>
                    </w:rPr>
                  </w:pPr>
                  <w:r>
                    <w:rPr>
                      <w:color w:val="auto"/>
                      <w:szCs w:val="21"/>
                      <w:u w:val="none"/>
                    </w:rPr>
                    <w:t>6～9</w:t>
                  </w:r>
                </w:p>
              </w:tc>
              <w:tc>
                <w:tcPr>
                  <w:tcW w:w="1070" w:type="dxa"/>
                  <w:tcBorders>
                    <w:tl2br w:val="nil"/>
                    <w:tr2bl w:val="nil"/>
                  </w:tcBorders>
                  <w:vAlign w:val="center"/>
                </w:tcPr>
                <w:p>
                  <w:pPr>
                    <w:pStyle w:val="5"/>
                    <w:keepNext w:val="0"/>
                    <w:keepLines w:val="0"/>
                    <w:pageBreakBefore w:val="0"/>
                    <w:widowControl w:val="0"/>
                    <w:kinsoku/>
                    <w:wordWrap/>
                    <w:overflowPunct/>
                    <w:topLinePunct w:val="0"/>
                    <w:autoSpaceDE w:val="0"/>
                    <w:autoSpaceDN w:val="0"/>
                    <w:bidi w:val="0"/>
                    <w:adjustRightInd w:val="0"/>
                    <w:snapToGrid w:val="0"/>
                    <w:textAlignment w:val="baseline"/>
                    <w:rPr>
                      <w:rFonts w:hint="default" w:eastAsia="宋体"/>
                      <w:color w:val="auto"/>
                      <w:szCs w:val="21"/>
                      <w:u w:val="none"/>
                      <w:lang w:val="en-US" w:eastAsia="zh-CN"/>
                    </w:rPr>
                  </w:pPr>
                  <w:r>
                    <w:rPr>
                      <w:color w:val="auto"/>
                      <w:szCs w:val="21"/>
                      <w:u w:val="none"/>
                    </w:rPr>
                    <w:t>≤</w:t>
                  </w:r>
                  <w:r>
                    <w:rPr>
                      <w:rFonts w:hint="eastAsia"/>
                      <w:color w:val="auto"/>
                      <w:szCs w:val="21"/>
                      <w:u w:val="none"/>
                      <w:lang w:val="en-US" w:eastAsia="zh-CN"/>
                    </w:rPr>
                    <w:t>60</w:t>
                  </w:r>
                </w:p>
              </w:tc>
              <w:tc>
                <w:tcPr>
                  <w:tcW w:w="1011" w:type="dxa"/>
                  <w:tcBorders>
                    <w:tl2br w:val="nil"/>
                    <w:tr2bl w:val="nil"/>
                  </w:tcBorders>
                  <w:vAlign w:val="center"/>
                </w:tcPr>
                <w:p>
                  <w:pPr>
                    <w:pStyle w:val="5"/>
                    <w:keepNext w:val="0"/>
                    <w:keepLines w:val="0"/>
                    <w:pageBreakBefore w:val="0"/>
                    <w:widowControl w:val="0"/>
                    <w:kinsoku/>
                    <w:wordWrap/>
                    <w:overflowPunct/>
                    <w:topLinePunct w:val="0"/>
                    <w:autoSpaceDE w:val="0"/>
                    <w:autoSpaceDN w:val="0"/>
                    <w:bidi w:val="0"/>
                    <w:adjustRightInd w:val="0"/>
                    <w:snapToGrid w:val="0"/>
                    <w:textAlignment w:val="baseline"/>
                    <w:rPr>
                      <w:rFonts w:hint="default" w:eastAsia="宋体"/>
                      <w:color w:val="auto"/>
                      <w:szCs w:val="21"/>
                      <w:u w:val="none"/>
                      <w:lang w:val="en-US" w:eastAsia="zh-CN"/>
                    </w:rPr>
                  </w:pPr>
                  <w:r>
                    <w:rPr>
                      <w:color w:val="auto"/>
                      <w:szCs w:val="21"/>
                      <w:u w:val="none"/>
                    </w:rPr>
                    <w:t>≤</w:t>
                  </w:r>
                  <w:r>
                    <w:rPr>
                      <w:rFonts w:hint="eastAsia"/>
                      <w:color w:val="auto"/>
                      <w:szCs w:val="21"/>
                      <w:u w:val="none"/>
                      <w:lang w:val="en-US" w:eastAsia="zh-CN"/>
                    </w:rPr>
                    <w:t>20</w:t>
                  </w:r>
                </w:p>
              </w:tc>
              <w:tc>
                <w:tcPr>
                  <w:tcW w:w="1183" w:type="dxa"/>
                  <w:tcBorders>
                    <w:tl2br w:val="nil"/>
                    <w:tr2bl w:val="nil"/>
                  </w:tcBorders>
                  <w:vAlign w:val="center"/>
                </w:tcPr>
                <w:p>
                  <w:pPr>
                    <w:pStyle w:val="5"/>
                    <w:keepNext w:val="0"/>
                    <w:keepLines w:val="0"/>
                    <w:pageBreakBefore w:val="0"/>
                    <w:widowControl w:val="0"/>
                    <w:kinsoku/>
                    <w:wordWrap/>
                    <w:overflowPunct/>
                    <w:topLinePunct w:val="0"/>
                    <w:autoSpaceDE w:val="0"/>
                    <w:autoSpaceDN w:val="0"/>
                    <w:bidi w:val="0"/>
                    <w:adjustRightInd w:val="0"/>
                    <w:snapToGrid w:val="0"/>
                    <w:textAlignment w:val="baseline"/>
                    <w:rPr>
                      <w:rFonts w:hint="eastAsia" w:eastAsia="宋体"/>
                      <w:color w:val="auto"/>
                      <w:szCs w:val="21"/>
                      <w:u w:val="none"/>
                      <w:lang w:eastAsia="zh-CN"/>
                    </w:rPr>
                  </w:pPr>
                  <w:r>
                    <w:rPr>
                      <w:color w:val="auto"/>
                      <w:szCs w:val="21"/>
                      <w:u w:val="none"/>
                    </w:rPr>
                    <w:t>≤</w:t>
                  </w:r>
                  <w:r>
                    <w:rPr>
                      <w:rFonts w:hint="eastAsia"/>
                      <w:color w:val="auto"/>
                      <w:szCs w:val="21"/>
                      <w:u w:val="none"/>
                      <w:lang w:val="en-US" w:eastAsia="zh-CN"/>
                    </w:rPr>
                    <w:t>8</w:t>
                  </w:r>
                  <w:r>
                    <w:rPr>
                      <w:rStyle w:val="34"/>
                      <w:rFonts w:hint="eastAsia"/>
                      <w:color w:val="auto"/>
                      <w:kern w:val="2"/>
                      <w:u w:val="none"/>
                      <w:lang w:eastAsia="zh-CN"/>
                    </w:rPr>
                    <w:t>（</w:t>
                  </w:r>
                  <w:r>
                    <w:rPr>
                      <w:rStyle w:val="34"/>
                      <w:rFonts w:hint="eastAsia"/>
                      <w:color w:val="auto"/>
                      <w:kern w:val="2"/>
                      <w:u w:val="none"/>
                      <w:lang w:val="en-US" w:eastAsia="zh-CN"/>
                    </w:rPr>
                    <w:t>15</w:t>
                  </w:r>
                  <w:r>
                    <w:rPr>
                      <w:rStyle w:val="34"/>
                      <w:rFonts w:hint="eastAsia"/>
                      <w:color w:val="auto"/>
                      <w:kern w:val="2"/>
                      <w:u w:val="none"/>
                      <w:lang w:eastAsia="zh-CN"/>
                    </w:rPr>
                    <w:t>）</w:t>
                  </w:r>
                </w:p>
              </w:tc>
              <w:tc>
                <w:tcPr>
                  <w:tcW w:w="850" w:type="dxa"/>
                  <w:tcBorders>
                    <w:tl2br w:val="nil"/>
                    <w:tr2bl w:val="nil"/>
                  </w:tcBorders>
                  <w:vAlign w:val="center"/>
                </w:tcPr>
                <w:p>
                  <w:pPr>
                    <w:pStyle w:val="5"/>
                    <w:keepNext w:val="0"/>
                    <w:keepLines w:val="0"/>
                    <w:pageBreakBefore w:val="0"/>
                    <w:widowControl w:val="0"/>
                    <w:kinsoku/>
                    <w:wordWrap/>
                    <w:overflowPunct/>
                    <w:topLinePunct w:val="0"/>
                    <w:autoSpaceDE w:val="0"/>
                    <w:autoSpaceDN w:val="0"/>
                    <w:bidi w:val="0"/>
                    <w:adjustRightInd w:val="0"/>
                    <w:snapToGrid w:val="0"/>
                    <w:textAlignment w:val="baseline"/>
                    <w:rPr>
                      <w:rFonts w:hint="default" w:eastAsia="宋体"/>
                      <w:color w:val="auto"/>
                      <w:szCs w:val="21"/>
                      <w:u w:val="none"/>
                      <w:lang w:val="en-US" w:eastAsia="zh-CN"/>
                    </w:rPr>
                  </w:pPr>
                  <w:r>
                    <w:rPr>
                      <w:color w:val="auto"/>
                      <w:szCs w:val="21"/>
                      <w:u w:val="none"/>
                    </w:rPr>
                    <w:t>≤</w:t>
                  </w:r>
                  <w:r>
                    <w:rPr>
                      <w:rFonts w:hint="eastAsia"/>
                      <w:color w:val="auto"/>
                      <w:szCs w:val="21"/>
                      <w:u w:val="none"/>
                      <w:lang w:val="en-US" w:eastAsia="zh-CN"/>
                    </w:rPr>
                    <w:t>20</w:t>
                  </w:r>
                </w:p>
              </w:tc>
              <w:tc>
                <w:tcPr>
                  <w:tcW w:w="1126" w:type="dxa"/>
                  <w:tcBorders>
                    <w:tl2br w:val="nil"/>
                    <w:tr2bl w:val="nil"/>
                  </w:tcBorders>
                  <w:vAlign w:val="center"/>
                </w:tcPr>
                <w:p>
                  <w:pPr>
                    <w:pStyle w:val="5"/>
                    <w:keepNext w:val="0"/>
                    <w:keepLines w:val="0"/>
                    <w:pageBreakBefore w:val="0"/>
                    <w:widowControl w:val="0"/>
                    <w:kinsoku/>
                    <w:wordWrap/>
                    <w:overflowPunct/>
                    <w:topLinePunct w:val="0"/>
                    <w:autoSpaceDE w:val="0"/>
                    <w:autoSpaceDN w:val="0"/>
                    <w:bidi w:val="0"/>
                    <w:adjustRightInd w:val="0"/>
                    <w:snapToGrid w:val="0"/>
                    <w:textAlignment w:val="baseline"/>
                    <w:rPr>
                      <w:rFonts w:hint="eastAsia" w:eastAsia="宋体"/>
                      <w:color w:val="auto"/>
                      <w:szCs w:val="21"/>
                      <w:u w:val="none"/>
                      <w:lang w:eastAsia="zh-CN"/>
                    </w:rPr>
                  </w:pPr>
                  <w:r>
                    <w:rPr>
                      <w:color w:val="auto"/>
                      <w:szCs w:val="21"/>
                      <w:u w:val="none"/>
                    </w:rPr>
                    <w:t>≤</w:t>
                  </w:r>
                  <w:r>
                    <w:rPr>
                      <w:rFonts w:hint="eastAsia"/>
                      <w:color w:val="auto"/>
                      <w:szCs w:val="21"/>
                      <w:u w:val="none"/>
                      <w:lang w:val="en-US" w:eastAsia="zh-CN"/>
                    </w:rPr>
                    <w:t>1</w:t>
                  </w:r>
                </w:p>
              </w:tc>
              <w:tc>
                <w:tcPr>
                  <w:tcW w:w="912" w:type="dxa"/>
                  <w:tcBorders>
                    <w:tl2br w:val="nil"/>
                    <w:tr2bl w:val="nil"/>
                  </w:tcBorders>
                  <w:vAlign w:val="center"/>
                </w:tcPr>
                <w:p>
                  <w:pPr>
                    <w:pStyle w:val="5"/>
                    <w:keepNext w:val="0"/>
                    <w:keepLines w:val="0"/>
                    <w:pageBreakBefore w:val="0"/>
                    <w:widowControl w:val="0"/>
                    <w:kinsoku/>
                    <w:wordWrap/>
                    <w:overflowPunct/>
                    <w:topLinePunct w:val="0"/>
                    <w:autoSpaceDE w:val="0"/>
                    <w:autoSpaceDN w:val="0"/>
                    <w:bidi w:val="0"/>
                    <w:adjustRightInd w:val="0"/>
                    <w:snapToGrid w:val="0"/>
                    <w:textAlignment w:val="baseline"/>
                    <w:rPr>
                      <w:rFonts w:hint="default" w:eastAsia="宋体"/>
                      <w:color w:val="auto"/>
                      <w:szCs w:val="21"/>
                      <w:u w:val="none"/>
                      <w:lang w:val="en-US" w:eastAsia="zh-CN"/>
                    </w:rPr>
                  </w:pPr>
                  <w:r>
                    <w:rPr>
                      <w:color w:val="auto"/>
                      <w:szCs w:val="21"/>
                      <w:u w:val="none"/>
                    </w:rPr>
                    <w:t>≤</w:t>
                  </w:r>
                  <w:r>
                    <w:rPr>
                      <w:rFonts w:hint="eastAsia"/>
                      <w:color w:val="auto"/>
                      <w:szCs w:val="21"/>
                      <w:u w:val="none"/>
                      <w:lang w:val="en-US" w:eastAsia="zh-CN"/>
                    </w:rPr>
                    <w:t>20</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434" w:hRule="atLeast"/>
                <w:jc w:val="center"/>
              </w:trPr>
              <w:tc>
                <w:tcPr>
                  <w:tcW w:w="8057" w:type="dxa"/>
                  <w:gridSpan w:val="8"/>
                  <w:tcBorders>
                    <w:tl2br w:val="nil"/>
                    <w:tr2bl w:val="nil"/>
                  </w:tcBorders>
                  <w:vAlign w:val="center"/>
                </w:tcPr>
                <w:p>
                  <w:pPr>
                    <w:pStyle w:val="5"/>
                    <w:keepNext w:val="0"/>
                    <w:keepLines w:val="0"/>
                    <w:pageBreakBefore w:val="0"/>
                    <w:widowControl w:val="0"/>
                    <w:kinsoku/>
                    <w:wordWrap/>
                    <w:overflowPunct/>
                    <w:topLinePunct w:val="0"/>
                    <w:autoSpaceDE w:val="0"/>
                    <w:autoSpaceDN w:val="0"/>
                    <w:bidi w:val="0"/>
                    <w:adjustRightInd w:val="0"/>
                    <w:snapToGrid w:val="0"/>
                    <w:jc w:val="left"/>
                    <w:textAlignment w:val="baseline"/>
                    <w:rPr>
                      <w:rFonts w:hint="default" w:eastAsia="宋体"/>
                      <w:color w:val="auto"/>
                      <w:szCs w:val="21"/>
                      <w:u w:val="none"/>
                      <w:lang w:val="en-US" w:eastAsia="zh-CN"/>
                    </w:rPr>
                  </w:pPr>
                  <w:r>
                    <w:rPr>
                      <w:rFonts w:hint="eastAsia"/>
                      <w:color w:val="auto"/>
                      <w:szCs w:val="21"/>
                      <w:u w:val="none"/>
                      <w:lang w:eastAsia="zh-CN"/>
                    </w:rPr>
                    <w:t>括号外数值为水温＞</w:t>
                  </w:r>
                  <w:r>
                    <w:rPr>
                      <w:rFonts w:hint="eastAsia"/>
                      <w:color w:val="auto"/>
                      <w:szCs w:val="21"/>
                      <w:u w:val="none"/>
                      <w:lang w:val="en-US" w:eastAsia="zh-CN"/>
                    </w:rPr>
                    <w:t>12℃时的控制指标，</w:t>
                  </w:r>
                  <w:r>
                    <w:rPr>
                      <w:rFonts w:hint="eastAsia"/>
                      <w:color w:val="auto"/>
                      <w:szCs w:val="21"/>
                      <w:u w:val="none"/>
                      <w:lang w:eastAsia="zh-CN"/>
                    </w:rPr>
                    <w:t>括号内数值为水温≤</w:t>
                  </w:r>
                  <w:r>
                    <w:rPr>
                      <w:rFonts w:hint="eastAsia"/>
                      <w:color w:val="auto"/>
                      <w:szCs w:val="21"/>
                      <w:u w:val="none"/>
                      <w:lang w:val="en-US" w:eastAsia="zh-CN"/>
                    </w:rPr>
                    <w:t>12℃时的控制指标。</w:t>
                  </w:r>
                </w:p>
              </w:tc>
            </w:tr>
          </w:tbl>
          <w:p>
            <w:pPr>
              <w:numPr>
                <w:ilvl w:val="0"/>
                <w:numId w:val="4"/>
              </w:numPr>
              <w:adjustRightInd w:val="0"/>
              <w:snapToGrid w:val="0"/>
              <w:spacing w:line="360" w:lineRule="auto"/>
              <w:ind w:firstLine="462" w:firstLineChars="200"/>
              <w:rPr>
                <w:color w:val="auto"/>
                <w:sz w:val="24"/>
                <w:szCs w:val="24"/>
                <w:u w:val="none"/>
              </w:rPr>
            </w:pPr>
            <w:r>
              <w:rPr>
                <w:color w:val="auto"/>
                <w:sz w:val="24"/>
                <w:szCs w:val="24"/>
                <w:u w:val="none"/>
              </w:rPr>
              <w:t>废气：施工过程无组织扬尘执行《大气污染物综合排放标准》（GB16297-1996）表2中无组织排放监控浓度限值</w:t>
            </w:r>
            <w:r>
              <w:rPr>
                <w:rFonts w:hint="eastAsia"/>
                <w:color w:val="auto"/>
                <w:sz w:val="24"/>
                <w:szCs w:val="24"/>
                <w:u w:val="none"/>
              </w:rPr>
              <w:t>；</w:t>
            </w:r>
            <w:r>
              <w:rPr>
                <w:color w:val="auto"/>
                <w:sz w:val="24"/>
                <w:szCs w:val="24"/>
                <w:u w:val="none"/>
              </w:rPr>
              <w:t>营运期无组织恶臭气体排放执行《城镇污水处理厂污染物排放标准》（GB18918-2002）</w:t>
            </w:r>
            <w:r>
              <w:rPr>
                <w:rFonts w:hint="eastAsia"/>
                <w:color w:val="auto"/>
                <w:sz w:val="24"/>
                <w:szCs w:val="24"/>
                <w:u w:val="none"/>
              </w:rPr>
              <w:t>中厂界（防护带边缘）废气排放最高允许浓度二级标准</w:t>
            </w:r>
            <w:r>
              <w:rPr>
                <w:rFonts w:hint="eastAsia"/>
                <w:color w:val="auto"/>
                <w:sz w:val="24"/>
                <w:szCs w:val="24"/>
                <w:u w:val="none"/>
                <w:lang w:eastAsia="zh-CN"/>
              </w:rPr>
              <w:t>。</w:t>
            </w:r>
            <w:r>
              <w:rPr>
                <w:rFonts w:hint="eastAsia"/>
                <w:color w:val="auto"/>
                <w:sz w:val="24"/>
                <w:u w:val="none"/>
                <w:lang w:eastAsia="zh-CN"/>
              </w:rPr>
              <w:t>标准限值</w:t>
            </w:r>
            <w:r>
              <w:rPr>
                <w:rFonts w:hint="eastAsia"/>
                <w:color w:val="auto"/>
                <w:sz w:val="24"/>
                <w:u w:val="none"/>
              </w:rPr>
              <w:t>详见表</w:t>
            </w:r>
            <w:r>
              <w:rPr>
                <w:rFonts w:hint="eastAsia"/>
                <w:color w:val="auto"/>
                <w:sz w:val="24"/>
                <w:u w:val="none"/>
                <w:lang w:val="en-US" w:eastAsia="zh-CN"/>
              </w:rPr>
              <w:t>4-7</w:t>
            </w:r>
            <w:r>
              <w:rPr>
                <w:color w:val="auto"/>
                <w:sz w:val="24"/>
                <w:szCs w:val="24"/>
                <w:u w:val="none"/>
              </w:rPr>
              <w:t>。</w:t>
            </w:r>
          </w:p>
          <w:p>
            <w:pPr>
              <w:spacing w:line="240" w:lineRule="auto"/>
              <w:ind w:firstLine="482"/>
              <w:jc w:val="center"/>
              <w:rPr>
                <w:b/>
                <w:snapToGrid w:val="0"/>
                <w:color w:val="auto"/>
                <w:sz w:val="21"/>
                <w:szCs w:val="21"/>
                <w:u w:val="none"/>
              </w:rPr>
            </w:pPr>
            <w:r>
              <w:rPr>
                <w:rFonts w:hint="eastAsia"/>
                <w:b/>
                <w:snapToGrid w:val="0"/>
                <w:color w:val="auto"/>
                <w:sz w:val="21"/>
                <w:szCs w:val="21"/>
                <w:u w:val="none"/>
              </w:rPr>
              <w:t>表4-</w:t>
            </w:r>
            <w:r>
              <w:rPr>
                <w:rFonts w:hint="eastAsia"/>
                <w:b/>
                <w:snapToGrid w:val="0"/>
                <w:color w:val="auto"/>
                <w:sz w:val="21"/>
                <w:szCs w:val="21"/>
                <w:u w:val="none"/>
                <w:lang w:val="en-US" w:eastAsia="zh-CN"/>
              </w:rPr>
              <w:t>7</w:t>
            </w:r>
            <w:r>
              <w:rPr>
                <w:rFonts w:hint="eastAsia"/>
                <w:b/>
                <w:snapToGrid w:val="0"/>
                <w:color w:val="auto"/>
                <w:sz w:val="21"/>
                <w:szCs w:val="21"/>
                <w:u w:val="none"/>
              </w:rPr>
              <w:t xml:space="preserve">  大气污染物排放标准</w:t>
            </w:r>
          </w:p>
          <w:tbl>
            <w:tblPr>
              <w:tblStyle w:val="27"/>
              <w:tblW w:w="78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793"/>
              <w:gridCol w:w="1400"/>
              <w:gridCol w:w="1166"/>
              <w:gridCol w:w="1409"/>
              <w:gridCol w:w="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27" w:type="dxa"/>
                  <w:vMerge w:val="restart"/>
                  <w:tcBorders>
                    <w:tl2br w:val="nil"/>
                    <w:tr2bl w:val="nil"/>
                  </w:tcBorders>
                  <w:vAlign w:val="center"/>
                </w:tcPr>
                <w:p>
                  <w:pPr>
                    <w:spacing w:line="240" w:lineRule="auto"/>
                    <w:ind w:firstLine="0" w:firstLineChars="0"/>
                    <w:jc w:val="center"/>
                    <w:rPr>
                      <w:b w:val="0"/>
                      <w:bCs/>
                      <w:color w:val="auto"/>
                      <w:sz w:val="21"/>
                      <w:szCs w:val="21"/>
                      <w:u w:val="none"/>
                    </w:rPr>
                  </w:pPr>
                  <w:r>
                    <w:rPr>
                      <w:b w:val="0"/>
                      <w:bCs/>
                      <w:color w:val="auto"/>
                      <w:sz w:val="21"/>
                      <w:szCs w:val="21"/>
                      <w:u w:val="none"/>
                    </w:rPr>
                    <w:t>要素</w:t>
                  </w:r>
                </w:p>
              </w:tc>
              <w:tc>
                <w:tcPr>
                  <w:tcW w:w="2793" w:type="dxa"/>
                  <w:vMerge w:val="restart"/>
                  <w:tcBorders>
                    <w:tl2br w:val="nil"/>
                    <w:tr2bl w:val="nil"/>
                  </w:tcBorders>
                  <w:vAlign w:val="center"/>
                </w:tcPr>
                <w:p>
                  <w:pPr>
                    <w:spacing w:line="240" w:lineRule="auto"/>
                    <w:ind w:firstLine="0" w:firstLineChars="0"/>
                    <w:jc w:val="center"/>
                    <w:rPr>
                      <w:b w:val="0"/>
                      <w:bCs/>
                      <w:color w:val="auto"/>
                      <w:sz w:val="21"/>
                      <w:szCs w:val="21"/>
                      <w:u w:val="none"/>
                    </w:rPr>
                  </w:pPr>
                  <w:r>
                    <w:rPr>
                      <w:b w:val="0"/>
                      <w:bCs/>
                      <w:color w:val="auto"/>
                      <w:sz w:val="21"/>
                      <w:szCs w:val="21"/>
                      <w:u w:val="none"/>
                    </w:rPr>
                    <w:t>标准名称</w:t>
                  </w:r>
                </w:p>
              </w:tc>
              <w:tc>
                <w:tcPr>
                  <w:tcW w:w="1400" w:type="dxa"/>
                  <w:vMerge w:val="restart"/>
                  <w:tcBorders>
                    <w:tl2br w:val="nil"/>
                    <w:tr2bl w:val="nil"/>
                  </w:tcBorders>
                  <w:vAlign w:val="center"/>
                </w:tcPr>
                <w:p>
                  <w:pPr>
                    <w:spacing w:line="240" w:lineRule="auto"/>
                    <w:ind w:firstLine="0" w:firstLineChars="0"/>
                    <w:jc w:val="center"/>
                    <w:rPr>
                      <w:b w:val="0"/>
                      <w:bCs/>
                      <w:color w:val="auto"/>
                      <w:sz w:val="21"/>
                      <w:szCs w:val="21"/>
                      <w:u w:val="none"/>
                    </w:rPr>
                  </w:pPr>
                  <w:r>
                    <w:rPr>
                      <w:b w:val="0"/>
                      <w:bCs/>
                      <w:color w:val="auto"/>
                      <w:sz w:val="21"/>
                      <w:szCs w:val="21"/>
                      <w:u w:val="none"/>
                    </w:rPr>
                    <w:t>适用</w:t>
                  </w:r>
                </w:p>
                <w:p>
                  <w:pPr>
                    <w:spacing w:line="240" w:lineRule="auto"/>
                    <w:ind w:firstLine="0" w:firstLineChars="0"/>
                    <w:jc w:val="center"/>
                    <w:rPr>
                      <w:b w:val="0"/>
                      <w:bCs/>
                      <w:color w:val="auto"/>
                      <w:sz w:val="21"/>
                      <w:szCs w:val="21"/>
                      <w:u w:val="none"/>
                    </w:rPr>
                  </w:pPr>
                  <w:r>
                    <w:rPr>
                      <w:b w:val="0"/>
                      <w:bCs/>
                      <w:color w:val="auto"/>
                      <w:sz w:val="21"/>
                      <w:szCs w:val="21"/>
                      <w:u w:val="none"/>
                    </w:rPr>
                    <w:t>类别</w:t>
                  </w:r>
                </w:p>
              </w:tc>
              <w:tc>
                <w:tcPr>
                  <w:tcW w:w="2575" w:type="dxa"/>
                  <w:gridSpan w:val="2"/>
                  <w:tcBorders>
                    <w:tl2br w:val="nil"/>
                    <w:tr2bl w:val="nil"/>
                  </w:tcBorders>
                  <w:vAlign w:val="center"/>
                </w:tcPr>
                <w:p>
                  <w:pPr>
                    <w:spacing w:line="240" w:lineRule="auto"/>
                    <w:ind w:firstLine="0" w:firstLineChars="0"/>
                    <w:jc w:val="center"/>
                    <w:rPr>
                      <w:b w:val="0"/>
                      <w:bCs/>
                      <w:color w:val="auto"/>
                      <w:sz w:val="21"/>
                      <w:szCs w:val="21"/>
                      <w:u w:val="none"/>
                    </w:rPr>
                  </w:pPr>
                  <w:r>
                    <w:rPr>
                      <w:b w:val="0"/>
                      <w:bCs/>
                      <w:color w:val="auto"/>
                      <w:sz w:val="21"/>
                      <w:szCs w:val="21"/>
                      <w:u w:val="none"/>
                    </w:rPr>
                    <w:t>标准限值</w:t>
                  </w:r>
                </w:p>
              </w:tc>
              <w:tc>
                <w:tcPr>
                  <w:tcW w:w="648" w:type="dxa"/>
                  <w:vMerge w:val="restart"/>
                  <w:tcBorders>
                    <w:tl2br w:val="nil"/>
                    <w:tr2bl w:val="nil"/>
                  </w:tcBorders>
                  <w:vAlign w:val="center"/>
                </w:tcPr>
                <w:p>
                  <w:pPr>
                    <w:spacing w:line="240" w:lineRule="auto"/>
                    <w:ind w:firstLine="0" w:firstLineChars="0"/>
                    <w:jc w:val="center"/>
                    <w:rPr>
                      <w:b w:val="0"/>
                      <w:bCs/>
                      <w:color w:val="auto"/>
                      <w:sz w:val="21"/>
                      <w:szCs w:val="21"/>
                      <w:u w:val="none"/>
                    </w:rPr>
                  </w:pPr>
                  <w:r>
                    <w:rPr>
                      <w:b w:val="0"/>
                      <w:bCs/>
                      <w:color w:val="auto"/>
                      <w:sz w:val="21"/>
                      <w:szCs w:val="21"/>
                      <w:u w:val="none"/>
                    </w:rPr>
                    <w:t>评价对象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427" w:type="dxa"/>
                  <w:vMerge w:val="continue"/>
                  <w:tcBorders>
                    <w:tl2br w:val="nil"/>
                    <w:tr2bl w:val="nil"/>
                  </w:tcBorders>
                  <w:vAlign w:val="center"/>
                </w:tcPr>
                <w:p>
                  <w:pPr>
                    <w:spacing w:line="240" w:lineRule="auto"/>
                    <w:ind w:firstLine="0" w:firstLineChars="0"/>
                    <w:jc w:val="center"/>
                    <w:rPr>
                      <w:b w:val="0"/>
                      <w:bCs/>
                      <w:color w:val="auto"/>
                      <w:sz w:val="21"/>
                      <w:szCs w:val="21"/>
                      <w:u w:val="none"/>
                    </w:rPr>
                  </w:pPr>
                </w:p>
              </w:tc>
              <w:tc>
                <w:tcPr>
                  <w:tcW w:w="2793" w:type="dxa"/>
                  <w:vMerge w:val="continue"/>
                  <w:tcBorders>
                    <w:tl2br w:val="nil"/>
                    <w:tr2bl w:val="nil"/>
                  </w:tcBorders>
                  <w:vAlign w:val="center"/>
                </w:tcPr>
                <w:p>
                  <w:pPr>
                    <w:spacing w:line="240" w:lineRule="auto"/>
                    <w:ind w:firstLine="0" w:firstLineChars="0"/>
                    <w:jc w:val="center"/>
                    <w:rPr>
                      <w:b w:val="0"/>
                      <w:bCs/>
                      <w:color w:val="auto"/>
                      <w:sz w:val="21"/>
                      <w:szCs w:val="21"/>
                      <w:u w:val="none"/>
                    </w:rPr>
                  </w:pPr>
                </w:p>
              </w:tc>
              <w:tc>
                <w:tcPr>
                  <w:tcW w:w="1400" w:type="dxa"/>
                  <w:vMerge w:val="continue"/>
                  <w:tcBorders>
                    <w:tl2br w:val="nil"/>
                    <w:tr2bl w:val="nil"/>
                  </w:tcBorders>
                  <w:vAlign w:val="center"/>
                </w:tcPr>
                <w:p>
                  <w:pPr>
                    <w:spacing w:line="240" w:lineRule="auto"/>
                    <w:ind w:firstLine="0" w:firstLineChars="0"/>
                    <w:jc w:val="center"/>
                    <w:rPr>
                      <w:b w:val="0"/>
                      <w:bCs/>
                      <w:color w:val="auto"/>
                      <w:sz w:val="21"/>
                      <w:szCs w:val="21"/>
                      <w:u w:val="none"/>
                    </w:rPr>
                  </w:pPr>
                </w:p>
              </w:tc>
              <w:tc>
                <w:tcPr>
                  <w:tcW w:w="1166" w:type="dxa"/>
                  <w:tcBorders>
                    <w:tl2br w:val="nil"/>
                    <w:tr2bl w:val="nil"/>
                  </w:tcBorders>
                  <w:vAlign w:val="center"/>
                </w:tcPr>
                <w:p>
                  <w:pPr>
                    <w:spacing w:line="240" w:lineRule="auto"/>
                    <w:ind w:firstLine="0" w:firstLineChars="0"/>
                    <w:jc w:val="center"/>
                    <w:rPr>
                      <w:b w:val="0"/>
                      <w:bCs/>
                      <w:color w:val="auto"/>
                      <w:sz w:val="21"/>
                      <w:szCs w:val="21"/>
                      <w:u w:val="none"/>
                    </w:rPr>
                  </w:pPr>
                  <w:r>
                    <w:rPr>
                      <w:b w:val="0"/>
                      <w:bCs/>
                      <w:color w:val="auto"/>
                      <w:sz w:val="21"/>
                      <w:szCs w:val="21"/>
                      <w:u w:val="none"/>
                    </w:rPr>
                    <w:t>参数名称</w:t>
                  </w:r>
                </w:p>
              </w:tc>
              <w:tc>
                <w:tcPr>
                  <w:tcW w:w="1409" w:type="dxa"/>
                  <w:tcBorders>
                    <w:tl2br w:val="nil"/>
                    <w:tr2bl w:val="nil"/>
                  </w:tcBorders>
                  <w:vAlign w:val="center"/>
                </w:tcPr>
                <w:p>
                  <w:pPr>
                    <w:spacing w:line="240" w:lineRule="auto"/>
                    <w:ind w:firstLine="0" w:firstLineChars="0"/>
                    <w:jc w:val="center"/>
                    <w:rPr>
                      <w:b w:val="0"/>
                      <w:bCs/>
                      <w:color w:val="auto"/>
                      <w:sz w:val="21"/>
                      <w:szCs w:val="21"/>
                      <w:u w:val="none"/>
                    </w:rPr>
                  </w:pPr>
                  <w:r>
                    <w:rPr>
                      <w:b w:val="0"/>
                      <w:bCs/>
                      <w:color w:val="auto"/>
                      <w:sz w:val="21"/>
                      <w:szCs w:val="21"/>
                      <w:u w:val="none"/>
                    </w:rPr>
                    <w:t>标准值</w:t>
                  </w:r>
                </w:p>
              </w:tc>
              <w:tc>
                <w:tcPr>
                  <w:tcW w:w="648" w:type="dxa"/>
                  <w:vMerge w:val="continue"/>
                  <w:tcBorders>
                    <w:tl2br w:val="nil"/>
                    <w:tr2bl w:val="nil"/>
                  </w:tcBorders>
                  <w:vAlign w:val="center"/>
                </w:tcPr>
                <w:p>
                  <w:pPr>
                    <w:spacing w:line="240" w:lineRule="auto"/>
                    <w:ind w:firstLine="0" w:firstLineChars="0"/>
                    <w:jc w:val="center"/>
                    <w:rPr>
                      <w:b w:val="0"/>
                      <w:bCs/>
                      <w:color w:val="auto"/>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27" w:type="dxa"/>
                  <w:vMerge w:val="restart"/>
                  <w:tcBorders>
                    <w:tl2br w:val="nil"/>
                    <w:tr2bl w:val="nil"/>
                  </w:tcBorders>
                  <w:vAlign w:val="center"/>
                </w:tcPr>
                <w:p>
                  <w:pPr>
                    <w:spacing w:line="240" w:lineRule="auto"/>
                    <w:ind w:firstLine="0" w:firstLineChars="0"/>
                    <w:jc w:val="center"/>
                    <w:rPr>
                      <w:b w:val="0"/>
                      <w:bCs/>
                      <w:color w:val="auto"/>
                      <w:sz w:val="21"/>
                      <w:szCs w:val="21"/>
                      <w:u w:val="none"/>
                    </w:rPr>
                  </w:pPr>
                  <w:r>
                    <w:rPr>
                      <w:b w:val="0"/>
                      <w:bCs/>
                      <w:color w:val="auto"/>
                      <w:sz w:val="21"/>
                      <w:szCs w:val="21"/>
                      <w:u w:val="none"/>
                    </w:rPr>
                    <w:t>废气</w:t>
                  </w:r>
                </w:p>
              </w:tc>
              <w:tc>
                <w:tcPr>
                  <w:tcW w:w="2793" w:type="dxa"/>
                  <w:tcBorders>
                    <w:tl2br w:val="nil"/>
                    <w:tr2bl w:val="nil"/>
                  </w:tcBorders>
                  <w:vAlign w:val="center"/>
                </w:tcPr>
                <w:p>
                  <w:pPr>
                    <w:spacing w:line="240" w:lineRule="auto"/>
                    <w:ind w:firstLine="0" w:firstLineChars="0"/>
                    <w:jc w:val="center"/>
                    <w:rPr>
                      <w:b w:val="0"/>
                      <w:bCs/>
                      <w:color w:val="auto"/>
                      <w:sz w:val="21"/>
                      <w:szCs w:val="21"/>
                      <w:u w:val="none"/>
                    </w:rPr>
                  </w:pPr>
                  <w:r>
                    <w:rPr>
                      <w:rFonts w:ascii="Times New Roman" w:hAnsi="Times New Roman" w:eastAsia="宋体" w:cs="Times New Roman"/>
                      <w:b w:val="0"/>
                      <w:bCs/>
                      <w:color w:val="auto"/>
                      <w:sz w:val="21"/>
                      <w:szCs w:val="21"/>
                      <w:u w:val="none"/>
                    </w:rPr>
                    <w:t>《大气污染物综合排放标准》（GB16297-1996）</w:t>
                  </w:r>
                </w:p>
              </w:tc>
              <w:tc>
                <w:tcPr>
                  <w:tcW w:w="1400" w:type="dxa"/>
                  <w:tcBorders>
                    <w:tl2br w:val="nil"/>
                    <w:tr2bl w:val="nil"/>
                  </w:tcBorders>
                  <w:vAlign w:val="center"/>
                </w:tcPr>
                <w:p>
                  <w:pPr>
                    <w:spacing w:line="240" w:lineRule="auto"/>
                    <w:ind w:firstLine="0" w:firstLineChars="0"/>
                    <w:jc w:val="center"/>
                    <w:rPr>
                      <w:b w:val="0"/>
                      <w:bCs/>
                      <w:color w:val="auto"/>
                      <w:sz w:val="21"/>
                      <w:szCs w:val="21"/>
                      <w:u w:val="none"/>
                    </w:rPr>
                  </w:pPr>
                  <w:r>
                    <w:rPr>
                      <w:rFonts w:hint="eastAsia"/>
                      <w:b w:val="0"/>
                      <w:bCs/>
                      <w:color w:val="auto"/>
                      <w:sz w:val="21"/>
                      <w:szCs w:val="21"/>
                      <w:u w:val="none"/>
                    </w:rPr>
                    <w:t>厂界</w:t>
                  </w:r>
                </w:p>
              </w:tc>
              <w:tc>
                <w:tcPr>
                  <w:tcW w:w="1166" w:type="dxa"/>
                  <w:tcBorders>
                    <w:tl2br w:val="nil"/>
                    <w:tr2bl w:val="nil"/>
                  </w:tcBorders>
                  <w:vAlign w:val="center"/>
                </w:tcPr>
                <w:p>
                  <w:pPr>
                    <w:spacing w:line="240" w:lineRule="auto"/>
                    <w:ind w:firstLine="0" w:firstLineChars="0"/>
                    <w:jc w:val="center"/>
                    <w:rPr>
                      <w:b w:val="0"/>
                      <w:bCs/>
                      <w:color w:val="auto"/>
                      <w:sz w:val="21"/>
                      <w:szCs w:val="21"/>
                      <w:u w:val="none"/>
                    </w:rPr>
                  </w:pPr>
                  <w:r>
                    <w:rPr>
                      <w:b w:val="0"/>
                      <w:bCs/>
                      <w:color w:val="auto"/>
                      <w:sz w:val="21"/>
                      <w:szCs w:val="21"/>
                      <w:u w:val="none"/>
                    </w:rPr>
                    <w:t>颗粒物</w:t>
                  </w:r>
                </w:p>
              </w:tc>
              <w:tc>
                <w:tcPr>
                  <w:tcW w:w="1409" w:type="dxa"/>
                  <w:tcBorders>
                    <w:tl2br w:val="nil"/>
                    <w:tr2bl w:val="nil"/>
                  </w:tcBorders>
                  <w:vAlign w:val="center"/>
                </w:tcPr>
                <w:p>
                  <w:pPr>
                    <w:spacing w:line="240" w:lineRule="auto"/>
                    <w:ind w:firstLine="0" w:firstLineChars="0"/>
                    <w:jc w:val="center"/>
                    <w:rPr>
                      <w:b w:val="0"/>
                      <w:bCs/>
                      <w:color w:val="auto"/>
                      <w:sz w:val="21"/>
                      <w:szCs w:val="21"/>
                      <w:u w:val="none"/>
                    </w:rPr>
                  </w:pPr>
                  <w:r>
                    <w:rPr>
                      <w:b w:val="0"/>
                      <w:bCs/>
                      <w:color w:val="auto"/>
                      <w:sz w:val="21"/>
                      <w:szCs w:val="21"/>
                      <w:u w:val="none"/>
                    </w:rPr>
                    <w:t>1.0mg/m</w:t>
                  </w:r>
                  <w:r>
                    <w:rPr>
                      <w:b w:val="0"/>
                      <w:bCs/>
                      <w:color w:val="auto"/>
                      <w:sz w:val="21"/>
                      <w:szCs w:val="21"/>
                      <w:u w:val="none"/>
                      <w:vertAlign w:val="superscript"/>
                    </w:rPr>
                    <w:t>3</w:t>
                  </w:r>
                </w:p>
              </w:tc>
              <w:tc>
                <w:tcPr>
                  <w:tcW w:w="648" w:type="dxa"/>
                  <w:tcBorders>
                    <w:tl2br w:val="nil"/>
                    <w:tr2bl w:val="nil"/>
                  </w:tcBorders>
                  <w:vAlign w:val="center"/>
                </w:tcPr>
                <w:p>
                  <w:pPr>
                    <w:spacing w:line="240" w:lineRule="auto"/>
                    <w:ind w:firstLine="0" w:firstLineChars="0"/>
                    <w:jc w:val="center"/>
                    <w:rPr>
                      <w:b w:val="0"/>
                      <w:bCs/>
                      <w:color w:val="auto"/>
                      <w:sz w:val="21"/>
                      <w:szCs w:val="21"/>
                      <w:u w:val="none"/>
                    </w:rPr>
                  </w:pPr>
                  <w:r>
                    <w:rPr>
                      <w:rFonts w:hint="eastAsia"/>
                      <w:b w:val="0"/>
                      <w:bCs/>
                      <w:color w:val="auto"/>
                      <w:sz w:val="21"/>
                      <w:szCs w:val="21"/>
                      <w:u w:val="none"/>
                    </w:rPr>
                    <w:t>扬尘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27" w:type="dxa"/>
                  <w:vMerge w:val="continue"/>
                  <w:tcBorders>
                    <w:tl2br w:val="nil"/>
                    <w:tr2bl w:val="nil"/>
                  </w:tcBorders>
                  <w:vAlign w:val="center"/>
                </w:tcPr>
                <w:p>
                  <w:pPr>
                    <w:spacing w:line="240" w:lineRule="auto"/>
                    <w:ind w:firstLine="0" w:firstLineChars="0"/>
                    <w:jc w:val="center"/>
                    <w:rPr>
                      <w:b w:val="0"/>
                      <w:bCs/>
                      <w:color w:val="auto"/>
                      <w:sz w:val="21"/>
                      <w:szCs w:val="21"/>
                      <w:u w:val="none"/>
                    </w:rPr>
                  </w:pPr>
                </w:p>
              </w:tc>
              <w:tc>
                <w:tcPr>
                  <w:tcW w:w="2793" w:type="dxa"/>
                  <w:vMerge w:val="restart"/>
                  <w:tcBorders>
                    <w:tl2br w:val="nil"/>
                    <w:tr2bl w:val="nil"/>
                  </w:tcBorders>
                  <w:vAlign w:val="center"/>
                </w:tcPr>
                <w:p>
                  <w:pPr>
                    <w:spacing w:line="240" w:lineRule="auto"/>
                    <w:ind w:firstLine="0" w:firstLineChars="0"/>
                    <w:jc w:val="center"/>
                    <w:rPr>
                      <w:b w:val="0"/>
                      <w:bCs/>
                      <w:color w:val="auto"/>
                      <w:sz w:val="21"/>
                      <w:szCs w:val="21"/>
                      <w:u w:val="none"/>
                    </w:rPr>
                  </w:pPr>
                  <w:r>
                    <w:rPr>
                      <w:b w:val="0"/>
                      <w:bCs/>
                      <w:color w:val="auto"/>
                      <w:sz w:val="21"/>
                      <w:szCs w:val="21"/>
                      <w:u w:val="none"/>
                    </w:rPr>
                    <w:t>《城</w:t>
                  </w:r>
                  <w:r>
                    <w:rPr>
                      <w:rFonts w:ascii="Times New Roman" w:hAnsi="Times New Roman" w:eastAsia="宋体" w:cs="Times New Roman"/>
                      <w:b w:val="0"/>
                      <w:bCs/>
                      <w:color w:val="auto"/>
                      <w:sz w:val="21"/>
                      <w:szCs w:val="21"/>
                      <w:u w:val="none"/>
                    </w:rPr>
                    <w:t>镇污水处理厂污染物排放标准》（GB18</w:t>
                  </w:r>
                  <w:r>
                    <w:rPr>
                      <w:rFonts w:hint="eastAsia" w:ascii="Times New Roman" w:hAnsi="Times New Roman" w:eastAsia="宋体" w:cs="Times New Roman"/>
                      <w:b w:val="0"/>
                      <w:bCs/>
                      <w:color w:val="auto"/>
                      <w:sz w:val="21"/>
                      <w:szCs w:val="21"/>
                      <w:u w:val="none"/>
                    </w:rPr>
                    <w:t>9</w:t>
                  </w:r>
                  <w:r>
                    <w:rPr>
                      <w:rFonts w:ascii="Times New Roman" w:hAnsi="Times New Roman" w:eastAsia="宋体" w:cs="Times New Roman"/>
                      <w:b w:val="0"/>
                      <w:bCs/>
                      <w:color w:val="auto"/>
                      <w:sz w:val="21"/>
                      <w:szCs w:val="21"/>
                      <w:u w:val="none"/>
                    </w:rPr>
                    <w:t>18-2002）</w:t>
                  </w:r>
                </w:p>
              </w:tc>
              <w:tc>
                <w:tcPr>
                  <w:tcW w:w="1400" w:type="dxa"/>
                  <w:vMerge w:val="restart"/>
                  <w:tcBorders>
                    <w:tl2br w:val="nil"/>
                    <w:tr2bl w:val="nil"/>
                  </w:tcBorders>
                  <w:vAlign w:val="center"/>
                </w:tcPr>
                <w:p>
                  <w:pPr>
                    <w:spacing w:line="240" w:lineRule="auto"/>
                    <w:ind w:firstLine="0" w:firstLineChars="0"/>
                    <w:jc w:val="center"/>
                    <w:rPr>
                      <w:b w:val="0"/>
                      <w:bCs/>
                      <w:color w:val="auto"/>
                      <w:sz w:val="21"/>
                      <w:szCs w:val="21"/>
                      <w:u w:val="none"/>
                    </w:rPr>
                  </w:pPr>
                  <w:r>
                    <w:rPr>
                      <w:rFonts w:hint="eastAsia"/>
                      <w:b w:val="0"/>
                      <w:bCs/>
                      <w:color w:val="auto"/>
                      <w:sz w:val="21"/>
                      <w:szCs w:val="21"/>
                      <w:u w:val="none"/>
                    </w:rPr>
                    <w:t>二</w:t>
                  </w:r>
                  <w:r>
                    <w:rPr>
                      <w:b w:val="0"/>
                      <w:bCs/>
                      <w:color w:val="auto"/>
                      <w:sz w:val="21"/>
                      <w:szCs w:val="21"/>
                      <w:u w:val="none"/>
                    </w:rPr>
                    <w:t>级</w:t>
                  </w:r>
                </w:p>
                <w:p>
                  <w:pPr>
                    <w:spacing w:line="240" w:lineRule="auto"/>
                    <w:ind w:firstLine="0" w:firstLineChars="0"/>
                    <w:jc w:val="center"/>
                    <w:rPr>
                      <w:b w:val="0"/>
                      <w:bCs/>
                      <w:color w:val="auto"/>
                      <w:sz w:val="21"/>
                      <w:szCs w:val="21"/>
                      <w:u w:val="none"/>
                    </w:rPr>
                  </w:pPr>
                  <w:r>
                    <w:rPr>
                      <w:rFonts w:hint="eastAsia"/>
                      <w:b w:val="0"/>
                      <w:bCs/>
                      <w:color w:val="auto"/>
                      <w:sz w:val="21"/>
                      <w:szCs w:val="21"/>
                      <w:u w:val="none"/>
                    </w:rPr>
                    <w:t>厂界</w:t>
                  </w:r>
                </w:p>
              </w:tc>
              <w:tc>
                <w:tcPr>
                  <w:tcW w:w="1166" w:type="dxa"/>
                  <w:tcBorders>
                    <w:tl2br w:val="nil"/>
                    <w:tr2bl w:val="nil"/>
                  </w:tcBorders>
                  <w:vAlign w:val="center"/>
                </w:tcPr>
                <w:p>
                  <w:pPr>
                    <w:spacing w:line="240" w:lineRule="auto"/>
                    <w:ind w:firstLine="0" w:firstLineChars="0"/>
                    <w:jc w:val="center"/>
                    <w:rPr>
                      <w:b w:val="0"/>
                      <w:bCs/>
                      <w:color w:val="auto"/>
                      <w:sz w:val="21"/>
                      <w:szCs w:val="21"/>
                      <w:u w:val="none"/>
                    </w:rPr>
                  </w:pPr>
                  <w:r>
                    <w:rPr>
                      <w:b w:val="0"/>
                      <w:bCs/>
                      <w:color w:val="auto"/>
                      <w:sz w:val="21"/>
                      <w:szCs w:val="21"/>
                      <w:u w:val="none"/>
                    </w:rPr>
                    <w:t>H</w:t>
                  </w:r>
                  <w:r>
                    <w:rPr>
                      <w:b w:val="0"/>
                      <w:bCs/>
                      <w:color w:val="auto"/>
                      <w:sz w:val="21"/>
                      <w:szCs w:val="21"/>
                      <w:u w:val="none"/>
                      <w:vertAlign w:val="subscript"/>
                    </w:rPr>
                    <w:t>2</w:t>
                  </w:r>
                  <w:r>
                    <w:rPr>
                      <w:b w:val="0"/>
                      <w:bCs/>
                      <w:color w:val="auto"/>
                      <w:sz w:val="21"/>
                      <w:szCs w:val="21"/>
                      <w:u w:val="none"/>
                    </w:rPr>
                    <w:t>S</w:t>
                  </w:r>
                </w:p>
              </w:tc>
              <w:tc>
                <w:tcPr>
                  <w:tcW w:w="1409" w:type="dxa"/>
                  <w:tcBorders>
                    <w:tl2br w:val="nil"/>
                    <w:tr2bl w:val="nil"/>
                  </w:tcBorders>
                  <w:vAlign w:val="center"/>
                </w:tcPr>
                <w:p>
                  <w:pPr>
                    <w:spacing w:line="240" w:lineRule="auto"/>
                    <w:ind w:firstLine="0" w:firstLineChars="0"/>
                    <w:jc w:val="center"/>
                    <w:rPr>
                      <w:b w:val="0"/>
                      <w:bCs/>
                      <w:color w:val="auto"/>
                      <w:sz w:val="21"/>
                      <w:szCs w:val="21"/>
                      <w:u w:val="none"/>
                    </w:rPr>
                  </w:pPr>
                  <w:r>
                    <w:rPr>
                      <w:b w:val="0"/>
                      <w:bCs/>
                      <w:color w:val="auto"/>
                      <w:sz w:val="21"/>
                      <w:szCs w:val="21"/>
                      <w:u w:val="none"/>
                    </w:rPr>
                    <w:t>0.0</w:t>
                  </w:r>
                  <w:r>
                    <w:rPr>
                      <w:rFonts w:hint="eastAsia"/>
                      <w:b w:val="0"/>
                      <w:bCs/>
                      <w:color w:val="auto"/>
                      <w:sz w:val="21"/>
                      <w:szCs w:val="21"/>
                      <w:u w:val="none"/>
                    </w:rPr>
                    <w:t>6</w:t>
                  </w:r>
                  <w:r>
                    <w:rPr>
                      <w:b w:val="0"/>
                      <w:bCs/>
                      <w:color w:val="auto"/>
                      <w:sz w:val="21"/>
                      <w:szCs w:val="21"/>
                      <w:u w:val="none"/>
                    </w:rPr>
                    <w:t>mg/m</w:t>
                  </w:r>
                  <w:r>
                    <w:rPr>
                      <w:b w:val="0"/>
                      <w:bCs/>
                      <w:color w:val="auto"/>
                      <w:sz w:val="21"/>
                      <w:szCs w:val="21"/>
                      <w:u w:val="none"/>
                      <w:vertAlign w:val="superscript"/>
                    </w:rPr>
                    <w:t>3</w:t>
                  </w:r>
                </w:p>
              </w:tc>
              <w:tc>
                <w:tcPr>
                  <w:tcW w:w="648" w:type="dxa"/>
                  <w:vMerge w:val="restart"/>
                  <w:tcBorders>
                    <w:tl2br w:val="nil"/>
                    <w:tr2bl w:val="nil"/>
                  </w:tcBorders>
                  <w:vAlign w:val="center"/>
                </w:tcPr>
                <w:p>
                  <w:pPr>
                    <w:spacing w:line="240" w:lineRule="auto"/>
                    <w:ind w:firstLine="0" w:firstLineChars="0"/>
                    <w:jc w:val="center"/>
                    <w:rPr>
                      <w:b w:val="0"/>
                      <w:bCs/>
                      <w:color w:val="auto"/>
                      <w:sz w:val="21"/>
                      <w:szCs w:val="21"/>
                      <w:u w:val="none"/>
                    </w:rPr>
                  </w:pPr>
                  <w:r>
                    <w:rPr>
                      <w:b w:val="0"/>
                      <w:bCs/>
                      <w:color w:val="auto"/>
                      <w:sz w:val="21"/>
                      <w:szCs w:val="21"/>
                      <w:u w:val="none"/>
                    </w:rPr>
                    <w:t>恶臭气体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7" w:type="dxa"/>
                  <w:vMerge w:val="continue"/>
                  <w:tcBorders>
                    <w:tl2br w:val="nil"/>
                    <w:tr2bl w:val="nil"/>
                  </w:tcBorders>
                  <w:vAlign w:val="center"/>
                </w:tcPr>
                <w:p>
                  <w:pPr>
                    <w:spacing w:line="240" w:lineRule="auto"/>
                    <w:ind w:firstLine="0" w:firstLineChars="0"/>
                    <w:jc w:val="center"/>
                    <w:rPr>
                      <w:bCs/>
                      <w:color w:val="auto"/>
                      <w:sz w:val="21"/>
                      <w:szCs w:val="21"/>
                      <w:u w:val="none"/>
                    </w:rPr>
                  </w:pPr>
                </w:p>
              </w:tc>
              <w:tc>
                <w:tcPr>
                  <w:tcW w:w="2793" w:type="dxa"/>
                  <w:vMerge w:val="continue"/>
                  <w:tcBorders>
                    <w:tl2br w:val="nil"/>
                    <w:tr2bl w:val="nil"/>
                  </w:tcBorders>
                  <w:vAlign w:val="center"/>
                </w:tcPr>
                <w:p>
                  <w:pPr>
                    <w:spacing w:line="240" w:lineRule="auto"/>
                    <w:ind w:firstLine="0" w:firstLineChars="0"/>
                    <w:jc w:val="center"/>
                    <w:rPr>
                      <w:bCs/>
                      <w:color w:val="auto"/>
                      <w:sz w:val="21"/>
                      <w:szCs w:val="21"/>
                      <w:u w:val="none"/>
                    </w:rPr>
                  </w:pPr>
                </w:p>
              </w:tc>
              <w:tc>
                <w:tcPr>
                  <w:tcW w:w="1400" w:type="dxa"/>
                  <w:vMerge w:val="continue"/>
                  <w:tcBorders>
                    <w:tl2br w:val="nil"/>
                    <w:tr2bl w:val="nil"/>
                  </w:tcBorders>
                  <w:vAlign w:val="center"/>
                </w:tcPr>
                <w:p>
                  <w:pPr>
                    <w:spacing w:line="240" w:lineRule="auto"/>
                    <w:ind w:firstLine="0" w:firstLineChars="0"/>
                    <w:jc w:val="center"/>
                    <w:rPr>
                      <w:bCs/>
                      <w:color w:val="auto"/>
                      <w:sz w:val="21"/>
                      <w:szCs w:val="21"/>
                      <w:u w:val="none"/>
                    </w:rPr>
                  </w:pPr>
                </w:p>
              </w:tc>
              <w:tc>
                <w:tcPr>
                  <w:tcW w:w="1166" w:type="dxa"/>
                  <w:tcBorders>
                    <w:tl2br w:val="nil"/>
                    <w:tr2bl w:val="nil"/>
                  </w:tcBorders>
                  <w:vAlign w:val="center"/>
                </w:tcPr>
                <w:p>
                  <w:pPr>
                    <w:spacing w:line="240" w:lineRule="auto"/>
                    <w:ind w:firstLine="0" w:firstLineChars="0"/>
                    <w:jc w:val="center"/>
                    <w:rPr>
                      <w:bCs/>
                      <w:color w:val="auto"/>
                      <w:sz w:val="21"/>
                      <w:szCs w:val="21"/>
                      <w:u w:val="none"/>
                    </w:rPr>
                  </w:pPr>
                  <w:r>
                    <w:rPr>
                      <w:bCs/>
                      <w:color w:val="auto"/>
                      <w:sz w:val="21"/>
                      <w:szCs w:val="21"/>
                      <w:u w:val="none"/>
                    </w:rPr>
                    <w:t>NH</w:t>
                  </w:r>
                  <w:r>
                    <w:rPr>
                      <w:bCs/>
                      <w:color w:val="auto"/>
                      <w:sz w:val="21"/>
                      <w:szCs w:val="21"/>
                      <w:u w:val="none"/>
                      <w:vertAlign w:val="subscript"/>
                    </w:rPr>
                    <w:t>3</w:t>
                  </w:r>
                </w:p>
              </w:tc>
              <w:tc>
                <w:tcPr>
                  <w:tcW w:w="1409" w:type="dxa"/>
                  <w:tcBorders>
                    <w:tl2br w:val="nil"/>
                    <w:tr2bl w:val="nil"/>
                  </w:tcBorders>
                  <w:vAlign w:val="center"/>
                </w:tcPr>
                <w:p>
                  <w:pPr>
                    <w:spacing w:line="240" w:lineRule="auto"/>
                    <w:ind w:firstLine="0" w:firstLineChars="0"/>
                    <w:jc w:val="center"/>
                    <w:rPr>
                      <w:bCs/>
                      <w:color w:val="auto"/>
                      <w:sz w:val="21"/>
                      <w:szCs w:val="21"/>
                      <w:u w:val="none"/>
                    </w:rPr>
                  </w:pPr>
                  <w:r>
                    <w:rPr>
                      <w:bCs/>
                      <w:color w:val="auto"/>
                      <w:sz w:val="21"/>
                      <w:szCs w:val="21"/>
                      <w:u w:val="none"/>
                    </w:rPr>
                    <w:t>1.</w:t>
                  </w:r>
                  <w:r>
                    <w:rPr>
                      <w:rFonts w:hint="eastAsia"/>
                      <w:bCs/>
                      <w:color w:val="auto"/>
                      <w:sz w:val="21"/>
                      <w:szCs w:val="21"/>
                      <w:u w:val="none"/>
                    </w:rPr>
                    <w:t>5</w:t>
                  </w:r>
                  <w:r>
                    <w:rPr>
                      <w:bCs/>
                      <w:color w:val="auto"/>
                      <w:sz w:val="21"/>
                      <w:szCs w:val="21"/>
                      <w:u w:val="none"/>
                    </w:rPr>
                    <w:t>mg/m</w:t>
                  </w:r>
                  <w:r>
                    <w:rPr>
                      <w:bCs/>
                      <w:color w:val="auto"/>
                      <w:sz w:val="21"/>
                      <w:szCs w:val="21"/>
                      <w:u w:val="none"/>
                      <w:vertAlign w:val="superscript"/>
                    </w:rPr>
                    <w:t>3</w:t>
                  </w:r>
                </w:p>
              </w:tc>
              <w:tc>
                <w:tcPr>
                  <w:tcW w:w="648" w:type="dxa"/>
                  <w:vMerge w:val="continue"/>
                  <w:tcBorders>
                    <w:tl2br w:val="nil"/>
                    <w:tr2bl w:val="nil"/>
                  </w:tcBorders>
                  <w:vAlign w:val="center"/>
                </w:tcPr>
                <w:p>
                  <w:pPr>
                    <w:spacing w:line="240" w:lineRule="auto"/>
                    <w:ind w:firstLine="0" w:firstLineChars="0"/>
                    <w:jc w:val="center"/>
                    <w:rPr>
                      <w:bCs/>
                      <w:color w:val="auto"/>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7" w:type="dxa"/>
                  <w:vMerge w:val="continue"/>
                  <w:tcBorders>
                    <w:tl2br w:val="nil"/>
                    <w:tr2bl w:val="nil"/>
                  </w:tcBorders>
                  <w:vAlign w:val="center"/>
                </w:tcPr>
                <w:p>
                  <w:pPr>
                    <w:spacing w:line="240" w:lineRule="auto"/>
                    <w:ind w:firstLine="0" w:firstLineChars="0"/>
                    <w:jc w:val="center"/>
                    <w:rPr>
                      <w:bCs/>
                      <w:color w:val="auto"/>
                      <w:sz w:val="21"/>
                      <w:szCs w:val="21"/>
                      <w:u w:val="none"/>
                    </w:rPr>
                  </w:pPr>
                </w:p>
              </w:tc>
              <w:tc>
                <w:tcPr>
                  <w:tcW w:w="2793" w:type="dxa"/>
                  <w:vMerge w:val="continue"/>
                  <w:tcBorders>
                    <w:tl2br w:val="nil"/>
                    <w:tr2bl w:val="nil"/>
                  </w:tcBorders>
                  <w:vAlign w:val="center"/>
                </w:tcPr>
                <w:p>
                  <w:pPr>
                    <w:spacing w:line="240" w:lineRule="auto"/>
                    <w:ind w:firstLine="0" w:firstLineChars="0"/>
                    <w:jc w:val="center"/>
                    <w:rPr>
                      <w:bCs/>
                      <w:color w:val="auto"/>
                      <w:sz w:val="21"/>
                      <w:szCs w:val="21"/>
                      <w:u w:val="none"/>
                    </w:rPr>
                  </w:pPr>
                </w:p>
              </w:tc>
              <w:tc>
                <w:tcPr>
                  <w:tcW w:w="1400" w:type="dxa"/>
                  <w:vMerge w:val="continue"/>
                  <w:tcBorders>
                    <w:tl2br w:val="nil"/>
                    <w:tr2bl w:val="nil"/>
                  </w:tcBorders>
                  <w:vAlign w:val="center"/>
                </w:tcPr>
                <w:p>
                  <w:pPr>
                    <w:spacing w:line="240" w:lineRule="auto"/>
                    <w:ind w:firstLine="0" w:firstLineChars="0"/>
                    <w:jc w:val="center"/>
                    <w:rPr>
                      <w:bCs/>
                      <w:color w:val="auto"/>
                      <w:sz w:val="21"/>
                      <w:szCs w:val="21"/>
                      <w:u w:val="none"/>
                    </w:rPr>
                  </w:pPr>
                </w:p>
              </w:tc>
              <w:tc>
                <w:tcPr>
                  <w:tcW w:w="1166" w:type="dxa"/>
                  <w:tcBorders>
                    <w:tl2br w:val="nil"/>
                    <w:tr2bl w:val="nil"/>
                  </w:tcBorders>
                  <w:vAlign w:val="center"/>
                </w:tcPr>
                <w:p>
                  <w:pPr>
                    <w:spacing w:line="240" w:lineRule="auto"/>
                    <w:ind w:firstLine="0" w:firstLineChars="0"/>
                    <w:jc w:val="center"/>
                    <w:rPr>
                      <w:bCs/>
                      <w:color w:val="auto"/>
                      <w:sz w:val="21"/>
                      <w:szCs w:val="21"/>
                      <w:u w:val="none"/>
                    </w:rPr>
                  </w:pPr>
                  <w:r>
                    <w:rPr>
                      <w:rFonts w:hint="eastAsia"/>
                      <w:bCs/>
                      <w:color w:val="auto"/>
                      <w:sz w:val="21"/>
                      <w:szCs w:val="21"/>
                      <w:u w:val="none"/>
                    </w:rPr>
                    <w:t>臭气浓度</w:t>
                  </w:r>
                </w:p>
              </w:tc>
              <w:tc>
                <w:tcPr>
                  <w:tcW w:w="1409" w:type="dxa"/>
                  <w:tcBorders>
                    <w:tl2br w:val="nil"/>
                    <w:tr2bl w:val="nil"/>
                  </w:tcBorders>
                  <w:vAlign w:val="center"/>
                </w:tcPr>
                <w:p>
                  <w:pPr>
                    <w:spacing w:line="240" w:lineRule="auto"/>
                    <w:ind w:firstLine="0" w:firstLineChars="0"/>
                    <w:jc w:val="center"/>
                    <w:rPr>
                      <w:bCs/>
                      <w:color w:val="auto"/>
                      <w:sz w:val="21"/>
                      <w:szCs w:val="21"/>
                      <w:u w:val="none"/>
                    </w:rPr>
                  </w:pPr>
                  <w:r>
                    <w:rPr>
                      <w:rFonts w:hint="eastAsia"/>
                      <w:bCs/>
                      <w:color w:val="auto"/>
                      <w:sz w:val="21"/>
                      <w:szCs w:val="21"/>
                      <w:u w:val="none"/>
                    </w:rPr>
                    <w:t>20（无量纲）</w:t>
                  </w:r>
                </w:p>
              </w:tc>
              <w:tc>
                <w:tcPr>
                  <w:tcW w:w="648" w:type="dxa"/>
                  <w:vMerge w:val="continue"/>
                  <w:tcBorders>
                    <w:tl2br w:val="nil"/>
                    <w:tr2bl w:val="nil"/>
                  </w:tcBorders>
                  <w:vAlign w:val="center"/>
                </w:tcPr>
                <w:p>
                  <w:pPr>
                    <w:spacing w:line="240" w:lineRule="auto"/>
                    <w:ind w:firstLine="0" w:firstLineChars="0"/>
                    <w:jc w:val="center"/>
                    <w:rPr>
                      <w:bCs/>
                      <w:color w:val="auto"/>
                      <w:sz w:val="21"/>
                      <w:szCs w:val="21"/>
                      <w:u w:val="none"/>
                    </w:rPr>
                  </w:pPr>
                </w:p>
              </w:tc>
            </w:tr>
          </w:tbl>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firstLine="462" w:firstLineChars="200"/>
              <w:textAlignment w:val="auto"/>
              <w:rPr>
                <w:color w:val="auto"/>
                <w:sz w:val="24"/>
                <w:szCs w:val="24"/>
                <w:u w:val="none"/>
              </w:rPr>
            </w:pPr>
            <w:r>
              <w:rPr>
                <w:color w:val="auto"/>
                <w:sz w:val="24"/>
                <w:szCs w:val="24"/>
                <w:u w:val="none"/>
              </w:rPr>
              <w:t>噪声</w:t>
            </w:r>
            <w:r>
              <w:rPr>
                <w:rFonts w:hint="eastAsia"/>
                <w:color w:val="auto"/>
                <w:sz w:val="24"/>
                <w:szCs w:val="24"/>
                <w:u w:val="none"/>
                <w:lang w:eastAsia="zh-CN"/>
              </w:rPr>
              <w:t>执行标准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62" w:firstLineChars="200"/>
              <w:textAlignment w:val="auto"/>
              <w:rPr>
                <w:rFonts w:hint="eastAsia" w:eastAsia="宋体"/>
                <w:color w:val="auto"/>
                <w:sz w:val="24"/>
                <w:szCs w:val="24"/>
                <w:u w:val="none"/>
                <w:lang w:eastAsia="zh-CN"/>
              </w:rPr>
            </w:pPr>
            <w:r>
              <w:rPr>
                <w:color w:val="auto"/>
                <w:sz w:val="24"/>
                <w:szCs w:val="24"/>
                <w:u w:val="none"/>
              </w:rPr>
              <w:t>施工期噪声执行《建筑施工场界环境噪声排放标准》（GB12523-2011）中标准限值；运营期项目厂界执行《工业企业厂界环境噪声排放标准》（GB12348-2008）中2类标准</w:t>
            </w:r>
            <w:r>
              <w:rPr>
                <w:rFonts w:hint="eastAsia"/>
                <w:color w:val="auto"/>
                <w:sz w:val="24"/>
                <w:szCs w:val="24"/>
                <w:u w:val="none"/>
                <w:lang w:eastAsia="zh-CN"/>
              </w:rPr>
              <w:t>。</w:t>
            </w:r>
          </w:p>
          <w:p>
            <w:pPr>
              <w:ind w:left="1" w:firstLine="480"/>
              <w:jc w:val="center"/>
              <w:rPr>
                <w:rFonts w:hint="eastAsia" w:ascii="Times New Roman" w:hAnsi="Times New Roman" w:eastAsia="宋体" w:cs="Times New Roman"/>
                <w:b/>
                <w:color w:val="auto"/>
                <w:szCs w:val="21"/>
                <w:u w:val="none"/>
              </w:rPr>
            </w:pPr>
            <w:r>
              <w:rPr>
                <w:rFonts w:hint="eastAsia" w:ascii="Times New Roman" w:hAnsi="Times New Roman" w:eastAsia="宋体" w:cs="Times New Roman"/>
                <w:b/>
                <w:color w:val="auto"/>
                <w:szCs w:val="21"/>
                <w:u w:val="none"/>
              </w:rPr>
              <w:t>表4-</w:t>
            </w:r>
            <w:r>
              <w:rPr>
                <w:rFonts w:hint="eastAsia" w:ascii="Times New Roman" w:hAnsi="Times New Roman" w:eastAsia="宋体" w:cs="Times New Roman"/>
                <w:b/>
                <w:color w:val="auto"/>
                <w:szCs w:val="21"/>
                <w:u w:val="none"/>
                <w:lang w:val="en-US" w:eastAsia="zh-CN"/>
              </w:rPr>
              <w:t>8</w:t>
            </w:r>
            <w:r>
              <w:rPr>
                <w:rFonts w:hint="eastAsia" w:ascii="Times New Roman" w:hAnsi="Times New Roman" w:eastAsia="宋体" w:cs="Times New Roman"/>
                <w:b/>
                <w:color w:val="auto"/>
                <w:szCs w:val="21"/>
                <w:u w:val="none"/>
              </w:rPr>
              <w:t xml:space="preserve"> </w:t>
            </w:r>
            <w:r>
              <w:rPr>
                <w:rFonts w:hint="eastAsia" w:ascii="Times New Roman" w:hAnsi="Times New Roman" w:eastAsia="宋体" w:cs="Times New Roman"/>
                <w:b/>
                <w:color w:val="auto"/>
                <w:szCs w:val="21"/>
                <w:u w:val="none"/>
                <w:lang w:val="en-US" w:eastAsia="zh-CN"/>
              </w:rPr>
              <w:t xml:space="preserve"> </w:t>
            </w:r>
            <w:r>
              <w:rPr>
                <w:rFonts w:hint="eastAsia" w:ascii="Times New Roman" w:hAnsi="Times New Roman" w:eastAsia="宋体" w:cs="Times New Roman"/>
                <w:b/>
                <w:color w:val="auto"/>
                <w:szCs w:val="21"/>
                <w:u w:val="none"/>
              </w:rPr>
              <w:t xml:space="preserve"> 厂界环境噪声排放标准</w:t>
            </w:r>
          </w:p>
          <w:tbl>
            <w:tblPr>
              <w:tblStyle w:val="27"/>
              <w:tblW w:w="782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3650"/>
              <w:gridCol w:w="2058"/>
              <w:gridCol w:w="211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3650" w:type="dxa"/>
                  <w:tcBorders>
                    <w:tl2br w:val="nil"/>
                    <w:tr2bl w:val="nil"/>
                  </w:tcBorders>
                  <w:vAlign w:val="center"/>
                </w:tcPr>
                <w:p>
                  <w:pPr>
                    <w:spacing w:line="240" w:lineRule="auto"/>
                    <w:ind w:firstLine="0" w:firstLineChars="0"/>
                    <w:jc w:val="center"/>
                    <w:rPr>
                      <w:b/>
                      <w:color w:val="auto"/>
                      <w:sz w:val="21"/>
                      <w:szCs w:val="21"/>
                      <w:u w:val="none"/>
                    </w:rPr>
                  </w:pPr>
                  <w:r>
                    <w:rPr>
                      <w:rFonts w:hint="eastAsia"/>
                      <w:b/>
                      <w:color w:val="auto"/>
                      <w:sz w:val="21"/>
                      <w:szCs w:val="21"/>
                      <w:u w:val="none"/>
                    </w:rPr>
                    <w:t>类别</w:t>
                  </w:r>
                </w:p>
              </w:tc>
              <w:tc>
                <w:tcPr>
                  <w:tcW w:w="2058" w:type="dxa"/>
                  <w:tcBorders>
                    <w:tl2br w:val="nil"/>
                    <w:tr2bl w:val="nil"/>
                  </w:tcBorders>
                  <w:vAlign w:val="center"/>
                </w:tcPr>
                <w:p>
                  <w:pPr>
                    <w:spacing w:line="240" w:lineRule="auto"/>
                    <w:ind w:firstLine="0" w:firstLineChars="0"/>
                    <w:jc w:val="center"/>
                    <w:rPr>
                      <w:b/>
                      <w:color w:val="auto"/>
                      <w:sz w:val="21"/>
                      <w:szCs w:val="21"/>
                      <w:u w:val="none"/>
                    </w:rPr>
                  </w:pPr>
                  <w:r>
                    <w:rPr>
                      <w:rFonts w:hint="eastAsia"/>
                      <w:b/>
                      <w:color w:val="auto"/>
                      <w:sz w:val="21"/>
                      <w:szCs w:val="21"/>
                      <w:u w:val="none"/>
                    </w:rPr>
                    <w:t>昼间</w:t>
                  </w:r>
                </w:p>
              </w:tc>
              <w:tc>
                <w:tcPr>
                  <w:tcW w:w="2112" w:type="dxa"/>
                  <w:tcBorders>
                    <w:tl2br w:val="nil"/>
                    <w:tr2bl w:val="nil"/>
                  </w:tcBorders>
                  <w:vAlign w:val="center"/>
                </w:tcPr>
                <w:p>
                  <w:pPr>
                    <w:spacing w:line="240" w:lineRule="auto"/>
                    <w:ind w:firstLine="0" w:firstLineChars="0"/>
                    <w:jc w:val="center"/>
                    <w:rPr>
                      <w:b/>
                      <w:color w:val="auto"/>
                      <w:sz w:val="21"/>
                      <w:szCs w:val="21"/>
                      <w:u w:val="none"/>
                    </w:rPr>
                  </w:pPr>
                  <w:r>
                    <w:rPr>
                      <w:rFonts w:hint="eastAsia"/>
                      <w:b/>
                      <w:color w:val="auto"/>
                      <w:sz w:val="21"/>
                      <w:szCs w:val="21"/>
                      <w:u w:val="none"/>
                    </w:rPr>
                    <w:t>夜间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3650" w:type="dxa"/>
                  <w:tcBorders>
                    <w:tl2br w:val="nil"/>
                    <w:tr2bl w:val="nil"/>
                  </w:tcBorders>
                  <w:vAlign w:val="center"/>
                </w:tcPr>
                <w:p>
                  <w:pPr>
                    <w:spacing w:line="240" w:lineRule="auto"/>
                    <w:ind w:firstLine="0" w:firstLineChars="0"/>
                    <w:jc w:val="center"/>
                    <w:rPr>
                      <w:bCs/>
                      <w:color w:val="auto"/>
                      <w:sz w:val="21"/>
                      <w:szCs w:val="21"/>
                      <w:u w:val="none"/>
                    </w:rPr>
                  </w:pPr>
                  <w:r>
                    <w:rPr>
                      <w:rFonts w:hint="eastAsia"/>
                      <w:bCs/>
                      <w:color w:val="auto"/>
                      <w:sz w:val="21"/>
                      <w:szCs w:val="21"/>
                      <w:u w:val="none"/>
                    </w:rPr>
                    <w:t>《建筑施工场界环境噪声排放标准》（GB12523-2011）</w:t>
                  </w:r>
                </w:p>
              </w:tc>
              <w:tc>
                <w:tcPr>
                  <w:tcW w:w="2058" w:type="dxa"/>
                  <w:tcBorders>
                    <w:tl2br w:val="nil"/>
                    <w:tr2bl w:val="nil"/>
                  </w:tcBorders>
                  <w:vAlign w:val="center"/>
                </w:tcPr>
                <w:p>
                  <w:pPr>
                    <w:spacing w:line="240" w:lineRule="auto"/>
                    <w:ind w:firstLine="0" w:firstLineChars="0"/>
                    <w:jc w:val="center"/>
                    <w:rPr>
                      <w:bCs/>
                      <w:color w:val="auto"/>
                      <w:sz w:val="21"/>
                      <w:szCs w:val="21"/>
                      <w:u w:val="none"/>
                    </w:rPr>
                  </w:pPr>
                  <w:r>
                    <w:rPr>
                      <w:rFonts w:hint="eastAsia"/>
                      <w:bCs/>
                      <w:color w:val="auto"/>
                      <w:sz w:val="21"/>
                      <w:szCs w:val="21"/>
                      <w:u w:val="none"/>
                    </w:rPr>
                    <w:t>70dB(A)</w:t>
                  </w:r>
                </w:p>
              </w:tc>
              <w:tc>
                <w:tcPr>
                  <w:tcW w:w="2112" w:type="dxa"/>
                  <w:tcBorders>
                    <w:tl2br w:val="nil"/>
                    <w:tr2bl w:val="nil"/>
                  </w:tcBorders>
                  <w:vAlign w:val="center"/>
                </w:tcPr>
                <w:p>
                  <w:pPr>
                    <w:spacing w:line="240" w:lineRule="auto"/>
                    <w:ind w:firstLine="0" w:firstLineChars="0"/>
                    <w:jc w:val="center"/>
                    <w:rPr>
                      <w:bCs/>
                      <w:color w:val="auto"/>
                      <w:sz w:val="21"/>
                      <w:szCs w:val="21"/>
                      <w:u w:val="none"/>
                    </w:rPr>
                  </w:pPr>
                  <w:r>
                    <w:rPr>
                      <w:rFonts w:hint="eastAsia"/>
                      <w:bCs/>
                      <w:color w:val="auto"/>
                      <w:sz w:val="21"/>
                      <w:szCs w:val="21"/>
                      <w:u w:val="none"/>
                    </w:rPr>
                    <w:t>55dB(A)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650" w:type="dxa"/>
                  <w:tcBorders>
                    <w:tl2br w:val="nil"/>
                    <w:tr2bl w:val="nil"/>
                  </w:tcBorders>
                  <w:vAlign w:val="center"/>
                </w:tcPr>
                <w:p>
                  <w:pPr>
                    <w:spacing w:line="240" w:lineRule="auto"/>
                    <w:ind w:firstLine="0" w:firstLineChars="0"/>
                    <w:jc w:val="center"/>
                    <w:rPr>
                      <w:bCs/>
                      <w:color w:val="auto"/>
                      <w:sz w:val="21"/>
                      <w:szCs w:val="21"/>
                      <w:u w:val="none"/>
                    </w:rPr>
                  </w:pPr>
                  <w:r>
                    <w:rPr>
                      <w:rFonts w:hint="eastAsia"/>
                      <w:bCs/>
                      <w:color w:val="auto"/>
                      <w:sz w:val="21"/>
                      <w:szCs w:val="21"/>
                      <w:u w:val="none"/>
                    </w:rPr>
                    <w:t>《工业企业厂界环境噪声排放标准》（GB12348-2008）中2类标准</w:t>
                  </w:r>
                </w:p>
              </w:tc>
              <w:tc>
                <w:tcPr>
                  <w:tcW w:w="2058" w:type="dxa"/>
                  <w:tcBorders>
                    <w:tl2br w:val="nil"/>
                    <w:tr2bl w:val="nil"/>
                  </w:tcBorders>
                  <w:vAlign w:val="center"/>
                </w:tcPr>
                <w:p>
                  <w:pPr>
                    <w:spacing w:line="240" w:lineRule="auto"/>
                    <w:ind w:firstLine="0" w:firstLineChars="0"/>
                    <w:jc w:val="center"/>
                    <w:rPr>
                      <w:bCs/>
                      <w:color w:val="auto"/>
                      <w:sz w:val="21"/>
                      <w:szCs w:val="21"/>
                      <w:u w:val="none"/>
                    </w:rPr>
                  </w:pPr>
                  <w:r>
                    <w:rPr>
                      <w:rFonts w:hint="eastAsia"/>
                      <w:bCs/>
                      <w:color w:val="auto"/>
                      <w:sz w:val="21"/>
                      <w:szCs w:val="21"/>
                      <w:u w:val="none"/>
                    </w:rPr>
                    <w:t>60dB(A)</w:t>
                  </w:r>
                </w:p>
              </w:tc>
              <w:tc>
                <w:tcPr>
                  <w:tcW w:w="2112" w:type="dxa"/>
                  <w:tcBorders>
                    <w:tl2br w:val="nil"/>
                    <w:tr2bl w:val="nil"/>
                  </w:tcBorders>
                  <w:vAlign w:val="center"/>
                </w:tcPr>
                <w:p>
                  <w:pPr>
                    <w:spacing w:line="240" w:lineRule="auto"/>
                    <w:ind w:firstLine="0" w:firstLineChars="0"/>
                    <w:jc w:val="center"/>
                    <w:rPr>
                      <w:bCs/>
                      <w:color w:val="auto"/>
                      <w:sz w:val="21"/>
                      <w:szCs w:val="21"/>
                      <w:u w:val="none"/>
                    </w:rPr>
                  </w:pPr>
                  <w:r>
                    <w:rPr>
                      <w:rFonts w:hint="eastAsia"/>
                      <w:bCs/>
                      <w:color w:val="auto"/>
                      <w:sz w:val="21"/>
                      <w:szCs w:val="21"/>
                      <w:u w:val="none"/>
                    </w:rPr>
                    <w:t>50dB(A)</w:t>
                  </w:r>
                </w:p>
              </w:tc>
            </w:tr>
          </w:tbl>
          <w:p>
            <w:pPr>
              <w:numPr>
                <w:ilvl w:val="0"/>
                <w:numId w:val="4"/>
              </w:numPr>
              <w:adjustRightInd w:val="0"/>
              <w:snapToGrid w:val="0"/>
              <w:spacing w:beforeLines="50" w:line="360" w:lineRule="auto"/>
              <w:ind w:firstLine="462" w:firstLineChars="200"/>
              <w:rPr>
                <w:snapToGrid w:val="0"/>
                <w:color w:val="auto"/>
                <w:kern w:val="0"/>
                <w:sz w:val="24"/>
                <w:szCs w:val="24"/>
                <w:u w:val="none"/>
              </w:rPr>
            </w:pPr>
            <w:r>
              <w:rPr>
                <w:color w:val="auto"/>
                <w:sz w:val="24"/>
                <w:szCs w:val="24"/>
                <w:u w:val="none"/>
              </w:rPr>
              <w:t>固体废物：一般固废执行《一般工业固体废物贮存、处置场污染控制标准》 （GB18599-2001）及 2013 年修改单；危险废物执行《危险废物贮存污染物控制标准》（GB18597-2001）及 2013 年修改单；生活垃圾执行《生活垃圾填埋场污染控制标准》（GB16889-2008）；污泥执行《城镇污水处理厂污染物排放标准》 （GB18918-2002）。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2" w:hRule="atLeast"/>
          <w:jc w:val="center"/>
        </w:trPr>
        <w:tc>
          <w:tcPr>
            <w:tcW w:w="596" w:type="dxa"/>
            <w:vAlign w:val="center"/>
          </w:tcPr>
          <w:p>
            <w:pPr>
              <w:rPr>
                <w:b/>
                <w:bCs/>
                <w:color w:val="auto"/>
                <w:sz w:val="24"/>
                <w:szCs w:val="24"/>
              </w:rPr>
            </w:pPr>
            <w:r>
              <w:rPr>
                <w:b/>
                <w:bCs/>
                <w:color w:val="auto"/>
                <w:sz w:val="24"/>
                <w:szCs w:val="24"/>
              </w:rPr>
              <w:t>总量控制指标</w:t>
            </w:r>
          </w:p>
        </w:tc>
        <w:tc>
          <w:tcPr>
            <w:tcW w:w="874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ascii="Times New Roman" w:hAnsi="宋体" w:eastAsia="宋体" w:cs="Times New Roman"/>
                <w:color w:val="auto"/>
                <w:sz w:val="24"/>
                <w:szCs w:val="22"/>
              </w:rPr>
            </w:pPr>
            <w:r>
              <w:rPr>
                <w:rFonts w:hint="eastAsia" w:ascii="Times New Roman" w:hAnsi="宋体" w:eastAsia="宋体" w:cs="Times New Roman"/>
                <w:color w:val="auto"/>
                <w:sz w:val="24"/>
                <w:szCs w:val="22"/>
              </w:rPr>
              <w:t>本项目属于环境保护类项目，从流域上讲是总量削减型项目，根据国家环境保护部实施污染物排放总量控制的指标要求，并结合本项目用的特点及周围环境状况，确定本项目污染物排放总量控制因子为CODcr 、NH</w:t>
            </w:r>
            <w:r>
              <w:rPr>
                <w:rFonts w:hint="eastAsia" w:ascii="Times New Roman" w:hAnsi="宋体" w:eastAsia="宋体" w:cs="Times New Roman"/>
                <w:color w:val="auto"/>
                <w:sz w:val="24"/>
                <w:szCs w:val="22"/>
                <w:vertAlign w:val="subscript"/>
              </w:rPr>
              <w:t>3</w:t>
            </w:r>
            <w:r>
              <w:rPr>
                <w:rFonts w:hint="eastAsia" w:ascii="Times New Roman" w:hAnsi="宋体" w:eastAsia="宋体" w:cs="Times New Roman"/>
                <w:color w:val="auto"/>
                <w:sz w:val="24"/>
                <w:szCs w:val="22"/>
              </w:rPr>
              <w:t>-N。</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ascii="Times New Roman" w:hAnsi="宋体" w:eastAsia="宋体" w:cs="Times New Roman"/>
                <w:color w:val="auto"/>
                <w:sz w:val="24"/>
                <w:szCs w:val="22"/>
              </w:rPr>
            </w:pPr>
            <w:r>
              <w:rPr>
                <w:rFonts w:hint="eastAsia" w:hAnsi="宋体" w:cs="Times New Roman"/>
                <w:color w:val="auto"/>
                <w:sz w:val="24"/>
                <w:szCs w:val="22"/>
                <w:lang w:eastAsia="zh-CN"/>
              </w:rPr>
              <w:t>本</w:t>
            </w:r>
            <w:r>
              <w:rPr>
                <w:rFonts w:hint="eastAsia" w:ascii="Times New Roman" w:hAnsi="宋体" w:eastAsia="宋体" w:cs="Times New Roman"/>
                <w:color w:val="auto"/>
                <w:sz w:val="24"/>
                <w:szCs w:val="22"/>
              </w:rPr>
              <w:t>项目污水厂中的废水经处理</w:t>
            </w:r>
            <w:r>
              <w:rPr>
                <w:rFonts w:hint="eastAsia" w:ascii="Times New Roman" w:hAnsi="宋体" w:eastAsia="宋体" w:cs="Times New Roman"/>
                <w:color w:val="auto"/>
                <w:sz w:val="24"/>
                <w:szCs w:val="22"/>
                <w:lang w:val="en-US" w:eastAsia="zh-CN"/>
              </w:rPr>
              <w:t>后</w:t>
            </w:r>
            <w:r>
              <w:rPr>
                <w:rFonts w:hint="eastAsia" w:ascii="Times New Roman" w:hAnsi="宋体" w:eastAsia="宋体" w:cs="Times New Roman"/>
                <w:color w:val="auto"/>
                <w:sz w:val="24"/>
                <w:szCs w:val="22"/>
              </w:rPr>
              <w:t>出水水质</w:t>
            </w:r>
            <w:r>
              <w:rPr>
                <w:rFonts w:hint="eastAsia" w:ascii="Times New Roman" w:hAnsi="宋体" w:eastAsia="宋体" w:cs="Times New Roman"/>
                <w:color w:val="auto"/>
                <w:sz w:val="24"/>
                <w:szCs w:val="22"/>
                <w:lang w:val="en-US" w:eastAsia="zh-CN"/>
              </w:rPr>
              <w:t>执行</w:t>
            </w:r>
            <w:r>
              <w:rPr>
                <w:rFonts w:hint="eastAsia" w:ascii="Times New Roman" w:hAnsi="宋体" w:eastAsia="宋体" w:cs="Times New Roman"/>
                <w:color w:val="auto"/>
                <w:sz w:val="24"/>
                <w:szCs w:val="22"/>
              </w:rPr>
              <w:t>《城镇污水处理厂污染物排放标准》（GB18918</w:t>
            </w:r>
            <w:r>
              <w:rPr>
                <w:rFonts w:hint="eastAsia" w:ascii="Times New Roman" w:hAnsi="宋体" w:eastAsia="宋体" w:cs="Times New Roman"/>
                <w:color w:val="auto"/>
                <w:sz w:val="24"/>
                <w:szCs w:val="22"/>
                <w:lang w:val="en-US" w:eastAsia="zh-CN"/>
              </w:rPr>
              <w:t>-</w:t>
            </w:r>
            <w:r>
              <w:rPr>
                <w:rFonts w:hint="eastAsia" w:ascii="Times New Roman" w:hAnsi="宋体" w:eastAsia="宋体" w:cs="Times New Roman"/>
                <w:color w:val="auto"/>
                <w:sz w:val="24"/>
                <w:szCs w:val="22"/>
              </w:rPr>
              <w:t xml:space="preserve"> 2002）一级 </w:t>
            </w:r>
            <w:r>
              <w:rPr>
                <w:rFonts w:hint="eastAsia" w:hAnsi="宋体" w:cs="Times New Roman"/>
                <w:color w:val="auto"/>
                <w:sz w:val="24"/>
                <w:szCs w:val="22"/>
                <w:lang w:val="en-US" w:eastAsia="zh-CN"/>
              </w:rPr>
              <w:t>B</w:t>
            </w:r>
            <w:r>
              <w:rPr>
                <w:rFonts w:hint="eastAsia" w:ascii="Times New Roman" w:hAnsi="宋体" w:eastAsia="宋体" w:cs="Times New Roman"/>
                <w:color w:val="auto"/>
                <w:sz w:val="24"/>
                <w:szCs w:val="22"/>
              </w:rPr>
              <w:t>标准</w:t>
            </w:r>
            <w:r>
              <w:rPr>
                <w:rFonts w:hint="eastAsia" w:hAnsi="宋体" w:cs="Times New Roman"/>
                <w:color w:val="auto"/>
                <w:sz w:val="24"/>
                <w:szCs w:val="22"/>
                <w:lang w:eastAsia="zh-CN"/>
              </w:rPr>
              <w:t>（</w:t>
            </w:r>
            <w:r>
              <w:rPr>
                <w:rFonts w:hint="eastAsia" w:hAnsi="宋体" w:cs="Times New Roman"/>
                <w:color w:val="auto"/>
                <w:sz w:val="24"/>
                <w:szCs w:val="22"/>
                <w:lang w:val="en-US" w:eastAsia="zh-CN"/>
              </w:rPr>
              <w:t>COD≤60mg/L、NH</w:t>
            </w:r>
            <w:r>
              <w:rPr>
                <w:rFonts w:hint="eastAsia" w:hAnsi="宋体" w:cs="Times New Roman"/>
                <w:color w:val="auto"/>
                <w:sz w:val="24"/>
                <w:szCs w:val="22"/>
                <w:vertAlign w:val="subscript"/>
                <w:lang w:val="en-US" w:eastAsia="zh-CN"/>
              </w:rPr>
              <w:t>3</w:t>
            </w:r>
            <w:r>
              <w:rPr>
                <w:rFonts w:hint="eastAsia" w:hAnsi="宋体" w:cs="Times New Roman"/>
                <w:color w:val="auto"/>
                <w:sz w:val="24"/>
                <w:szCs w:val="22"/>
                <w:vertAlign w:val="baseline"/>
                <w:lang w:val="en-US" w:eastAsia="zh-CN"/>
              </w:rPr>
              <w:t>-N≤8mg/L</w:t>
            </w:r>
            <w:r>
              <w:rPr>
                <w:rFonts w:hint="eastAsia" w:hAnsi="宋体" w:cs="Times New Roman"/>
                <w:color w:val="auto"/>
                <w:sz w:val="24"/>
                <w:szCs w:val="22"/>
                <w:lang w:eastAsia="zh-CN"/>
              </w:rPr>
              <w:t>）</w:t>
            </w:r>
            <w:r>
              <w:rPr>
                <w:rFonts w:hint="eastAsia" w:ascii="Times New Roman" w:hAnsi="宋体" w:eastAsia="宋体" w:cs="Times New Roman"/>
                <w:color w:val="auto"/>
                <w:sz w:val="24"/>
                <w:szCs w:val="22"/>
              </w:rPr>
              <w:t>，本项目水污染物总量指标建议指标如下：</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eastAsia="宋体"/>
                <w:color w:val="auto"/>
                <w:lang w:val="en-US" w:eastAsia="zh-CN"/>
              </w:rPr>
            </w:pPr>
            <w:r>
              <w:rPr>
                <w:rFonts w:hint="eastAsia" w:ascii="Times New Roman" w:hAnsi="宋体" w:eastAsia="宋体" w:cs="Times New Roman"/>
                <w:color w:val="auto"/>
                <w:sz w:val="24"/>
                <w:szCs w:val="22"/>
                <w:highlight w:val="none"/>
                <w:u w:val="none"/>
              </w:rPr>
              <w:t>CODcr≤</w:t>
            </w:r>
            <w:r>
              <w:rPr>
                <w:rFonts w:hint="eastAsia" w:hAnsi="宋体" w:cs="Times New Roman"/>
                <w:color w:val="auto"/>
                <w:sz w:val="24"/>
                <w:szCs w:val="22"/>
                <w:highlight w:val="none"/>
                <w:u w:val="none"/>
                <w:lang w:val="en-US" w:eastAsia="zh-CN"/>
              </w:rPr>
              <w:t>21.90</w:t>
            </w:r>
            <w:r>
              <w:rPr>
                <w:rFonts w:hint="eastAsia" w:ascii="Times New Roman" w:hAnsi="宋体" w:eastAsia="宋体" w:cs="Times New Roman"/>
                <w:color w:val="auto"/>
                <w:sz w:val="24"/>
                <w:szCs w:val="22"/>
                <w:highlight w:val="none"/>
                <w:u w:val="none"/>
              </w:rPr>
              <w:t>t/a，NH</w:t>
            </w:r>
            <w:r>
              <w:rPr>
                <w:rFonts w:hint="eastAsia" w:ascii="Times New Roman" w:hAnsi="宋体" w:eastAsia="宋体" w:cs="Times New Roman"/>
                <w:color w:val="auto"/>
                <w:sz w:val="24"/>
                <w:szCs w:val="22"/>
                <w:highlight w:val="none"/>
                <w:u w:val="none"/>
                <w:vertAlign w:val="subscript"/>
              </w:rPr>
              <w:t>3</w:t>
            </w:r>
            <w:r>
              <w:rPr>
                <w:rFonts w:hint="eastAsia" w:ascii="Times New Roman" w:hAnsi="宋体" w:eastAsia="宋体" w:cs="Times New Roman"/>
                <w:color w:val="auto"/>
                <w:sz w:val="24"/>
                <w:szCs w:val="22"/>
                <w:highlight w:val="none"/>
                <w:u w:val="none"/>
              </w:rPr>
              <w:t>-N≤</w:t>
            </w:r>
            <w:r>
              <w:rPr>
                <w:rFonts w:hint="eastAsia" w:hAnsi="宋体" w:cs="Times New Roman"/>
                <w:color w:val="auto"/>
                <w:sz w:val="24"/>
                <w:szCs w:val="22"/>
                <w:highlight w:val="none"/>
                <w:u w:val="none"/>
                <w:lang w:val="en-US" w:eastAsia="zh-CN"/>
              </w:rPr>
              <w:t>2.92</w:t>
            </w:r>
            <w:r>
              <w:rPr>
                <w:rFonts w:hint="eastAsia" w:ascii="Times New Roman" w:hAnsi="宋体" w:eastAsia="宋体" w:cs="Times New Roman"/>
                <w:color w:val="auto"/>
                <w:sz w:val="24"/>
                <w:szCs w:val="22"/>
                <w:highlight w:val="none"/>
                <w:u w:val="none"/>
              </w:rPr>
              <w:t>t/a。</w:t>
            </w:r>
          </w:p>
        </w:tc>
      </w:tr>
    </w:tbl>
    <w:p>
      <w:pPr>
        <w:snapToGrid w:val="0"/>
        <w:textAlignment w:val="baseline"/>
        <w:outlineLvl w:val="0"/>
        <w:rPr>
          <w:rFonts w:eastAsia="黑体"/>
          <w:kern w:val="24"/>
          <w:sz w:val="32"/>
        </w:rPr>
      </w:pPr>
      <w:r>
        <w:rPr>
          <w:rFonts w:eastAsia="黑体"/>
          <w:sz w:val="32"/>
        </w:rPr>
        <w:br w:type="page"/>
      </w:r>
      <w:bookmarkStart w:id="7" w:name="_Toc5885"/>
      <w:r>
        <w:rPr>
          <w:rFonts w:hint="eastAsia" w:eastAsia="黑体"/>
          <w:sz w:val="32"/>
        </w:rPr>
        <w:t>五、</w:t>
      </w:r>
      <w:r>
        <w:rPr>
          <w:rFonts w:eastAsia="黑体"/>
          <w:sz w:val="32"/>
        </w:rPr>
        <w:t>建设项目工程分析</w:t>
      </w:r>
      <w:bookmarkEnd w:id="7"/>
    </w:p>
    <w:tbl>
      <w:tblPr>
        <w:tblStyle w:val="27"/>
        <w:tblW w:w="935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Layout w:type="fixed"/>
        <w:tblCellMar>
          <w:top w:w="0" w:type="dxa"/>
          <w:left w:w="85" w:type="dxa"/>
          <w:bottom w:w="0" w:type="dxa"/>
          <w:right w:w="85"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85" w:type="dxa"/>
            <w:bottom w:w="0" w:type="dxa"/>
            <w:right w:w="85" w:type="dxa"/>
          </w:tblCellMar>
        </w:tblPrEx>
        <w:trPr>
          <w:trHeight w:val="9071" w:hRule="atLeast"/>
          <w:jc w:val="center"/>
        </w:trPr>
        <w:tc>
          <w:tcPr>
            <w:tcW w:w="9356"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bCs/>
                <w:sz w:val="28"/>
                <w:szCs w:val="28"/>
              </w:rPr>
            </w:pPr>
            <w:r>
              <w:rPr>
                <w:b/>
                <w:bCs/>
                <w:sz w:val="28"/>
                <w:szCs w:val="28"/>
              </w:rPr>
              <w:pict>
                <v:line id="_x0000_s2131" o:spid="_x0000_s2131" o:spt="20" style="position:absolute;left:0pt;margin-left:-119pt;margin-top:258.25pt;height:28.5pt;width:0.05pt;z-index:251649024;mso-width-relative:page;mso-height-relative:page;" coordsize="21600,21600" o:allowincell="f" o:gfxdata="UEsDBAoAAAAAAIdO4kAAAAAAAAAAAAAAAAAEAAAAZHJzL1BLAwQUAAAACACHTuJA+zON0t0AAAAN&#10;AQAADwAAAGRycy9kb3ducmV2LnhtbE2PQU/CQBCF7yb+h82YeINtIYVSu+VgghdQAxiit6U7to3d&#10;2aa7hfrvHU96nDcv730vX4+2FRfsfeNIQTyNQCCVzjRUKXg7biYpCB80Gd06QgXf6GFd3N7kOjPu&#10;Snu8HEIlOIR8phXUIXSZlL6s0Wo/dR0S/z5db3Xgs6+k6fWVw20rZ1G0kFY3xA217vCxxvLrMFgF&#10;+91mm562w1j2H0/xy/F19/zuU6Xu7+LoAUTAMfyZ4Ref0aFgprMbyHjRKpjM5imPCQqSeJGAYAtL&#10;yxWIM0vLeQKyyOX/FcUPUEsDBBQAAAAIAIdO4kDJAiUP6AEAAKkDAAAOAAAAZHJzL2Uyb0RvYy54&#10;bWytU0uOEzEQ3SNxB8t70klmEjGtdGYxYdggiAQcoGK7uy35J5cnnVyCCyCxgxVL9tyG4RiUnZD5&#10;IDaIXrjL5fKreq9fLy531rCtiqi9a/hkNOZMOeGldl3D37+7fvacM0zgJBjvVMP3Cvnl8umTxRBq&#10;NfW9N1JFRiAO6yE0vE8p1FWFolcWcOSDcnTY+mgh0TZ2lYwwELo11XQ8nleDjzJELxQiZVeHQ74s&#10;+G2rRHrTtqgSMw2n2VJZY1k3ea2WC6i7CKHX4jgG/MMUFrSjpieoFSRgN1H/AWW1iB59m0bC28q3&#10;rRaqcCA2k/EjNm97CKpwIXEwnGTC/wcrXm/XkWnZ8HPOHFj6RLcfv/348Pnn90+03n79ws6zSEPA&#10;mmqv3DoedxjWMTPetdHmN3FhuyLs/iSs2iUmKDk/m3EmKH82n1zMiurV3c0QMb1U3rIcNNxol0lD&#10;DdtXmKgblf4uyWnj2NDwi9k0YwJ5pjWQKLSBWKDryl30RstrbUy+gbHbXJnItpBdUJ7MiXAflOUm&#10;K8D+UFeODv7oFcgXTrK0D6SPIyPzPIJVkjOjyPc5IkCoE2hzV5miBteZv1RTe+PyJVV8euSahT5I&#10;m6ONl3v6Pjch6q4nbSZl7nxCfigMjt7Nhru/p/j+H7b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szjdLdAAAADQEAAA8AAAAAAAAAAQAgAAAAIgAAAGRycy9kb3ducmV2LnhtbFBLAQIUABQAAAAI&#10;AIdO4kDJAiUP6AEAAKkDAAAOAAAAAAAAAAEAIAAAACwBAABkcnMvZTJvRG9jLnhtbFBLBQYAAAAA&#10;BgAGAFkBAACGBQAAAAA=&#10;">
                  <v:path arrowok="t"/>
                  <v:fill focussize="0,0"/>
                  <v:stroke endarrow="block"/>
                  <v:imagedata o:title=""/>
                  <o:lock v:ext="edit"/>
                </v:line>
              </w:pict>
            </w:r>
            <w:r>
              <w:rPr>
                <w:b/>
                <w:bCs/>
                <w:sz w:val="28"/>
                <w:szCs w:val="28"/>
              </w:rPr>
              <w:pict>
                <v:line id="_x0000_s2130" o:spid="_x0000_s2130" o:spt="20" style="position:absolute;left:0pt;margin-left:-112pt;margin-top:201.25pt;height:28.5pt;width:0.05pt;z-index:251648000;mso-width-relative:page;mso-height-relative:page;" coordsize="21600,21600" o:allowincell="f" o:gfxdata="UEsDBAoAAAAAAIdO4kAAAAAAAAAAAAAAAAAEAAAAZHJzL1BLAwQUAAAACACHTuJAYKEd9N0AAAAN&#10;AQAADwAAAGRycy9kb3ducmV2LnhtbE2PwU7DMBBE70j8g7VI3Fo7oUFpiNMDUrm0ULVFCG5uvCQR&#10;sR3ZThv+nuUEx50dzbwpV5Pp2Rl96JyVkMwFMLS1051tJLwe17McWIjKatU7ixK+McCqur4qVaHd&#10;xe7xfIgNoxAbCiWhjXEoOA91i0aFuRvQ0u/TeaMinb7h2qsLhZuep0Lcc6M6Sw2tGvCxxfrrMBoJ&#10;++16k79txqn2H0/Jy3G3fX4PuZS3N4l4ABZxin9m+MUndKiI6eRGqwPrJczSdEFjooSFSDNgZCHp&#10;bgnsRFK2zIBXJf+/ovoBUEsDBBQAAAAIAIdO4kBueuEI5wEAAKkDAAAOAAAAZHJzL2Uyb0RvYy54&#10;bWytU82O0zAQviPxDpbvNG1Xjdio6R62LBcElYAHmNpOYsl/8nib9iV4ASRucOLInbdheQzGbuku&#10;IC6IHJzxePzNfF++LK/21rCdiqi9a/lsMuVMOeGldn3L3765efKUM0zgJBjvVMsPCvnV6vGj5Rga&#10;NfeDN1JFRiAOmzG0fEgpNFWFYlAWcOKDcnTY+Wgh0Tb2lYwwEro11Xw6ravRRxmiFwqRsuvjIV8V&#10;/K5TIr3qOlSJmZbTbKmssazbvFarJTR9hDBocRoD/mEKC9pR0zPUGhKw26j/gLJaRI++SxPhbeW7&#10;TgtVOBCb2fQ3Nq8HCKpwIXEwnGXC/wcrXu42kWnZ8pozB5Y+0d37L9/effz+9QOtd58/sTqLNAZs&#10;qPbabeJph2ETM+N9F21+Exe2L8IezsKqfWKCkvXFgjNB+Yt6drkoqlf3N0PE9Fx5y3LQcqNdJg0N&#10;7F5gom5U+rMkp41jY8svF/OMCeSZzkCi0AZiga4vd9EbLW+0MfkGxn57bSLbQXZBeTInwv2lLDdZ&#10;Aw7HunJ09MegQD5zkqVDIH0cGZnnEaySnBlFvs8RAUKTQJv7yhQ1uN78pZraG5cvqeLTE9cs9FHa&#10;HG29PND3uQ1R9wNpMytz5xPyQ2Fw8m423MM9xQ//sN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KEd9N0AAAANAQAADwAAAAAAAAABACAAAAAiAAAAZHJzL2Rvd25yZXYueG1sUEsBAhQAFAAAAAgA&#10;h07iQG564QjnAQAAqQMAAA4AAAAAAAAAAQAgAAAALAEAAGRycy9lMm9Eb2MueG1sUEsFBgAAAAAG&#10;AAYAWQEAAIUFAAAAAA==&#10;">
                  <v:path arrowok="t"/>
                  <v:fill focussize="0,0"/>
                  <v:stroke endarrow="block"/>
                  <v:imagedata o:title=""/>
                  <o:lock v:ext="edit"/>
                </v:line>
              </w:pict>
            </w:r>
            <w:r>
              <w:rPr>
                <w:b/>
                <w:bCs/>
                <w:sz w:val="28"/>
                <w:szCs w:val="28"/>
              </w:rPr>
              <w:pict>
                <v:line id="_x0000_s2129" o:spid="_x0000_s2129" o:spt="20" style="position:absolute;left:0pt;margin-left:-98pt;margin-top:163.25pt;height:28.5pt;width:0.05pt;z-index:251646976;mso-width-relative:page;mso-height-relative:page;" coordsize="21600,21600" o:allowincell="f" o:gfxdata="UEsDBAoAAAAAAIdO4kAAAAAAAAAAAAAAAAAEAAAAZHJzL1BLAwQUAAAACACHTuJAsH/5xt0AAAAN&#10;AQAADwAAAGRycy9kb3ducmV2LnhtbE2PwU7DMBBE70j8g7VI3FonrRKlIU4PSOXSAmqLENzceEki&#10;4nUUO234e5ZTOe7saOZNsZ5sJ844+NaRgngegUCqnGmpVvB23MwyED5oMrpzhAp+0MO6vL0pdG7c&#10;hfZ4PoRacAj5XCtoQuhzKX3VoNV+7nok/n25werA51BLM+gLh9tOLqIolVa3xA2N7vGxwer7MFoF&#10;+91mm71vx6kaPp/il+Pr7vnDZ0rd38XRA4iAU7ia4Q+f0aFkppMbyXjRKZjFq5THBAXLRZqAYAtL&#10;yQrEiaVsmYAsC/l/RfkLUEsDBBQAAAAIAIdO4kBThFrH6AEAAKsDAAAOAAAAZHJzL2Uyb0RvYy54&#10;bWytU81uEzEQviP1HSzfm01SJaKrbHpo2l4QRAIeYGJ7dy35T2M3m7wEL4DEDU4cufM2lMdg7IS0&#10;gLggcnDGnpnP833+dnG1s4ZtFUbtXcMnozFnygkvtesa/vbN7flzzmICJ8F4pxq+V5FfLc+eLYZQ&#10;q6nvvZEKGYG4WA+h4X1Koa6qKHplIY58UI6SrUcLibbYVRJhIHRrqul4PK8GjzKgFypGOl0dknxZ&#10;8NtWifSqbaNKzDScZktlxbJu8lotF1B3CKHX4jgG/MMUFrSjS09QK0jA7lH/AWW1QB99m0bC28q3&#10;rRaqcCA2k/FvbF73EFThQuLEcJIp/j9Y8XK7RqYlvd2MMweW3ujh/Zdv7z5+//qB1ofPnxhlSKYh&#10;xJqqr90aj7sY1pg571q0+Z/YsF2Rdn+SVu0SE3Q4vyB4QecX88nlrOhePXYGjOlOecty0HCjXaYN&#10;NWxfxES3UenPknxsHBsafjmbZkwg17QGEoU2EI/outIbvdHyVhuTOyJ2m2uDbAvZB+WXORHuL2X5&#10;khXE/lBXUgeH9ArkjZMs7QMJ5MjKPI9gleTMKHJ+jggQ6gTaPFYm1OA685dqut643KSKU49cs9AH&#10;aXO08XJPL3QfUHc9aTMpc+cMOaIwOLo3W+7pnuKn39jy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B/+cbdAAAADQEAAA8AAAAAAAAAAQAgAAAAIgAAAGRycy9kb3ducmV2LnhtbFBLAQIUABQAAAAI&#10;AIdO4kBThFrH6AEAAKsDAAAOAAAAAAAAAAEAIAAAACwBAABkcnMvZTJvRG9jLnhtbFBLBQYAAAAA&#10;BgAGAFkBAACGBQAAAAA=&#10;">
                  <v:path arrowok="t"/>
                  <v:fill focussize="0,0"/>
                  <v:stroke endarrow="block"/>
                  <v:imagedata o:title=""/>
                  <o:lock v:ext="edit"/>
                </v:line>
              </w:pict>
            </w:r>
            <w:r>
              <w:rPr>
                <w:rFonts w:hint="eastAsia"/>
                <w:b/>
                <w:bCs/>
                <w:sz w:val="28"/>
                <w:szCs w:val="28"/>
              </w:rPr>
              <w:t>5.1</w:t>
            </w:r>
            <w:r>
              <w:rPr>
                <w:b/>
                <w:bCs/>
                <w:sz w:val="28"/>
                <w:szCs w:val="28"/>
              </w:rPr>
              <w:t>工艺流程及产污节点：</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sz w:val="24"/>
                <w:szCs w:val="24"/>
              </w:rPr>
            </w:pPr>
            <w:r>
              <w:rPr>
                <w:rFonts w:hint="eastAsia"/>
                <w:sz w:val="24"/>
                <w:szCs w:val="24"/>
              </w:rPr>
              <w:t xml:space="preserve">5.1.1 </w:t>
            </w:r>
            <w:r>
              <w:rPr>
                <w:sz w:val="24"/>
                <w:szCs w:val="24"/>
              </w:rPr>
              <w:t>施工期</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jc w:val="left"/>
              <w:textAlignment w:val="auto"/>
              <w:rPr>
                <w:rFonts w:hint="default"/>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default"/>
                <w:sz w:val="24"/>
                <w:szCs w:val="24"/>
              </w:rPr>
              <w:t>本项目</w:t>
            </w:r>
            <w:r>
              <w:rPr>
                <w:rFonts w:hint="default"/>
                <w:sz w:val="24"/>
                <w:szCs w:val="24"/>
                <w:lang w:val="en-US" w:eastAsia="zh-CN"/>
              </w:rPr>
              <w:t>污水处理厂施工期工艺流程</w:t>
            </w:r>
            <w:r>
              <w:rPr>
                <w:rFonts w:hint="eastAsia"/>
                <w:sz w:val="24"/>
                <w:szCs w:val="24"/>
                <w:lang w:val="en-US" w:eastAsia="zh-CN"/>
              </w:rPr>
              <w:t>及产污节点</w:t>
            </w:r>
            <w:r>
              <w:rPr>
                <w:rFonts w:hint="default"/>
                <w:sz w:val="24"/>
                <w:szCs w:val="24"/>
                <w:lang w:val="en-US" w:eastAsia="zh-CN"/>
              </w:rPr>
              <w:t>见图 5-1。</w:t>
            </w:r>
          </w:p>
          <w:p>
            <w:pPr>
              <w:keepNext w:val="0"/>
              <w:keepLines w:val="0"/>
              <w:pageBreakBefore w:val="0"/>
              <w:widowControl w:val="0"/>
              <w:kinsoku/>
              <w:wordWrap/>
              <w:overflowPunct/>
              <w:topLinePunct w:val="0"/>
              <w:bidi w:val="0"/>
              <w:adjustRightInd w:val="0"/>
              <w:snapToGrid w:val="0"/>
              <w:spacing w:line="360" w:lineRule="auto"/>
              <w:jc w:val="center"/>
              <w:textAlignment w:val="auto"/>
            </w:pPr>
            <w:r>
              <w:drawing>
                <wp:inline distT="0" distB="0" distL="114300" distR="114300">
                  <wp:extent cx="5530215" cy="2150110"/>
                  <wp:effectExtent l="0" t="0" r="13335" b="2540"/>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12" cstate="print"/>
                          <a:stretch>
                            <a:fillRect/>
                          </a:stretch>
                        </pic:blipFill>
                        <pic:spPr>
                          <a:xfrm>
                            <a:off x="0" y="0"/>
                            <a:ext cx="5530215" cy="2150110"/>
                          </a:xfrm>
                          <a:prstGeom prst="rect">
                            <a:avLst/>
                          </a:prstGeom>
                          <a:noFill/>
                          <a:ln>
                            <a:noFill/>
                          </a:ln>
                        </pic:spPr>
                      </pic:pic>
                    </a:graphicData>
                  </a:graphic>
                </wp:inline>
              </w:drawing>
            </w:r>
          </w:p>
          <w:p>
            <w:pPr>
              <w:pStyle w:val="12"/>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b/>
                <w:bCs/>
              </w:rPr>
            </w:pPr>
            <w:r>
              <w:rPr>
                <w:rFonts w:hint="default" w:ascii="Times New Roman" w:hAnsi="Times New Roman" w:cs="Times New Roman"/>
                <w:b/>
                <w:bCs/>
              </w:rPr>
              <w:t>图5-1  厂区建设施工期工艺流程及产污环节</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sz w:val="24"/>
                <w:szCs w:val="24"/>
              </w:rPr>
            </w:pPr>
            <w:r>
              <w:rPr>
                <w:rFonts w:hint="eastAsia"/>
                <w:sz w:val="24"/>
                <w:szCs w:val="24"/>
              </w:rPr>
              <w:t xml:space="preserve">施工进场后，先开挖池体、水沟等基坑，然后对进行相应构筑物的结构施工，然后回填土方，对场地进行二次平整并进行地面硬化，再安装各项设备，最后修建围墙、种植绿化及建设配套工程，完工后投产运行。 </w:t>
            </w:r>
          </w:p>
          <w:p>
            <w:pPr>
              <w:keepNext w:val="0"/>
              <w:keepLines w:val="0"/>
              <w:pageBreakBefore w:val="0"/>
              <w:widowControl w:val="0"/>
              <w:kinsoku/>
              <w:wordWrap/>
              <w:overflowPunct/>
              <w:topLinePunct w:val="0"/>
              <w:bidi w:val="0"/>
              <w:adjustRightInd w:val="0"/>
              <w:snapToGrid w:val="0"/>
              <w:spacing w:line="360" w:lineRule="auto"/>
              <w:ind w:firstLine="462" w:firstLineChars="200"/>
              <w:textAlignment w:val="auto"/>
              <w:rPr>
                <w:rFonts w:hint="eastAsia"/>
                <w:sz w:val="24"/>
                <w:szCs w:val="24"/>
              </w:rPr>
            </w:pPr>
            <w:r>
              <w:rPr>
                <w:rFonts w:hint="eastAsia"/>
                <w:sz w:val="24"/>
                <w:szCs w:val="24"/>
                <w:lang w:val="en-US" w:eastAsia="zh-CN"/>
              </w:rPr>
              <w:t>（2）管线施工</w:t>
            </w:r>
            <w:r>
              <w:rPr>
                <w:rFonts w:hint="eastAsia"/>
                <w:sz w:val="24"/>
                <w:szCs w:val="24"/>
              </w:rPr>
              <w:t>工艺流程</w:t>
            </w:r>
            <w:r>
              <w:rPr>
                <w:rFonts w:hint="eastAsia"/>
                <w:sz w:val="24"/>
                <w:szCs w:val="24"/>
                <w:lang w:val="en-US" w:eastAsia="zh-CN"/>
              </w:rPr>
              <w:t>及产污节点</w:t>
            </w:r>
            <w:r>
              <w:rPr>
                <w:rFonts w:hint="default"/>
                <w:sz w:val="24"/>
                <w:szCs w:val="24"/>
                <w:lang w:val="en-US" w:eastAsia="zh-CN"/>
              </w:rPr>
              <w:t>见图 5-</w:t>
            </w:r>
            <w:r>
              <w:rPr>
                <w:rFonts w:hint="eastAsia"/>
                <w:sz w:val="24"/>
                <w:szCs w:val="24"/>
                <w:lang w:val="en-US" w:eastAsia="zh-CN"/>
              </w:rPr>
              <w:t>2。</w:t>
            </w:r>
          </w:p>
          <w:p>
            <w:pPr>
              <w:pStyle w:val="12"/>
              <w:keepNext w:val="0"/>
              <w:keepLines w:val="0"/>
              <w:pageBreakBefore w:val="0"/>
              <w:widowControl w:val="0"/>
              <w:kinsoku/>
              <w:wordWrap/>
              <w:overflowPunct/>
              <w:topLinePunct w:val="0"/>
              <w:bidi w:val="0"/>
              <w:adjustRightInd w:val="0"/>
              <w:snapToGrid w:val="0"/>
              <w:jc w:val="center"/>
              <w:textAlignment w:val="auto"/>
            </w:pPr>
            <w:r>
              <w:drawing>
                <wp:inline distT="0" distB="0" distL="114300" distR="114300">
                  <wp:extent cx="5833110" cy="1746250"/>
                  <wp:effectExtent l="0" t="0" r="15240" b="6350"/>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pic:cNvPicPr>
                            <a:picLocks noChangeAspect="1"/>
                          </pic:cNvPicPr>
                        </pic:nvPicPr>
                        <pic:blipFill>
                          <a:blip r:embed="rId13" cstate="print"/>
                          <a:stretch>
                            <a:fillRect/>
                          </a:stretch>
                        </pic:blipFill>
                        <pic:spPr>
                          <a:xfrm>
                            <a:off x="0" y="0"/>
                            <a:ext cx="5833110" cy="1746250"/>
                          </a:xfrm>
                          <a:prstGeom prst="rect">
                            <a:avLst/>
                          </a:prstGeom>
                          <a:noFill/>
                          <a:ln>
                            <a:noFill/>
                          </a:ln>
                        </pic:spPr>
                      </pic:pic>
                    </a:graphicData>
                  </a:graphic>
                </wp:inline>
              </w:drawing>
            </w:r>
          </w:p>
          <w:p>
            <w:pPr>
              <w:pStyle w:val="12"/>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cs="Times New Roman"/>
                <w:b/>
                <w:bCs/>
              </w:rPr>
            </w:pPr>
            <w:r>
              <w:rPr>
                <w:rFonts w:hint="default" w:ascii="Times New Roman" w:hAnsi="Times New Roman" w:cs="Times New Roman"/>
                <w:b/>
                <w:bCs/>
              </w:rPr>
              <w:t>图5-2  管网工程施工工艺流程及产污节点</w:t>
            </w:r>
          </w:p>
          <w:p>
            <w:pPr>
              <w:keepNext w:val="0"/>
              <w:keepLines w:val="0"/>
              <w:pageBreakBefore w:val="0"/>
              <w:widowControl w:val="0"/>
              <w:kinsoku/>
              <w:wordWrap/>
              <w:overflowPunct/>
              <w:topLinePunct w:val="0"/>
              <w:autoSpaceDE/>
              <w:autoSpaceDN/>
              <w:bidi w:val="0"/>
              <w:adjustRightInd w:val="0"/>
              <w:snapToGrid w:val="0"/>
              <w:spacing w:line="460" w:lineRule="exact"/>
              <w:ind w:firstLine="462" w:firstLineChars="200"/>
              <w:textAlignment w:val="auto"/>
              <w:rPr>
                <w:sz w:val="24"/>
                <w:szCs w:val="24"/>
              </w:rPr>
            </w:pPr>
            <w:r>
              <w:rPr>
                <w:rFonts w:hint="eastAsia"/>
                <w:sz w:val="24"/>
                <w:szCs w:val="24"/>
                <w:lang w:val="en-US" w:eastAsia="zh-CN"/>
              </w:rPr>
              <w:t>项目污水处理厂近期配套2096m截污干管管网，管网沿路铺设，项目主要采用沟槽开挖施工工艺，穿越道路采用顶管施工，设置涵管；管道穿越河流时采用倒虹管方式。</w:t>
            </w:r>
            <w:r>
              <w:rPr>
                <w:rFonts w:hint="eastAsia"/>
                <w:sz w:val="24"/>
                <w:szCs w:val="24"/>
              </w:rPr>
              <w:t>施工时按照先干后支的原则分段、分批进行流水作业。施工人员、设备及材料按施工段划分统筹安排进出。总体上施工时先使用机械开挖管沟，开挖深度小于</w:t>
            </w:r>
            <w:r>
              <w:rPr>
                <w:sz w:val="24"/>
                <w:szCs w:val="24"/>
              </w:rPr>
              <w:t>1.5</w:t>
            </w:r>
            <w:r>
              <w:rPr>
                <w:rFonts w:hint="eastAsia"/>
                <w:sz w:val="24"/>
                <w:szCs w:val="24"/>
              </w:rPr>
              <w:t>米，然后下放管道并对接，管网整体对接完成后进水测试，测试合格后回填土方，再修复原有地面，完工后投产运行。</w:t>
            </w:r>
          </w:p>
          <w:p>
            <w:pPr>
              <w:keepNext w:val="0"/>
              <w:keepLines w:val="0"/>
              <w:pageBreakBefore w:val="0"/>
              <w:widowControl w:val="0"/>
              <w:kinsoku/>
              <w:wordWrap/>
              <w:overflowPunct/>
              <w:topLinePunct w:val="0"/>
              <w:autoSpaceDE/>
              <w:autoSpaceDN/>
              <w:bidi w:val="0"/>
              <w:adjustRightInd w:val="0"/>
              <w:snapToGrid w:val="0"/>
              <w:spacing w:line="460" w:lineRule="exact"/>
              <w:ind w:firstLine="462" w:firstLineChars="200"/>
              <w:textAlignment w:val="auto"/>
              <w:rPr>
                <w:sz w:val="24"/>
                <w:szCs w:val="24"/>
              </w:rPr>
            </w:pPr>
            <w:r>
              <w:rPr>
                <w:rFonts w:hint="eastAsia"/>
                <w:sz w:val="24"/>
                <w:szCs w:val="24"/>
              </w:rPr>
              <w:t>5.1.2 运营</w:t>
            </w:r>
            <w:r>
              <w:rPr>
                <w:sz w:val="24"/>
                <w:szCs w:val="24"/>
              </w:rPr>
              <w:t>期</w:t>
            </w:r>
          </w:p>
          <w:p>
            <w:pPr>
              <w:keepNext w:val="0"/>
              <w:keepLines w:val="0"/>
              <w:pageBreakBefore w:val="0"/>
              <w:widowControl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b/>
                <w:bCs/>
              </w:rPr>
            </w:pPr>
            <w:r>
              <w:rPr>
                <w:rFonts w:hint="eastAsia"/>
                <w:sz w:val="24"/>
                <w:szCs w:val="24"/>
                <w:lang w:val="en-US" w:eastAsia="zh-CN"/>
              </w:rPr>
              <w:t>本项目营运期工艺流程及产污环节如图5-3所示。</w:t>
            </w:r>
          </w:p>
          <w:p>
            <w:pPr>
              <w:pStyle w:val="12"/>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object>
                <v:shape id="_x0000_i1025" o:spt="75" type="#_x0000_t75" style="height:440.25pt;width:445.5pt;" o:ole="t" filled="f" o:preferrelative="t" stroked="f" coordsize="21600,21600">
                  <v:path/>
                  <v:fill on="f" focussize="0,0"/>
                  <v:stroke on="f"/>
                  <v:imagedata r:id="rId15" o:title=""/>
                  <o:lock v:ext="edit" aspectratio="t"/>
                  <w10:wrap type="none"/>
                  <w10:anchorlock/>
                </v:shape>
                <o:OLEObject Type="Embed" ProgID="Visio.Drawing.11" ShapeID="_x0000_i1025" DrawAspect="Content" ObjectID="_1468075725" r:id="rId14">
                  <o:LockedField>false</o:LockedField>
                </o:OLEObject>
              </w:object>
            </w:r>
          </w:p>
          <w:p>
            <w:pPr>
              <w:pStyle w:val="12"/>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b/>
                <w:bCs/>
              </w:rPr>
            </w:pPr>
            <w:r>
              <w:rPr>
                <w:rFonts w:hint="default" w:ascii="Times New Roman" w:hAnsi="Times New Roman" w:cs="Times New Roman"/>
                <w:b/>
                <w:bCs/>
              </w:rPr>
              <w:t>图5-3  运营期废水处理工艺流程及产污环节</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sz w:val="24"/>
                <w:szCs w:val="24"/>
                <w:lang w:val="en-US" w:eastAsia="zh-CN"/>
              </w:rPr>
            </w:pPr>
            <w:r>
              <w:rPr>
                <w:rFonts w:hint="default"/>
                <w:sz w:val="24"/>
                <w:szCs w:val="24"/>
                <w:lang w:val="en-US" w:eastAsia="zh-CN"/>
              </w:rPr>
              <w:t>工艺流程</w:t>
            </w:r>
            <w:r>
              <w:rPr>
                <w:rFonts w:hint="eastAsia"/>
                <w:sz w:val="24"/>
                <w:szCs w:val="24"/>
                <w:lang w:val="en-US" w:eastAsia="zh-CN"/>
              </w:rPr>
              <w:t>简述</w:t>
            </w:r>
            <w:r>
              <w:rPr>
                <w:rFonts w:hint="default"/>
                <w:sz w:val="24"/>
                <w:szCs w:val="24"/>
                <w:lang w:val="en-US" w:eastAsia="zh-CN"/>
              </w:rPr>
              <w:t>：进水→组合池（含格栅渠、集水池、调节池及储泥池）→提升→AO+生物膜法一体化污水处理设备→消毒设备→排放</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sz w:val="24"/>
                <w:szCs w:val="24"/>
                <w:lang w:val="en-US" w:eastAsia="zh-CN"/>
              </w:rPr>
            </w:pPr>
            <w:r>
              <w:rPr>
                <w:rFonts w:hint="default"/>
                <w:sz w:val="24"/>
                <w:szCs w:val="24"/>
                <w:lang w:val="en-US" w:eastAsia="zh-CN"/>
              </w:rPr>
              <w:t>本项目建设完成后，</w:t>
            </w:r>
            <w:r>
              <w:rPr>
                <w:rFonts w:hint="eastAsia"/>
                <w:sz w:val="24"/>
                <w:szCs w:val="24"/>
                <w:lang w:val="en-US" w:eastAsia="zh-CN"/>
              </w:rPr>
              <w:t>污水</w:t>
            </w:r>
            <w:r>
              <w:rPr>
                <w:rFonts w:hint="default"/>
                <w:sz w:val="24"/>
                <w:szCs w:val="24"/>
                <w:lang w:val="en-US" w:eastAsia="zh-CN"/>
              </w:rPr>
              <w:t>经污水管网收集后进入格栅渠，通过机械格栅截流污水中的较大颗粒物。污水进入调节池，调节池起到调节池对污水进行水量和水质的调节和均化；调节池出水提升至 AO+生物膜法一体化设备的兼氧功能区；污水经兼氧功能区进入好氧反应、固液分离、消毒后，达标出水。好氧区生化后端的硝酸盐溶液在内循环泵的作用下回流至兼氧反硝化区， 强化脱氮及部分除磷功能；污水进入固液分离区后，经化学加药微絮凝沉淀后，水中SS和TP 得到有效降低，固液分离区沉积的污泥由排泥泵抽走排至污泥储池，污泥储池中的污泥传输至污泥储泥池进行脱水处理并外运；消毒后总出水可达到相应的出水标准。</w:t>
            </w:r>
          </w:p>
          <w:p>
            <w:pPr>
              <w:keepNext w:val="0"/>
              <w:keepLines w:val="0"/>
              <w:pageBreakBefore w:val="0"/>
              <w:widowControl w:val="0"/>
              <w:kinsoku/>
              <w:wordWrap/>
              <w:overflowPunct/>
              <w:topLinePunct w:val="0"/>
              <w:bidi w:val="0"/>
              <w:adjustRightInd w:val="0"/>
              <w:snapToGrid w:val="0"/>
              <w:spacing w:line="360" w:lineRule="auto"/>
              <w:textAlignment w:val="auto"/>
              <w:rPr>
                <w:b/>
                <w:bCs/>
                <w:sz w:val="28"/>
                <w:szCs w:val="28"/>
              </w:rPr>
            </w:pPr>
            <w:r>
              <w:rPr>
                <w:rFonts w:hint="eastAsia"/>
                <w:b/>
                <w:bCs/>
                <w:sz w:val="28"/>
                <w:szCs w:val="28"/>
              </w:rPr>
              <w:t>5.2</w:t>
            </w:r>
            <w:r>
              <w:rPr>
                <w:rFonts w:hint="eastAsia"/>
                <w:b/>
                <w:bCs/>
                <w:sz w:val="28"/>
                <w:szCs w:val="28"/>
                <w:lang w:eastAsia="zh-CN"/>
              </w:rPr>
              <w:t>污染源</w:t>
            </w:r>
            <w:r>
              <w:rPr>
                <w:rFonts w:hint="eastAsia"/>
                <w:b/>
                <w:bCs/>
                <w:sz w:val="28"/>
                <w:szCs w:val="28"/>
              </w:rPr>
              <w:t>分析</w:t>
            </w:r>
          </w:p>
          <w:p>
            <w:pPr>
              <w:keepNext w:val="0"/>
              <w:keepLines w:val="0"/>
              <w:pageBreakBefore w:val="0"/>
              <w:widowControl w:val="0"/>
              <w:kinsoku/>
              <w:wordWrap/>
              <w:overflowPunct/>
              <w:topLinePunct w:val="0"/>
              <w:bidi w:val="0"/>
              <w:adjustRightInd w:val="0"/>
              <w:snapToGrid w:val="0"/>
              <w:spacing w:line="360" w:lineRule="auto"/>
              <w:ind w:firstLine="462" w:firstLineChars="200"/>
              <w:textAlignment w:val="auto"/>
              <w:rPr>
                <w:sz w:val="24"/>
                <w:szCs w:val="24"/>
              </w:rPr>
            </w:pPr>
            <w:r>
              <w:rPr>
                <w:rFonts w:hint="eastAsia"/>
                <w:sz w:val="24"/>
                <w:szCs w:val="24"/>
              </w:rPr>
              <w:t>5.2.1 施工期</w:t>
            </w:r>
          </w:p>
          <w:p>
            <w:pPr>
              <w:keepNext w:val="0"/>
              <w:keepLines w:val="0"/>
              <w:pageBreakBefore w:val="0"/>
              <w:widowControl w:val="0"/>
              <w:kinsoku/>
              <w:wordWrap/>
              <w:overflowPunct/>
              <w:topLinePunct w:val="0"/>
              <w:bidi w:val="0"/>
              <w:adjustRightInd w:val="0"/>
              <w:snapToGrid w:val="0"/>
              <w:spacing w:line="360" w:lineRule="auto"/>
              <w:ind w:firstLine="462" w:firstLineChars="200"/>
              <w:jc w:val="left"/>
              <w:textAlignment w:val="auto"/>
              <w:rPr>
                <w:sz w:val="24"/>
                <w:szCs w:val="24"/>
              </w:rPr>
            </w:pPr>
            <w:r>
              <w:rPr>
                <w:sz w:val="24"/>
                <w:szCs w:val="24"/>
              </w:rPr>
              <w:t>（1）废气</w:t>
            </w:r>
          </w:p>
          <w:p>
            <w:pPr>
              <w:keepNext w:val="0"/>
              <w:keepLines w:val="0"/>
              <w:pageBreakBefore w:val="0"/>
              <w:widowControl w:val="0"/>
              <w:kinsoku/>
              <w:wordWrap/>
              <w:overflowPunct/>
              <w:topLinePunct w:val="0"/>
              <w:bidi w:val="0"/>
              <w:adjustRightInd w:val="0"/>
              <w:snapToGrid w:val="0"/>
              <w:spacing w:line="360" w:lineRule="auto"/>
              <w:ind w:firstLine="462" w:firstLineChars="200"/>
              <w:jc w:val="left"/>
              <w:textAlignment w:val="auto"/>
              <w:rPr>
                <w:sz w:val="24"/>
                <w:szCs w:val="24"/>
              </w:rPr>
            </w:pPr>
            <w:r>
              <w:rPr>
                <w:sz w:val="24"/>
                <w:szCs w:val="24"/>
              </w:rPr>
              <w:t>施工阶段，机动车辆运输建筑原材料、施工设备及器材等会产生汽车尾气，机械设备会产生少量的燃油废气，主要污染物是HC、CO、NOx等；车辆运行、装卸建筑材料时将产生扬尘，扬尘主要通过洒水来控制；</w:t>
            </w:r>
            <w:r>
              <w:rPr>
                <w:rFonts w:hint="eastAsia"/>
                <w:sz w:val="24"/>
                <w:szCs w:val="24"/>
              </w:rPr>
              <w:t>基础建设</w:t>
            </w:r>
            <w:r>
              <w:rPr>
                <w:sz w:val="24"/>
                <w:szCs w:val="24"/>
              </w:rPr>
              <w:t>结束后进行装修，装饰材料有挥发性气体挥发散逸。</w:t>
            </w:r>
          </w:p>
          <w:p>
            <w:pPr>
              <w:keepNext w:val="0"/>
              <w:keepLines w:val="0"/>
              <w:pageBreakBefore w:val="0"/>
              <w:widowControl w:val="0"/>
              <w:kinsoku/>
              <w:wordWrap/>
              <w:overflowPunct/>
              <w:topLinePunct w:val="0"/>
              <w:bidi w:val="0"/>
              <w:adjustRightInd w:val="0"/>
              <w:snapToGrid w:val="0"/>
              <w:ind w:left="1" w:firstLine="480"/>
              <w:jc w:val="center"/>
              <w:textAlignment w:val="auto"/>
              <w:rPr>
                <w:rFonts w:hint="default" w:ascii="Times New Roman" w:hAnsi="Times New Roman" w:cs="Times New Roman"/>
                <w:b/>
                <w:bCs/>
              </w:rPr>
            </w:pPr>
            <w:r>
              <w:rPr>
                <w:rFonts w:hint="default" w:ascii="Times New Roman" w:hAnsi="Times New Roman" w:cs="Times New Roman"/>
                <w:b/>
                <w:bCs/>
              </w:rPr>
              <w:t>表5-1   施工期大气污染源及污染物</w:t>
            </w:r>
          </w:p>
          <w:tbl>
            <w:tblPr>
              <w:tblStyle w:val="27"/>
              <w:tblW w:w="91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3197"/>
              <w:gridCol w:w="2186"/>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63" w:type="dxa"/>
                  <w:tcBorders>
                    <w:tl2br w:val="nil"/>
                    <w:tr2bl w:val="nil"/>
                  </w:tcBorders>
                </w:tcPr>
                <w:p>
                  <w:pPr>
                    <w:keepNext w:val="0"/>
                    <w:keepLines w:val="0"/>
                    <w:pageBreakBefore w:val="0"/>
                    <w:widowControl w:val="0"/>
                    <w:kinsoku/>
                    <w:wordWrap/>
                    <w:overflowPunct/>
                    <w:topLinePunct w:val="0"/>
                    <w:bidi w:val="0"/>
                    <w:adjustRightInd w:val="0"/>
                    <w:snapToGrid w:val="0"/>
                    <w:jc w:val="center"/>
                    <w:textAlignment w:val="auto"/>
                  </w:pPr>
                  <w:r>
                    <w:t>序号</w:t>
                  </w:r>
                </w:p>
              </w:tc>
              <w:tc>
                <w:tcPr>
                  <w:tcW w:w="3197" w:type="dxa"/>
                  <w:tcBorders>
                    <w:tl2br w:val="nil"/>
                    <w:tr2bl w:val="nil"/>
                  </w:tcBorders>
                </w:tcPr>
                <w:p>
                  <w:pPr>
                    <w:keepNext w:val="0"/>
                    <w:keepLines w:val="0"/>
                    <w:pageBreakBefore w:val="0"/>
                    <w:widowControl w:val="0"/>
                    <w:kinsoku/>
                    <w:wordWrap/>
                    <w:overflowPunct/>
                    <w:topLinePunct w:val="0"/>
                    <w:bidi w:val="0"/>
                    <w:adjustRightInd w:val="0"/>
                    <w:snapToGrid w:val="0"/>
                    <w:jc w:val="center"/>
                    <w:textAlignment w:val="auto"/>
                  </w:pPr>
                  <w:r>
                    <w:t>产生原因</w:t>
                  </w:r>
                </w:p>
              </w:tc>
              <w:tc>
                <w:tcPr>
                  <w:tcW w:w="2186" w:type="dxa"/>
                  <w:tcBorders>
                    <w:tl2br w:val="nil"/>
                    <w:tr2bl w:val="nil"/>
                  </w:tcBorders>
                </w:tcPr>
                <w:p>
                  <w:pPr>
                    <w:keepNext w:val="0"/>
                    <w:keepLines w:val="0"/>
                    <w:pageBreakBefore w:val="0"/>
                    <w:widowControl w:val="0"/>
                    <w:kinsoku/>
                    <w:wordWrap/>
                    <w:overflowPunct/>
                    <w:topLinePunct w:val="0"/>
                    <w:bidi w:val="0"/>
                    <w:adjustRightInd w:val="0"/>
                    <w:snapToGrid w:val="0"/>
                    <w:jc w:val="center"/>
                    <w:textAlignment w:val="auto"/>
                  </w:pPr>
                  <w:r>
                    <w:t>产生地点</w:t>
                  </w:r>
                </w:p>
              </w:tc>
              <w:tc>
                <w:tcPr>
                  <w:tcW w:w="2410" w:type="dxa"/>
                  <w:tcBorders>
                    <w:tl2br w:val="nil"/>
                    <w:tr2bl w:val="nil"/>
                  </w:tcBorders>
                </w:tcPr>
                <w:p>
                  <w:pPr>
                    <w:keepNext w:val="0"/>
                    <w:keepLines w:val="0"/>
                    <w:pageBreakBefore w:val="0"/>
                    <w:widowControl w:val="0"/>
                    <w:kinsoku/>
                    <w:wordWrap/>
                    <w:overflowPunct/>
                    <w:topLinePunct w:val="0"/>
                    <w:bidi w:val="0"/>
                    <w:adjustRightInd w:val="0"/>
                    <w:snapToGrid w:val="0"/>
                    <w:jc w:val="center"/>
                    <w:textAlignment w:val="auto"/>
                  </w:pPr>
                  <w:r>
                    <w:t>污染物名称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63" w:type="dxa"/>
                  <w:tcBorders>
                    <w:tl2br w:val="nil"/>
                    <w:tr2bl w:val="nil"/>
                  </w:tcBorders>
                </w:tcPr>
                <w:p>
                  <w:pPr>
                    <w:keepNext w:val="0"/>
                    <w:keepLines w:val="0"/>
                    <w:pageBreakBefore w:val="0"/>
                    <w:widowControl w:val="0"/>
                    <w:kinsoku/>
                    <w:wordWrap/>
                    <w:overflowPunct/>
                    <w:topLinePunct w:val="0"/>
                    <w:bidi w:val="0"/>
                    <w:adjustRightInd w:val="0"/>
                    <w:snapToGrid w:val="0"/>
                    <w:jc w:val="center"/>
                    <w:textAlignment w:val="auto"/>
                  </w:pPr>
                  <w:r>
                    <w:t>1</w:t>
                  </w:r>
                </w:p>
              </w:tc>
              <w:tc>
                <w:tcPr>
                  <w:tcW w:w="3197" w:type="dxa"/>
                  <w:tcBorders>
                    <w:tl2br w:val="nil"/>
                    <w:tr2bl w:val="nil"/>
                  </w:tcBorders>
                </w:tcPr>
                <w:p>
                  <w:pPr>
                    <w:keepNext w:val="0"/>
                    <w:keepLines w:val="0"/>
                    <w:pageBreakBefore w:val="0"/>
                    <w:widowControl w:val="0"/>
                    <w:kinsoku/>
                    <w:wordWrap/>
                    <w:overflowPunct/>
                    <w:topLinePunct w:val="0"/>
                    <w:bidi w:val="0"/>
                    <w:adjustRightInd w:val="0"/>
                    <w:snapToGrid w:val="0"/>
                    <w:jc w:val="center"/>
                    <w:textAlignment w:val="auto"/>
                  </w:pPr>
                  <w:r>
                    <w:t>工程机械及运输车辆</w:t>
                  </w:r>
                  <w:r>
                    <w:rPr>
                      <w:rFonts w:hint="eastAsia"/>
                    </w:rPr>
                    <w:t>的运行</w:t>
                  </w:r>
                </w:p>
              </w:tc>
              <w:tc>
                <w:tcPr>
                  <w:tcW w:w="2186" w:type="dxa"/>
                  <w:tcBorders>
                    <w:tl2br w:val="nil"/>
                    <w:tr2bl w:val="nil"/>
                  </w:tcBorders>
                </w:tcPr>
                <w:p>
                  <w:pPr>
                    <w:keepNext w:val="0"/>
                    <w:keepLines w:val="0"/>
                    <w:pageBreakBefore w:val="0"/>
                    <w:widowControl w:val="0"/>
                    <w:kinsoku/>
                    <w:wordWrap/>
                    <w:overflowPunct/>
                    <w:topLinePunct w:val="0"/>
                    <w:bidi w:val="0"/>
                    <w:adjustRightInd w:val="0"/>
                    <w:snapToGrid w:val="0"/>
                    <w:jc w:val="center"/>
                    <w:textAlignment w:val="auto"/>
                  </w:pPr>
                  <w:r>
                    <w:t>场区内、道路沿线</w:t>
                  </w:r>
                </w:p>
              </w:tc>
              <w:tc>
                <w:tcPr>
                  <w:tcW w:w="2410" w:type="dxa"/>
                  <w:tcBorders>
                    <w:tl2br w:val="nil"/>
                    <w:tr2bl w:val="nil"/>
                  </w:tcBorders>
                </w:tcPr>
                <w:p>
                  <w:pPr>
                    <w:keepNext w:val="0"/>
                    <w:keepLines w:val="0"/>
                    <w:pageBreakBefore w:val="0"/>
                    <w:widowControl w:val="0"/>
                    <w:kinsoku/>
                    <w:wordWrap/>
                    <w:overflowPunct/>
                    <w:topLinePunct w:val="0"/>
                    <w:bidi w:val="0"/>
                    <w:adjustRightInd w:val="0"/>
                    <w:snapToGrid w:val="0"/>
                    <w:jc w:val="center"/>
                    <w:textAlignment w:val="auto"/>
                  </w:pPr>
                  <w:r>
                    <w:t>扬尘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363" w:type="dxa"/>
                  <w:tcBorders>
                    <w:tl2br w:val="nil"/>
                    <w:tr2bl w:val="nil"/>
                  </w:tcBorders>
                </w:tcPr>
                <w:p>
                  <w:pPr>
                    <w:keepNext w:val="0"/>
                    <w:keepLines w:val="0"/>
                    <w:pageBreakBefore w:val="0"/>
                    <w:widowControl w:val="0"/>
                    <w:kinsoku/>
                    <w:wordWrap/>
                    <w:overflowPunct/>
                    <w:topLinePunct w:val="0"/>
                    <w:bidi w:val="0"/>
                    <w:adjustRightInd w:val="0"/>
                    <w:snapToGrid w:val="0"/>
                    <w:jc w:val="center"/>
                    <w:textAlignment w:val="auto"/>
                  </w:pPr>
                  <w:r>
                    <w:t>2</w:t>
                  </w:r>
                </w:p>
              </w:tc>
              <w:tc>
                <w:tcPr>
                  <w:tcW w:w="3197" w:type="dxa"/>
                  <w:tcBorders>
                    <w:tl2br w:val="nil"/>
                    <w:tr2bl w:val="nil"/>
                  </w:tcBorders>
                </w:tcPr>
                <w:p>
                  <w:pPr>
                    <w:keepNext w:val="0"/>
                    <w:keepLines w:val="0"/>
                    <w:pageBreakBefore w:val="0"/>
                    <w:widowControl w:val="0"/>
                    <w:kinsoku/>
                    <w:wordWrap/>
                    <w:overflowPunct/>
                    <w:topLinePunct w:val="0"/>
                    <w:bidi w:val="0"/>
                    <w:adjustRightInd w:val="0"/>
                    <w:snapToGrid w:val="0"/>
                    <w:jc w:val="center"/>
                    <w:textAlignment w:val="auto"/>
                  </w:pPr>
                  <w:r>
                    <w:t>风力扬尘</w:t>
                  </w:r>
                </w:p>
              </w:tc>
              <w:tc>
                <w:tcPr>
                  <w:tcW w:w="2186" w:type="dxa"/>
                  <w:tcBorders>
                    <w:tl2br w:val="nil"/>
                    <w:tr2bl w:val="nil"/>
                  </w:tcBorders>
                </w:tcPr>
                <w:p>
                  <w:pPr>
                    <w:keepNext w:val="0"/>
                    <w:keepLines w:val="0"/>
                    <w:pageBreakBefore w:val="0"/>
                    <w:widowControl w:val="0"/>
                    <w:kinsoku/>
                    <w:wordWrap/>
                    <w:overflowPunct/>
                    <w:topLinePunct w:val="0"/>
                    <w:bidi w:val="0"/>
                    <w:adjustRightInd w:val="0"/>
                    <w:snapToGrid w:val="0"/>
                    <w:jc w:val="center"/>
                    <w:textAlignment w:val="auto"/>
                  </w:pPr>
                  <w:r>
                    <w:t>场区内、道路沿线</w:t>
                  </w:r>
                </w:p>
              </w:tc>
              <w:tc>
                <w:tcPr>
                  <w:tcW w:w="2410" w:type="dxa"/>
                  <w:tcBorders>
                    <w:tl2br w:val="nil"/>
                    <w:tr2bl w:val="nil"/>
                  </w:tcBorders>
                </w:tcPr>
                <w:p>
                  <w:pPr>
                    <w:keepNext w:val="0"/>
                    <w:keepLines w:val="0"/>
                    <w:pageBreakBefore w:val="0"/>
                    <w:widowControl w:val="0"/>
                    <w:kinsoku/>
                    <w:wordWrap/>
                    <w:overflowPunct/>
                    <w:topLinePunct w:val="0"/>
                    <w:bidi w:val="0"/>
                    <w:adjustRightInd w:val="0"/>
                    <w:snapToGrid w:val="0"/>
                    <w:jc w:val="center"/>
                    <w:textAlignment w:val="auto"/>
                  </w:pPr>
                  <w:r>
                    <w:t>扬尘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363" w:type="dxa"/>
                  <w:tcBorders>
                    <w:tl2br w:val="nil"/>
                    <w:tr2bl w:val="nil"/>
                  </w:tcBorders>
                </w:tcPr>
                <w:p>
                  <w:pPr>
                    <w:keepNext w:val="0"/>
                    <w:keepLines w:val="0"/>
                    <w:pageBreakBefore w:val="0"/>
                    <w:widowControl w:val="0"/>
                    <w:kinsoku/>
                    <w:wordWrap/>
                    <w:overflowPunct/>
                    <w:topLinePunct w:val="0"/>
                    <w:bidi w:val="0"/>
                    <w:adjustRightInd w:val="0"/>
                    <w:snapToGrid w:val="0"/>
                    <w:jc w:val="center"/>
                    <w:textAlignment w:val="auto"/>
                  </w:pPr>
                  <w:r>
                    <w:t>3</w:t>
                  </w:r>
                </w:p>
              </w:tc>
              <w:tc>
                <w:tcPr>
                  <w:tcW w:w="3197" w:type="dxa"/>
                  <w:tcBorders>
                    <w:tl2br w:val="nil"/>
                    <w:tr2bl w:val="nil"/>
                  </w:tcBorders>
                </w:tcPr>
                <w:p>
                  <w:pPr>
                    <w:keepNext w:val="0"/>
                    <w:keepLines w:val="0"/>
                    <w:pageBreakBefore w:val="0"/>
                    <w:widowControl w:val="0"/>
                    <w:kinsoku/>
                    <w:wordWrap/>
                    <w:overflowPunct/>
                    <w:topLinePunct w:val="0"/>
                    <w:bidi w:val="0"/>
                    <w:adjustRightInd w:val="0"/>
                    <w:snapToGrid w:val="0"/>
                    <w:jc w:val="center"/>
                    <w:textAlignment w:val="auto"/>
                  </w:pPr>
                  <w:r>
                    <w:rPr>
                      <w:rFonts w:hint="eastAsia"/>
                    </w:rPr>
                    <w:t>燃料使用</w:t>
                  </w:r>
                </w:p>
              </w:tc>
              <w:tc>
                <w:tcPr>
                  <w:tcW w:w="2186" w:type="dxa"/>
                  <w:tcBorders>
                    <w:tl2br w:val="nil"/>
                    <w:tr2bl w:val="nil"/>
                  </w:tcBorders>
                </w:tcPr>
                <w:p>
                  <w:pPr>
                    <w:keepNext w:val="0"/>
                    <w:keepLines w:val="0"/>
                    <w:pageBreakBefore w:val="0"/>
                    <w:widowControl w:val="0"/>
                    <w:kinsoku/>
                    <w:wordWrap/>
                    <w:overflowPunct/>
                    <w:topLinePunct w:val="0"/>
                    <w:bidi w:val="0"/>
                    <w:adjustRightInd w:val="0"/>
                    <w:snapToGrid w:val="0"/>
                    <w:jc w:val="center"/>
                    <w:textAlignment w:val="auto"/>
                  </w:pPr>
                  <w:r>
                    <w:t>场区内、道路沿线</w:t>
                  </w:r>
                </w:p>
              </w:tc>
              <w:tc>
                <w:tcPr>
                  <w:tcW w:w="2410" w:type="dxa"/>
                  <w:tcBorders>
                    <w:tl2br w:val="nil"/>
                    <w:tr2bl w:val="nil"/>
                  </w:tcBorders>
                </w:tcPr>
                <w:p>
                  <w:pPr>
                    <w:keepNext w:val="0"/>
                    <w:keepLines w:val="0"/>
                    <w:pageBreakBefore w:val="0"/>
                    <w:widowControl w:val="0"/>
                    <w:kinsoku/>
                    <w:wordWrap/>
                    <w:overflowPunct/>
                    <w:topLinePunct w:val="0"/>
                    <w:bidi w:val="0"/>
                    <w:adjustRightInd w:val="0"/>
                    <w:snapToGrid w:val="0"/>
                    <w:jc w:val="center"/>
                    <w:textAlignment w:val="auto"/>
                  </w:pPr>
                  <w:r>
                    <w:t>NOX、CO、HC、SO2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63" w:type="dxa"/>
                  <w:tcBorders>
                    <w:tl2br w:val="nil"/>
                    <w:tr2bl w:val="nil"/>
                  </w:tcBorders>
                </w:tcPr>
                <w:p>
                  <w:pPr>
                    <w:keepNext w:val="0"/>
                    <w:keepLines w:val="0"/>
                    <w:pageBreakBefore w:val="0"/>
                    <w:widowControl w:val="0"/>
                    <w:kinsoku/>
                    <w:wordWrap/>
                    <w:overflowPunct/>
                    <w:topLinePunct w:val="0"/>
                    <w:bidi w:val="0"/>
                    <w:adjustRightInd w:val="0"/>
                    <w:snapToGrid w:val="0"/>
                    <w:jc w:val="center"/>
                    <w:textAlignment w:val="auto"/>
                  </w:pPr>
                  <w:r>
                    <w:t>4</w:t>
                  </w:r>
                </w:p>
              </w:tc>
              <w:tc>
                <w:tcPr>
                  <w:tcW w:w="3197" w:type="dxa"/>
                  <w:tcBorders>
                    <w:tl2br w:val="nil"/>
                    <w:tr2bl w:val="nil"/>
                  </w:tcBorders>
                </w:tcPr>
                <w:p>
                  <w:pPr>
                    <w:keepNext w:val="0"/>
                    <w:keepLines w:val="0"/>
                    <w:pageBreakBefore w:val="0"/>
                    <w:widowControl w:val="0"/>
                    <w:kinsoku/>
                    <w:wordWrap/>
                    <w:overflowPunct/>
                    <w:topLinePunct w:val="0"/>
                    <w:bidi w:val="0"/>
                    <w:adjustRightInd w:val="0"/>
                    <w:snapToGrid w:val="0"/>
                    <w:jc w:val="center"/>
                    <w:textAlignment w:val="auto"/>
                  </w:pPr>
                  <w:r>
                    <w:t>装修材料</w:t>
                  </w:r>
                  <w:r>
                    <w:rPr>
                      <w:rFonts w:hint="eastAsia"/>
                    </w:rPr>
                    <w:t>的使用</w:t>
                  </w:r>
                </w:p>
              </w:tc>
              <w:tc>
                <w:tcPr>
                  <w:tcW w:w="2186" w:type="dxa"/>
                  <w:tcBorders>
                    <w:tl2br w:val="nil"/>
                    <w:tr2bl w:val="nil"/>
                  </w:tcBorders>
                </w:tcPr>
                <w:p>
                  <w:pPr>
                    <w:keepNext w:val="0"/>
                    <w:keepLines w:val="0"/>
                    <w:pageBreakBefore w:val="0"/>
                    <w:widowControl w:val="0"/>
                    <w:kinsoku/>
                    <w:wordWrap/>
                    <w:overflowPunct/>
                    <w:topLinePunct w:val="0"/>
                    <w:bidi w:val="0"/>
                    <w:adjustRightInd w:val="0"/>
                    <w:snapToGrid w:val="0"/>
                    <w:jc w:val="center"/>
                    <w:textAlignment w:val="auto"/>
                  </w:pPr>
                  <w:r>
                    <w:rPr>
                      <w:rFonts w:hint="eastAsia"/>
                    </w:rPr>
                    <w:t>各建筑物内</w:t>
                  </w:r>
                </w:p>
              </w:tc>
              <w:tc>
                <w:tcPr>
                  <w:tcW w:w="2410" w:type="dxa"/>
                  <w:tcBorders>
                    <w:tl2br w:val="nil"/>
                    <w:tr2bl w:val="nil"/>
                  </w:tcBorders>
                </w:tcPr>
                <w:p>
                  <w:pPr>
                    <w:keepNext w:val="0"/>
                    <w:keepLines w:val="0"/>
                    <w:pageBreakBefore w:val="0"/>
                    <w:widowControl w:val="0"/>
                    <w:kinsoku/>
                    <w:wordWrap/>
                    <w:overflowPunct/>
                    <w:topLinePunct w:val="0"/>
                    <w:bidi w:val="0"/>
                    <w:adjustRightInd w:val="0"/>
                    <w:snapToGrid w:val="0"/>
                    <w:jc w:val="center"/>
                    <w:textAlignment w:val="auto"/>
                  </w:pPr>
                  <w:r>
                    <w:t>甲醛、TVOC、苯类</w:t>
                  </w:r>
                </w:p>
              </w:tc>
            </w:tr>
          </w:tbl>
          <w:p>
            <w:pPr>
              <w:keepNext w:val="0"/>
              <w:keepLines w:val="0"/>
              <w:pageBreakBefore w:val="0"/>
              <w:widowControl w:val="0"/>
              <w:kinsoku/>
              <w:wordWrap/>
              <w:overflowPunct/>
              <w:topLinePunct w:val="0"/>
              <w:bidi w:val="0"/>
              <w:adjustRightInd w:val="0"/>
              <w:snapToGrid w:val="0"/>
              <w:spacing w:line="360" w:lineRule="auto"/>
              <w:ind w:firstLine="462" w:firstLineChars="200"/>
              <w:textAlignment w:val="auto"/>
              <w:rPr>
                <w:sz w:val="24"/>
                <w:szCs w:val="24"/>
              </w:rPr>
            </w:pPr>
            <w:r>
              <w:rPr>
                <w:sz w:val="24"/>
                <w:szCs w:val="24"/>
              </w:rPr>
              <w:t>（2）废水</w:t>
            </w:r>
          </w:p>
          <w:p>
            <w:pPr>
              <w:keepNext w:val="0"/>
              <w:keepLines w:val="0"/>
              <w:pageBreakBefore w:val="0"/>
              <w:widowControl w:val="0"/>
              <w:kinsoku/>
              <w:wordWrap/>
              <w:overflowPunct/>
              <w:topLinePunct w:val="0"/>
              <w:bidi w:val="0"/>
              <w:adjustRightInd w:val="0"/>
              <w:snapToGrid w:val="0"/>
              <w:spacing w:line="360" w:lineRule="auto"/>
              <w:ind w:firstLine="462" w:firstLineChars="200"/>
              <w:textAlignment w:val="auto"/>
              <w:rPr>
                <w:sz w:val="24"/>
                <w:szCs w:val="24"/>
              </w:rPr>
            </w:pPr>
            <w:r>
              <w:rPr>
                <w:sz w:val="24"/>
                <w:szCs w:val="24"/>
              </w:rPr>
              <w:t>施工废水</w:t>
            </w:r>
            <w:r>
              <w:rPr>
                <w:rFonts w:hint="eastAsia"/>
                <w:sz w:val="24"/>
                <w:szCs w:val="24"/>
              </w:rPr>
              <w:t>：</w:t>
            </w:r>
            <w:r>
              <w:rPr>
                <w:sz w:val="24"/>
                <w:szCs w:val="24"/>
              </w:rPr>
              <w:t>主</w:t>
            </w:r>
            <w:r>
              <w:rPr>
                <w:rFonts w:hint="eastAsia"/>
                <w:sz w:val="24"/>
                <w:szCs w:val="24"/>
              </w:rPr>
              <w:t>要</w:t>
            </w:r>
            <w:r>
              <w:rPr>
                <w:sz w:val="24"/>
                <w:szCs w:val="24"/>
              </w:rPr>
              <w:t>包括混凝土养护废水、车辆冲洗废水、下雨导致的基坑和管沟积水等，</w:t>
            </w:r>
            <w:r>
              <w:rPr>
                <w:rFonts w:hint="eastAsia"/>
                <w:sz w:val="24"/>
                <w:szCs w:val="24"/>
              </w:rPr>
              <w:t>根</w:t>
            </w:r>
            <w:r>
              <w:rPr>
                <w:sz w:val="24"/>
                <w:szCs w:val="24"/>
              </w:rPr>
              <w:t>据类比调查，同类型项目施工废水中污染物浓度为COD：100～200mg/L、石油类：10～30mg/L、SS：500～4000mg/L。本项目管网工程施工废水主要为下雨导致的管沟积水，一般而言可不做处理由其自然渗透入地下，仅对地下水水量有轻微影响，基本不会影响地下水水质，雨天气下使用水泵抽水，就近排入周边河流。针对污水处理厂施工废水，项目拟在施工 场地内设沉淀池，施工废水经处理后回用于场地洒水降尘等，不外排</w:t>
            </w:r>
            <w:r>
              <w:rPr>
                <w:rFonts w:hint="eastAsia"/>
                <w:sz w:val="24"/>
                <w:szCs w:val="24"/>
              </w:rPr>
              <w:t>。</w:t>
            </w:r>
          </w:p>
          <w:p>
            <w:pPr>
              <w:keepNext w:val="0"/>
              <w:keepLines w:val="0"/>
              <w:pageBreakBefore w:val="0"/>
              <w:widowControl w:val="0"/>
              <w:kinsoku/>
              <w:wordWrap/>
              <w:overflowPunct/>
              <w:topLinePunct w:val="0"/>
              <w:bidi w:val="0"/>
              <w:adjustRightInd w:val="0"/>
              <w:snapToGrid w:val="0"/>
              <w:spacing w:line="360" w:lineRule="auto"/>
              <w:ind w:firstLine="462" w:firstLineChars="200"/>
              <w:textAlignment w:val="auto"/>
              <w:rPr>
                <w:sz w:val="24"/>
                <w:szCs w:val="24"/>
              </w:rPr>
            </w:pPr>
            <w:r>
              <w:rPr>
                <w:rFonts w:hint="eastAsia"/>
                <w:sz w:val="24"/>
                <w:szCs w:val="24"/>
              </w:rPr>
              <w:t>生活污水：</w:t>
            </w:r>
            <w:r>
              <w:rPr>
                <w:sz w:val="24"/>
                <w:szCs w:val="24"/>
              </w:rPr>
              <w:t>项目施工人员</w:t>
            </w:r>
            <w:r>
              <w:rPr>
                <w:rFonts w:hint="eastAsia"/>
                <w:sz w:val="24"/>
                <w:szCs w:val="24"/>
              </w:rPr>
              <w:t>最多可达</w:t>
            </w:r>
            <w:r>
              <w:rPr>
                <w:sz w:val="24"/>
                <w:szCs w:val="24"/>
              </w:rPr>
              <w:t>20人</w:t>
            </w:r>
            <w:r>
              <w:rPr>
                <w:rFonts w:hint="eastAsia"/>
                <w:sz w:val="24"/>
                <w:szCs w:val="24"/>
              </w:rPr>
              <w:t>/天</w:t>
            </w:r>
            <w:r>
              <w:rPr>
                <w:sz w:val="24"/>
                <w:szCs w:val="24"/>
              </w:rPr>
              <w:t>，现场不设施工营地，按每人每天生活用水量45L计，施工持续时间</w:t>
            </w:r>
            <w:r>
              <w:rPr>
                <w:rFonts w:hint="eastAsia"/>
                <w:sz w:val="24"/>
                <w:szCs w:val="24"/>
              </w:rPr>
              <w:t>3</w:t>
            </w:r>
            <w:r>
              <w:rPr>
                <w:sz w:val="24"/>
                <w:szCs w:val="24"/>
              </w:rPr>
              <w:t>个月（</w:t>
            </w:r>
            <w:r>
              <w:rPr>
                <w:rFonts w:hint="eastAsia"/>
                <w:sz w:val="24"/>
                <w:szCs w:val="24"/>
              </w:rPr>
              <w:t>90</w:t>
            </w:r>
            <w:r>
              <w:rPr>
                <w:sz w:val="24"/>
                <w:szCs w:val="24"/>
              </w:rPr>
              <w:t>天）</w:t>
            </w:r>
            <w:r>
              <w:rPr>
                <w:rFonts w:hint="eastAsia"/>
                <w:sz w:val="24"/>
                <w:szCs w:val="24"/>
                <w:lang w:eastAsia="zh-CN"/>
              </w:rPr>
              <w:t>，</w:t>
            </w:r>
            <w:r>
              <w:rPr>
                <w:sz w:val="24"/>
                <w:szCs w:val="24"/>
              </w:rPr>
              <w:t>则施工人员生活用水量为</w:t>
            </w:r>
            <w:r>
              <w:rPr>
                <w:rFonts w:hint="eastAsia"/>
                <w:sz w:val="24"/>
                <w:szCs w:val="24"/>
              </w:rPr>
              <w:t>81</w:t>
            </w:r>
            <w:r>
              <w:rPr>
                <w:sz w:val="24"/>
                <w:szCs w:val="24"/>
              </w:rPr>
              <w:t>m</w:t>
            </w:r>
            <w:r>
              <w:rPr>
                <w:sz w:val="24"/>
                <w:szCs w:val="24"/>
                <w:vertAlign w:val="superscript"/>
              </w:rPr>
              <w:t>3</w:t>
            </w:r>
            <w:r>
              <w:rPr>
                <w:sz w:val="24"/>
                <w:szCs w:val="24"/>
              </w:rPr>
              <w:t>，</w:t>
            </w:r>
            <w:r>
              <w:rPr>
                <w:rFonts w:hint="eastAsia"/>
                <w:sz w:val="24"/>
                <w:szCs w:val="24"/>
              </w:rPr>
              <w:t>排污系数按0.8计，则施工期废水</w:t>
            </w:r>
            <w:r>
              <w:rPr>
                <w:sz w:val="24"/>
                <w:szCs w:val="24"/>
              </w:rPr>
              <w:t>排放量为</w:t>
            </w:r>
            <w:r>
              <w:rPr>
                <w:rFonts w:hint="eastAsia"/>
                <w:sz w:val="24"/>
                <w:szCs w:val="24"/>
              </w:rPr>
              <w:t>64.8</w:t>
            </w:r>
            <w:r>
              <w:rPr>
                <w:sz w:val="24"/>
                <w:szCs w:val="24"/>
              </w:rPr>
              <w:t>m</w:t>
            </w:r>
            <w:r>
              <w:rPr>
                <w:sz w:val="24"/>
                <w:szCs w:val="24"/>
                <w:vertAlign w:val="superscript"/>
              </w:rPr>
              <w:t>3</w:t>
            </w:r>
            <w:r>
              <w:rPr>
                <w:sz w:val="24"/>
                <w:szCs w:val="24"/>
              </w:rPr>
              <w:t>，主要污染因子为COD、BOD</w:t>
            </w:r>
            <w:r>
              <w:rPr>
                <w:sz w:val="24"/>
                <w:szCs w:val="24"/>
                <w:vertAlign w:val="subscript"/>
              </w:rPr>
              <w:t>5</w:t>
            </w:r>
            <w:r>
              <w:rPr>
                <w:sz w:val="24"/>
                <w:szCs w:val="24"/>
              </w:rPr>
              <w:t>、SS、NH</w:t>
            </w:r>
            <w:r>
              <w:rPr>
                <w:sz w:val="24"/>
                <w:szCs w:val="24"/>
                <w:vertAlign w:val="subscript"/>
              </w:rPr>
              <w:t>3</w:t>
            </w:r>
            <w:r>
              <w:rPr>
                <w:sz w:val="24"/>
                <w:szCs w:val="24"/>
              </w:rPr>
              <w:t>-N。</w:t>
            </w:r>
            <w:r>
              <w:rPr>
                <w:rFonts w:hint="eastAsia"/>
                <w:sz w:val="24"/>
                <w:szCs w:val="24"/>
              </w:rPr>
              <w:t>可依托周边居民生活污水处理设施收集处理，一般用作农肥，不外排。</w:t>
            </w:r>
          </w:p>
          <w:p>
            <w:pPr>
              <w:keepNext w:val="0"/>
              <w:keepLines w:val="0"/>
              <w:pageBreakBefore w:val="0"/>
              <w:widowControl w:val="0"/>
              <w:kinsoku/>
              <w:wordWrap/>
              <w:overflowPunct/>
              <w:topLinePunct w:val="0"/>
              <w:bidi w:val="0"/>
              <w:adjustRightInd w:val="0"/>
              <w:snapToGrid w:val="0"/>
              <w:spacing w:line="360" w:lineRule="auto"/>
              <w:ind w:firstLine="462" w:firstLineChars="200"/>
              <w:textAlignment w:val="auto"/>
              <w:rPr>
                <w:sz w:val="24"/>
                <w:szCs w:val="24"/>
              </w:rPr>
            </w:pPr>
            <w:r>
              <w:rPr>
                <w:sz w:val="24"/>
                <w:szCs w:val="24"/>
              </w:rPr>
              <w:t>（3）噪声</w:t>
            </w:r>
          </w:p>
          <w:p>
            <w:pPr>
              <w:keepNext w:val="0"/>
              <w:keepLines w:val="0"/>
              <w:pageBreakBefore w:val="0"/>
              <w:widowControl w:val="0"/>
              <w:kinsoku/>
              <w:wordWrap/>
              <w:overflowPunct/>
              <w:topLinePunct w:val="0"/>
              <w:bidi w:val="0"/>
              <w:adjustRightInd w:val="0"/>
              <w:snapToGrid w:val="0"/>
              <w:spacing w:line="360" w:lineRule="auto"/>
              <w:ind w:firstLine="462" w:firstLineChars="200"/>
              <w:textAlignment w:val="auto"/>
              <w:rPr>
                <w:sz w:val="24"/>
                <w:szCs w:val="24"/>
              </w:rPr>
            </w:pPr>
            <w:r>
              <w:rPr>
                <w:sz w:val="24"/>
                <w:szCs w:val="24"/>
              </w:rPr>
              <w:t>施工期噪声污染源主要来源于土石方阶段的挖土机、结构阶段的混凝土输送泵、振捣器、电锯、电焊机、空压机等设备，设备安装及运输车辆产生的噪声，噪声源强值约在</w:t>
            </w:r>
            <w:r>
              <w:rPr>
                <w:rFonts w:hint="eastAsia"/>
                <w:sz w:val="24"/>
                <w:szCs w:val="24"/>
              </w:rPr>
              <w:t>70</w:t>
            </w:r>
            <w:r>
              <w:rPr>
                <w:sz w:val="24"/>
                <w:szCs w:val="24"/>
              </w:rPr>
              <w:t>-100dB（A）之间。由于这些设备的运作是间歇性的，因此其所产生的噪声具有间歇性和短暂性的特点。</w:t>
            </w:r>
            <w:r>
              <w:rPr>
                <w:rFonts w:hint="eastAsia"/>
                <w:sz w:val="24"/>
                <w:szCs w:val="24"/>
              </w:rPr>
              <w:t>参考同类型报告，</w:t>
            </w:r>
            <w:r>
              <w:rPr>
                <w:sz w:val="24"/>
                <w:szCs w:val="24"/>
              </w:rPr>
              <w:t>施工期主要噪声源</w:t>
            </w:r>
            <w:r>
              <w:rPr>
                <w:rFonts w:hint="eastAsia"/>
                <w:sz w:val="24"/>
                <w:szCs w:val="24"/>
              </w:rPr>
              <w:t>及源强</w:t>
            </w:r>
            <w:r>
              <w:rPr>
                <w:sz w:val="24"/>
                <w:szCs w:val="24"/>
              </w:rPr>
              <w:t>见表5-2。</w:t>
            </w:r>
          </w:p>
          <w:p>
            <w:pPr>
              <w:keepNext w:val="0"/>
              <w:keepLines w:val="0"/>
              <w:pageBreakBefore w:val="0"/>
              <w:widowControl w:val="0"/>
              <w:kinsoku/>
              <w:wordWrap/>
              <w:overflowPunct/>
              <w:topLinePunct w:val="0"/>
              <w:bidi w:val="0"/>
              <w:adjustRightInd w:val="0"/>
              <w:snapToGrid w:val="0"/>
              <w:ind w:left="1" w:firstLine="480"/>
              <w:jc w:val="center"/>
              <w:textAlignment w:val="auto"/>
            </w:pPr>
          </w:p>
          <w:p>
            <w:pPr>
              <w:keepNext w:val="0"/>
              <w:keepLines w:val="0"/>
              <w:pageBreakBefore w:val="0"/>
              <w:widowControl w:val="0"/>
              <w:kinsoku/>
              <w:wordWrap/>
              <w:overflowPunct/>
              <w:topLinePunct w:val="0"/>
              <w:bidi w:val="0"/>
              <w:adjustRightInd w:val="0"/>
              <w:snapToGrid w:val="0"/>
              <w:ind w:left="1" w:firstLine="480"/>
              <w:jc w:val="center"/>
              <w:textAlignment w:val="auto"/>
              <w:rPr>
                <w:rFonts w:hint="default" w:ascii="Times New Roman" w:hAnsi="Times New Roman" w:cs="Times New Roman"/>
                <w:b/>
                <w:bCs/>
              </w:rPr>
            </w:pPr>
            <w:r>
              <w:rPr>
                <w:rFonts w:hint="default" w:ascii="Times New Roman" w:hAnsi="Times New Roman" w:cs="Times New Roman"/>
                <w:b/>
                <w:bCs/>
              </w:rPr>
              <w:t>表5-2   施工期主要施工机械噪声情况 （距声源15m处）</w:t>
            </w:r>
          </w:p>
          <w:tbl>
            <w:tblPr>
              <w:tblStyle w:val="27"/>
              <w:tblW w:w="91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5561"/>
              <w:gridCol w:w="18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36"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b w:val="0"/>
                      <w:bCs w:val="0"/>
                      <w:sz w:val="21"/>
                      <w:szCs w:val="21"/>
                    </w:rPr>
                  </w:pPr>
                  <w:r>
                    <w:rPr>
                      <w:b w:val="0"/>
                      <w:bCs w:val="0"/>
                      <w:sz w:val="21"/>
                      <w:szCs w:val="21"/>
                    </w:rPr>
                    <w:t>施工阶段</w:t>
                  </w:r>
                </w:p>
              </w:tc>
              <w:tc>
                <w:tcPr>
                  <w:tcW w:w="5561" w:type="dxa"/>
                  <w:tcBorders>
                    <w:tl2br w:val="nil"/>
                    <w:tr2bl w:val="nil"/>
                  </w:tcBorders>
                  <w:vAlign w:val="center"/>
                </w:tcPr>
                <w:p>
                  <w:pPr>
                    <w:pStyle w:val="23"/>
                    <w:keepNext w:val="0"/>
                    <w:keepLines w:val="0"/>
                    <w:pageBreakBefore w:val="0"/>
                    <w:widowControl w:val="0"/>
                    <w:kinsoku/>
                    <w:wordWrap/>
                    <w:overflowPunct/>
                    <w:topLinePunct w:val="0"/>
                    <w:bidi w:val="0"/>
                    <w:adjustRightInd w:val="0"/>
                    <w:snapToGrid w:val="0"/>
                    <w:spacing w:line="240" w:lineRule="auto"/>
                    <w:ind w:right="0" w:rightChars="0"/>
                    <w:jc w:val="center"/>
                    <w:textAlignment w:val="auto"/>
                    <w:rPr>
                      <w:b w:val="0"/>
                      <w:bCs w:val="0"/>
                      <w:sz w:val="21"/>
                      <w:szCs w:val="21"/>
                    </w:rPr>
                  </w:pPr>
                  <w:r>
                    <w:rPr>
                      <w:b w:val="0"/>
                      <w:bCs w:val="0"/>
                      <w:sz w:val="21"/>
                      <w:szCs w:val="21"/>
                    </w:rPr>
                    <w:t>施工机械</w:t>
                  </w:r>
                </w:p>
              </w:tc>
              <w:tc>
                <w:tcPr>
                  <w:tcW w:w="1859"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b w:val="0"/>
                      <w:bCs w:val="0"/>
                      <w:sz w:val="21"/>
                      <w:szCs w:val="21"/>
                    </w:rPr>
                  </w:pPr>
                  <w:r>
                    <w:rPr>
                      <w:b w:val="0"/>
                      <w:bCs w:val="0"/>
                      <w:sz w:val="21"/>
                      <w:szCs w:val="21"/>
                    </w:rPr>
                    <w:t>声级值范围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736"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b w:val="0"/>
                      <w:bCs w:val="0"/>
                      <w:sz w:val="21"/>
                      <w:szCs w:val="21"/>
                    </w:rPr>
                  </w:pPr>
                  <w:r>
                    <w:rPr>
                      <w:b w:val="0"/>
                      <w:bCs w:val="0"/>
                      <w:sz w:val="21"/>
                      <w:szCs w:val="21"/>
                    </w:rPr>
                    <w:t>土石方工程</w:t>
                  </w:r>
                </w:p>
              </w:tc>
              <w:tc>
                <w:tcPr>
                  <w:tcW w:w="5561"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b w:val="0"/>
                      <w:bCs w:val="0"/>
                      <w:sz w:val="21"/>
                      <w:szCs w:val="21"/>
                    </w:rPr>
                  </w:pPr>
                  <w:r>
                    <w:rPr>
                      <w:b w:val="0"/>
                      <w:bCs w:val="0"/>
                      <w:sz w:val="21"/>
                      <w:szCs w:val="21"/>
                    </w:rPr>
                    <w:t>挖掘机、推土机、装载机等</w:t>
                  </w:r>
                </w:p>
              </w:tc>
              <w:tc>
                <w:tcPr>
                  <w:tcW w:w="1859" w:type="dxa"/>
                  <w:tcBorders>
                    <w:tl2br w:val="nil"/>
                    <w:tr2bl w:val="nil"/>
                  </w:tcBorders>
                  <w:vAlign w:val="center"/>
                </w:tcPr>
                <w:p>
                  <w:pPr>
                    <w:pStyle w:val="23"/>
                    <w:keepNext w:val="0"/>
                    <w:keepLines w:val="0"/>
                    <w:pageBreakBefore w:val="0"/>
                    <w:widowControl w:val="0"/>
                    <w:kinsoku/>
                    <w:wordWrap/>
                    <w:overflowPunct/>
                    <w:topLinePunct w:val="0"/>
                    <w:bidi w:val="0"/>
                    <w:adjustRightInd w:val="0"/>
                    <w:snapToGrid w:val="0"/>
                    <w:spacing w:line="240" w:lineRule="auto"/>
                    <w:ind w:right="0" w:rightChars="0"/>
                    <w:jc w:val="center"/>
                    <w:textAlignment w:val="auto"/>
                    <w:rPr>
                      <w:b w:val="0"/>
                      <w:bCs w:val="0"/>
                      <w:sz w:val="21"/>
                      <w:szCs w:val="21"/>
                    </w:rPr>
                  </w:pPr>
                  <w:r>
                    <w:rPr>
                      <w:b w:val="0"/>
                      <w:bCs w:val="0"/>
                      <w:sz w:val="21"/>
                      <w:szCs w:val="21"/>
                    </w:rPr>
                    <w:t>80～90dB(A)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36"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b w:val="0"/>
                      <w:bCs w:val="0"/>
                      <w:sz w:val="21"/>
                      <w:szCs w:val="21"/>
                    </w:rPr>
                  </w:pPr>
                  <w:r>
                    <w:rPr>
                      <w:b w:val="0"/>
                      <w:bCs w:val="0"/>
                      <w:sz w:val="21"/>
                      <w:szCs w:val="21"/>
                    </w:rPr>
                    <w:t>基础施工</w:t>
                  </w:r>
                </w:p>
              </w:tc>
              <w:tc>
                <w:tcPr>
                  <w:tcW w:w="5561" w:type="dxa"/>
                  <w:tcBorders>
                    <w:tl2br w:val="nil"/>
                    <w:tr2bl w:val="nil"/>
                  </w:tcBorders>
                  <w:vAlign w:val="center"/>
                </w:tcPr>
                <w:p>
                  <w:pPr>
                    <w:pStyle w:val="23"/>
                    <w:keepNext w:val="0"/>
                    <w:keepLines w:val="0"/>
                    <w:pageBreakBefore w:val="0"/>
                    <w:widowControl w:val="0"/>
                    <w:kinsoku/>
                    <w:wordWrap/>
                    <w:overflowPunct/>
                    <w:topLinePunct w:val="0"/>
                    <w:bidi w:val="0"/>
                    <w:adjustRightInd w:val="0"/>
                    <w:snapToGrid w:val="0"/>
                    <w:spacing w:line="240" w:lineRule="auto"/>
                    <w:ind w:right="0" w:rightChars="0"/>
                    <w:jc w:val="center"/>
                    <w:textAlignment w:val="auto"/>
                    <w:rPr>
                      <w:b w:val="0"/>
                      <w:bCs w:val="0"/>
                      <w:sz w:val="21"/>
                      <w:szCs w:val="21"/>
                    </w:rPr>
                  </w:pPr>
                  <w:r>
                    <w:rPr>
                      <w:b w:val="0"/>
                      <w:bCs w:val="0"/>
                      <w:sz w:val="21"/>
                      <w:szCs w:val="21"/>
                    </w:rPr>
                    <w:t>打桩机等</w:t>
                  </w:r>
                </w:p>
              </w:tc>
              <w:tc>
                <w:tcPr>
                  <w:tcW w:w="1859"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b w:val="0"/>
                      <w:bCs w:val="0"/>
                      <w:sz w:val="21"/>
                      <w:szCs w:val="21"/>
                    </w:rPr>
                  </w:pPr>
                  <w:r>
                    <w:rPr>
                      <w:b w:val="0"/>
                      <w:bCs w:val="0"/>
                      <w:sz w:val="21"/>
                      <w:szCs w:val="21"/>
                    </w:rPr>
                    <w:t>85～100dB(A)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36"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b w:val="0"/>
                      <w:bCs w:val="0"/>
                      <w:sz w:val="21"/>
                      <w:szCs w:val="21"/>
                    </w:rPr>
                  </w:pPr>
                  <w:r>
                    <w:rPr>
                      <w:b w:val="0"/>
                      <w:bCs w:val="0"/>
                      <w:sz w:val="21"/>
                      <w:szCs w:val="21"/>
                    </w:rPr>
                    <w:t>结构阶段</w:t>
                  </w:r>
                </w:p>
              </w:tc>
              <w:tc>
                <w:tcPr>
                  <w:tcW w:w="5561"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b w:val="0"/>
                      <w:bCs w:val="0"/>
                      <w:sz w:val="21"/>
                      <w:szCs w:val="21"/>
                    </w:rPr>
                  </w:pPr>
                  <w:r>
                    <w:rPr>
                      <w:b w:val="0"/>
                      <w:bCs w:val="0"/>
                      <w:sz w:val="21"/>
                      <w:szCs w:val="21"/>
                    </w:rPr>
                    <w:t>混凝土搅拌机、振动棒等</w:t>
                  </w:r>
                </w:p>
              </w:tc>
              <w:tc>
                <w:tcPr>
                  <w:tcW w:w="1859"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b w:val="0"/>
                      <w:bCs w:val="0"/>
                      <w:sz w:val="21"/>
                      <w:szCs w:val="21"/>
                    </w:rPr>
                  </w:pPr>
                  <w:r>
                    <w:rPr>
                      <w:b w:val="0"/>
                      <w:bCs w:val="0"/>
                      <w:sz w:val="21"/>
                      <w:szCs w:val="21"/>
                    </w:rPr>
                    <w:t>70～90dB(A)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36"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b w:val="0"/>
                      <w:bCs w:val="0"/>
                      <w:sz w:val="21"/>
                      <w:szCs w:val="21"/>
                    </w:rPr>
                  </w:pPr>
                  <w:r>
                    <w:rPr>
                      <w:b w:val="0"/>
                      <w:bCs w:val="0"/>
                      <w:sz w:val="21"/>
                      <w:szCs w:val="21"/>
                    </w:rPr>
                    <w:t>装饰阶段</w:t>
                  </w:r>
                </w:p>
              </w:tc>
              <w:tc>
                <w:tcPr>
                  <w:tcW w:w="5561"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b w:val="0"/>
                      <w:bCs w:val="0"/>
                      <w:sz w:val="21"/>
                      <w:szCs w:val="21"/>
                    </w:rPr>
                  </w:pPr>
                  <w:r>
                    <w:rPr>
                      <w:b w:val="0"/>
                      <w:bCs w:val="0"/>
                      <w:sz w:val="21"/>
                      <w:szCs w:val="21"/>
                    </w:rPr>
                    <w:t>砂轮锯、电钻、建材切割机等</w:t>
                  </w:r>
                </w:p>
              </w:tc>
              <w:tc>
                <w:tcPr>
                  <w:tcW w:w="1859"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b w:val="0"/>
                      <w:bCs w:val="0"/>
                      <w:sz w:val="21"/>
                      <w:szCs w:val="21"/>
                    </w:rPr>
                  </w:pPr>
                  <w:r>
                    <w:rPr>
                      <w:b w:val="0"/>
                      <w:bCs w:val="0"/>
                      <w:sz w:val="21"/>
                      <w:szCs w:val="21"/>
                    </w:rPr>
                    <w:t>70～85dB(A)</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sz w:val="24"/>
                <w:szCs w:val="24"/>
              </w:rPr>
            </w:pPr>
            <w:r>
              <w:rPr>
                <w:rFonts w:hint="default"/>
                <w:sz w:val="24"/>
                <w:szCs w:val="24"/>
              </w:rPr>
              <w:t>（4）固体废物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sz w:val="24"/>
                <w:szCs w:val="24"/>
              </w:rPr>
            </w:pPr>
            <w:r>
              <w:rPr>
                <w:rFonts w:hint="default"/>
                <w:sz w:val="24"/>
                <w:szCs w:val="24"/>
              </w:rPr>
              <w:t>施工期产生的固体废弃物主要是生活垃圾、建筑垃圾、废弃包装材料、基础开挖产生的弃土弃渣。</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sz w:val="24"/>
                <w:szCs w:val="24"/>
              </w:rPr>
            </w:pPr>
            <w:r>
              <w:rPr>
                <w:rFonts w:hint="default"/>
                <w:sz w:val="24"/>
                <w:szCs w:val="24"/>
              </w:rPr>
              <w:t>①建筑垃圾</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sz w:val="24"/>
                <w:szCs w:val="24"/>
              </w:rPr>
            </w:pPr>
            <w:r>
              <w:rPr>
                <w:rFonts w:hint="default"/>
                <w:sz w:val="24"/>
                <w:szCs w:val="24"/>
              </w:rPr>
              <w:t>根据类比调查，施工建筑垃圾产生量一般为0.5kg/m</w:t>
            </w:r>
            <w:r>
              <w:rPr>
                <w:rFonts w:hint="default"/>
                <w:sz w:val="24"/>
                <w:szCs w:val="24"/>
                <w:vertAlign w:val="superscript"/>
              </w:rPr>
              <w:t>2</w:t>
            </w:r>
            <w:r>
              <w:rPr>
                <w:rFonts w:hint="default"/>
                <w:sz w:val="24"/>
                <w:szCs w:val="24"/>
              </w:rPr>
              <w:t>-1.0kg/m</w:t>
            </w:r>
            <w:r>
              <w:rPr>
                <w:rFonts w:hint="default"/>
                <w:sz w:val="24"/>
                <w:szCs w:val="24"/>
                <w:vertAlign w:val="superscript"/>
              </w:rPr>
              <w:t>2</w:t>
            </w:r>
            <w:r>
              <w:rPr>
                <w:rFonts w:hint="default"/>
                <w:sz w:val="24"/>
                <w:szCs w:val="24"/>
              </w:rPr>
              <w:t>，本建设项目建筑面积为</w:t>
            </w:r>
            <w:r>
              <w:rPr>
                <w:rFonts w:hint="default"/>
                <w:sz w:val="24"/>
                <w:szCs w:val="24"/>
                <w:lang w:val="en-US" w:eastAsia="zh-CN"/>
              </w:rPr>
              <w:t>750</w:t>
            </w:r>
            <w:r>
              <w:rPr>
                <w:rFonts w:hint="default"/>
                <w:sz w:val="24"/>
                <w:szCs w:val="24"/>
              </w:rPr>
              <w:t>m</w:t>
            </w:r>
            <w:r>
              <w:rPr>
                <w:rFonts w:hint="default"/>
                <w:sz w:val="24"/>
                <w:szCs w:val="24"/>
                <w:vertAlign w:val="superscript"/>
              </w:rPr>
              <w:t>2</w:t>
            </w:r>
            <w:r>
              <w:rPr>
                <w:rFonts w:hint="default"/>
                <w:sz w:val="24"/>
                <w:szCs w:val="24"/>
              </w:rPr>
              <w:t>，产生量按0.7kg/m</w:t>
            </w:r>
            <w:r>
              <w:rPr>
                <w:rFonts w:hint="default"/>
                <w:sz w:val="24"/>
                <w:szCs w:val="24"/>
                <w:vertAlign w:val="superscript"/>
              </w:rPr>
              <w:t>2</w:t>
            </w:r>
            <w:r>
              <w:rPr>
                <w:rFonts w:hint="default"/>
                <w:sz w:val="24"/>
                <w:szCs w:val="24"/>
              </w:rPr>
              <w:t>计，则施工期建筑垃圾产生量为</w:t>
            </w:r>
            <w:r>
              <w:rPr>
                <w:rFonts w:hint="default"/>
                <w:sz w:val="24"/>
                <w:szCs w:val="24"/>
                <w:lang w:eastAsia="zh-CN"/>
              </w:rPr>
              <w:t>0.53</w:t>
            </w:r>
            <w:r>
              <w:rPr>
                <w:rFonts w:hint="default"/>
                <w:sz w:val="24"/>
                <w:szCs w:val="24"/>
              </w:rPr>
              <w:t>t。</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sz w:val="24"/>
                <w:szCs w:val="24"/>
              </w:rPr>
            </w:pPr>
            <w:r>
              <w:rPr>
                <w:rFonts w:hint="default"/>
                <w:sz w:val="24"/>
                <w:szCs w:val="24"/>
              </w:rPr>
              <w:t>②废弃包装材料</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sz w:val="24"/>
                <w:szCs w:val="24"/>
              </w:rPr>
            </w:pPr>
            <w:r>
              <w:rPr>
                <w:rFonts w:hint="default"/>
                <w:sz w:val="24"/>
                <w:szCs w:val="24"/>
              </w:rPr>
              <w:t>根据同类工程调查，建筑施工过程中废弃包装材料产生量约为0.1kg/m</w:t>
            </w:r>
            <w:r>
              <w:rPr>
                <w:rFonts w:hint="default"/>
                <w:sz w:val="24"/>
                <w:szCs w:val="24"/>
                <w:vertAlign w:val="superscript"/>
              </w:rPr>
              <w:t>2</w:t>
            </w:r>
            <w:r>
              <w:rPr>
                <w:rFonts w:hint="default"/>
                <w:sz w:val="24"/>
                <w:szCs w:val="24"/>
              </w:rPr>
              <w:t>，按此估算，施工期废弃包装材料产生量为</w:t>
            </w:r>
            <w:r>
              <w:rPr>
                <w:rFonts w:hint="default"/>
                <w:sz w:val="24"/>
                <w:szCs w:val="24"/>
                <w:lang w:val="en-US" w:eastAsia="zh-CN"/>
              </w:rPr>
              <w:t>75kg</w:t>
            </w:r>
            <w:r>
              <w:rPr>
                <w:rFonts w:hint="default"/>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sz w:val="24"/>
                <w:szCs w:val="24"/>
              </w:rPr>
            </w:pPr>
            <w:r>
              <w:rPr>
                <w:rFonts w:hint="default"/>
                <w:sz w:val="24"/>
                <w:szCs w:val="24"/>
              </w:rPr>
              <w:t>③生活垃圾</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sz w:val="24"/>
                <w:szCs w:val="24"/>
              </w:rPr>
            </w:pPr>
            <w:r>
              <w:rPr>
                <w:rFonts w:hint="default"/>
                <w:sz w:val="24"/>
                <w:szCs w:val="24"/>
              </w:rPr>
              <w:t>本项目施工人员按巅峰期20人计算，以0.5kg/d的人均生活垃圾产生量计算，施工人员生活垃圾量为10kg/d（0.9t/施工期）。</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sz w:val="24"/>
                <w:szCs w:val="24"/>
              </w:rPr>
            </w:pPr>
            <w:r>
              <w:rPr>
                <w:rFonts w:hint="default"/>
                <w:sz w:val="24"/>
                <w:szCs w:val="24"/>
              </w:rPr>
              <w:t>（5）土石方分析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sz w:val="24"/>
                <w:szCs w:val="24"/>
              </w:rPr>
            </w:pPr>
            <w:r>
              <w:rPr>
                <w:rFonts w:hint="default"/>
                <w:sz w:val="24"/>
                <w:szCs w:val="24"/>
              </w:rPr>
              <w:t>项目无需取土，污水处理厂池体开挖后将产生的弃土约604.39m</w:t>
            </w:r>
            <w:r>
              <w:rPr>
                <w:rFonts w:hint="default"/>
                <w:sz w:val="24"/>
                <w:szCs w:val="24"/>
                <w:vertAlign w:val="superscript"/>
              </w:rPr>
              <w:t>3</w:t>
            </w:r>
            <w:r>
              <w:rPr>
                <w:rFonts w:hint="default"/>
                <w:sz w:val="24"/>
                <w:szCs w:val="24"/>
              </w:rPr>
              <w:t>；管网工程在管道埋设完毕后就地填埋</w:t>
            </w:r>
            <w:r>
              <w:rPr>
                <w:rFonts w:hint="default"/>
                <w:sz w:val="24"/>
                <w:szCs w:val="24"/>
                <w:lang w:eastAsia="zh-CN"/>
              </w:rPr>
              <w:t>，</w:t>
            </w:r>
            <w:r>
              <w:rPr>
                <w:rFonts w:hint="default"/>
                <w:sz w:val="24"/>
                <w:szCs w:val="24"/>
              </w:rPr>
              <w:t>并紧固、夯实</w:t>
            </w:r>
            <w:r>
              <w:rPr>
                <w:rFonts w:hint="default"/>
                <w:sz w:val="24"/>
                <w:szCs w:val="24"/>
                <w:lang w:eastAsia="zh-CN"/>
              </w:rPr>
              <w:t>，不产生弃土</w:t>
            </w:r>
            <w:r>
              <w:rPr>
                <w:rFonts w:hint="default"/>
                <w:sz w:val="24"/>
                <w:szCs w:val="24"/>
              </w:rPr>
              <w:t>。弃土由当地职能部门协调，外运至指定地点妥善处置。</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sz w:val="24"/>
                <w:szCs w:val="24"/>
              </w:rPr>
            </w:pPr>
            <w:r>
              <w:rPr>
                <w:rFonts w:hint="eastAsia"/>
                <w:sz w:val="24"/>
                <w:szCs w:val="24"/>
              </w:rPr>
              <w:t>5.2.2 运营期</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sz w:val="24"/>
                <w:szCs w:val="24"/>
              </w:rPr>
            </w:pPr>
            <w:r>
              <w:rPr>
                <w:rFonts w:hint="eastAsia"/>
                <w:sz w:val="24"/>
                <w:szCs w:val="24"/>
              </w:rPr>
              <w:t>（1）废水</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sz w:val="24"/>
                <w:szCs w:val="24"/>
              </w:rPr>
            </w:pPr>
            <w:r>
              <w:rPr>
                <w:rFonts w:hint="eastAsia"/>
                <w:sz w:val="24"/>
                <w:szCs w:val="24"/>
              </w:rPr>
              <w:t>本项目建成投入运营后，运营期间产生的废水主要来源于</w:t>
            </w:r>
            <w:r>
              <w:rPr>
                <w:kern w:val="0"/>
                <w:sz w:val="24"/>
                <w:szCs w:val="24"/>
              </w:rPr>
              <w:t>污泥脱水分离出的污水</w:t>
            </w:r>
            <w:r>
              <w:rPr>
                <w:rFonts w:hint="eastAsia"/>
                <w:kern w:val="0"/>
                <w:sz w:val="24"/>
                <w:szCs w:val="24"/>
                <w:lang w:eastAsia="zh-CN"/>
              </w:rPr>
              <w:t>及</w:t>
            </w:r>
            <w:r>
              <w:rPr>
                <w:rFonts w:hint="eastAsia"/>
                <w:sz w:val="24"/>
                <w:szCs w:val="24"/>
              </w:rPr>
              <w:t>员工生活、办公产生的生活污水。</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sz w:val="24"/>
                <w:szCs w:val="24"/>
              </w:rPr>
            </w:pPr>
            <w:r>
              <w:rPr>
                <w:sz w:val="24"/>
                <w:szCs w:val="24"/>
              </w:rPr>
              <w:t>1）</w:t>
            </w:r>
            <w:r>
              <w:rPr>
                <w:rFonts w:hint="eastAsia"/>
                <w:sz w:val="24"/>
                <w:szCs w:val="24"/>
              </w:rPr>
              <w:t>滤液</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sz w:val="24"/>
                <w:szCs w:val="24"/>
              </w:rPr>
            </w:pPr>
            <w:r>
              <w:rPr>
                <w:rFonts w:hint="eastAsia"/>
                <w:sz w:val="24"/>
                <w:szCs w:val="24"/>
                <w:lang w:val="en-US" w:eastAsia="zh-CN"/>
              </w:rPr>
              <w:t>本项目污泥产生量为75.19t/a，产生的污泥经过污泥泵进入污泥脱水机房脱水（污泥含水率约96%），经过</w:t>
            </w:r>
            <w:r>
              <w:rPr>
                <w:rFonts w:hint="eastAsia" w:ascii="Times New Roman" w:hAnsi="Times New Roman" w:eastAsia="宋体" w:cs="Times New Roman"/>
                <w:sz w:val="24"/>
                <w:szCs w:val="24"/>
                <w:lang w:val="en-US" w:eastAsia="zh-CN"/>
              </w:rPr>
              <w:t>机械方式脱水</w:t>
            </w:r>
            <w:r>
              <w:rPr>
                <w:rFonts w:hint="eastAsia"/>
                <w:sz w:val="24"/>
                <w:szCs w:val="24"/>
                <w:lang w:val="en-US" w:eastAsia="zh-CN"/>
              </w:rPr>
              <w:t>后的污泥含水率约70%，</w:t>
            </w:r>
            <w:r>
              <w:rPr>
                <w:rFonts w:hint="eastAsia"/>
                <w:sz w:val="24"/>
                <w:szCs w:val="24"/>
                <w:lang w:eastAsia="zh-CN"/>
              </w:rPr>
              <w:t>则</w:t>
            </w:r>
            <w:r>
              <w:rPr>
                <w:sz w:val="24"/>
                <w:szCs w:val="24"/>
              </w:rPr>
              <w:t>污水产生量为</w:t>
            </w:r>
            <w:r>
              <w:rPr>
                <w:rFonts w:hint="eastAsia"/>
                <w:sz w:val="24"/>
                <w:szCs w:val="24"/>
                <w:lang w:val="en-US" w:eastAsia="zh-CN"/>
              </w:rPr>
              <w:t>103.18</w:t>
            </w:r>
            <w:r>
              <w:rPr>
                <w:rFonts w:hint="eastAsia"/>
                <w:sz w:val="24"/>
                <w:szCs w:val="24"/>
              </w:rPr>
              <w:t>t/a</w:t>
            </w:r>
            <w:r>
              <w:rPr>
                <w:sz w:val="24"/>
                <w:szCs w:val="24"/>
              </w:rPr>
              <w:t>。</w:t>
            </w:r>
            <w:r>
              <w:rPr>
                <w:rFonts w:hint="eastAsia"/>
                <w:sz w:val="24"/>
                <w:szCs w:val="24"/>
                <w:lang w:val="en-US" w:eastAsia="zh-CN"/>
              </w:rPr>
              <w:t>此部分污水通过进水渠与其他污水一同进入污水处理厂处理。</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62" w:firstLineChars="200"/>
              <w:textAlignment w:val="auto"/>
              <w:rPr>
                <w:sz w:val="24"/>
                <w:szCs w:val="24"/>
              </w:rPr>
            </w:pPr>
            <w:r>
              <w:rPr>
                <w:rFonts w:hint="eastAsia"/>
                <w:sz w:val="24"/>
                <w:szCs w:val="24"/>
              </w:rPr>
              <w:t xml:space="preserve">生活污水 </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sz w:val="24"/>
                <w:szCs w:val="24"/>
              </w:rPr>
            </w:pPr>
            <w:r>
              <w:rPr>
                <w:rFonts w:hint="eastAsia"/>
                <w:sz w:val="24"/>
                <w:szCs w:val="24"/>
              </w:rPr>
              <w:t>本项目劳动定员5人，用水量按145L/人•d计，年工作365天，则项目职工生活用水产生量为0.725m</w:t>
            </w:r>
            <w:r>
              <w:rPr>
                <w:rFonts w:hint="eastAsia"/>
                <w:sz w:val="24"/>
                <w:szCs w:val="24"/>
                <w:vertAlign w:val="superscript"/>
              </w:rPr>
              <w:t>3</w:t>
            </w:r>
            <w:r>
              <w:rPr>
                <w:rFonts w:hint="eastAsia"/>
                <w:sz w:val="24"/>
                <w:szCs w:val="24"/>
              </w:rPr>
              <w:t>/d（264.63m</w:t>
            </w:r>
            <w:r>
              <w:rPr>
                <w:rFonts w:hint="eastAsia"/>
                <w:sz w:val="24"/>
                <w:szCs w:val="24"/>
                <w:vertAlign w:val="superscript"/>
              </w:rPr>
              <w:t>3</w:t>
            </w:r>
            <w:r>
              <w:rPr>
                <w:rFonts w:hint="eastAsia"/>
                <w:sz w:val="24"/>
                <w:szCs w:val="24"/>
              </w:rPr>
              <w:t>/a）。生活污水的产生量按用水量的80%计算，其产生量为211.7</w:t>
            </w:r>
            <w:r>
              <w:rPr>
                <w:rFonts w:hint="eastAsia"/>
                <w:sz w:val="24"/>
                <w:szCs w:val="24"/>
                <w:lang w:val="en-US" w:eastAsia="zh-CN"/>
              </w:rPr>
              <w:t>0</w:t>
            </w:r>
            <w:r>
              <w:rPr>
                <w:rFonts w:hint="eastAsia"/>
                <w:sz w:val="24"/>
                <w:szCs w:val="24"/>
              </w:rPr>
              <w:t>m</w:t>
            </w:r>
            <w:r>
              <w:rPr>
                <w:rFonts w:hint="eastAsia"/>
                <w:sz w:val="24"/>
                <w:szCs w:val="24"/>
                <w:vertAlign w:val="superscript"/>
              </w:rPr>
              <w:t>3</w:t>
            </w:r>
            <w:r>
              <w:rPr>
                <w:rFonts w:hint="eastAsia"/>
                <w:sz w:val="24"/>
                <w:szCs w:val="24"/>
              </w:rPr>
              <w:t>/a，化粪池收集后，由厂区内污水管网收集至配水井进入项目污水处理系统进行处理。</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sz w:val="24"/>
                <w:szCs w:val="24"/>
              </w:rPr>
            </w:pPr>
            <w:r>
              <w:rPr>
                <w:rFonts w:hint="eastAsia"/>
                <w:sz w:val="24"/>
                <w:szCs w:val="24"/>
              </w:rPr>
              <w:t>污泥脱水分离的</w:t>
            </w:r>
            <w:r>
              <w:rPr>
                <w:rFonts w:hint="eastAsia"/>
                <w:sz w:val="24"/>
                <w:szCs w:val="24"/>
                <w:lang w:eastAsia="zh-CN"/>
              </w:rPr>
              <w:t>滤液</w:t>
            </w:r>
            <w:r>
              <w:rPr>
                <w:rFonts w:hint="eastAsia"/>
                <w:sz w:val="24"/>
                <w:szCs w:val="24"/>
              </w:rPr>
              <w:t>均来源于自身污水处理系统，可直接排入本项目处理。工作人员生活污水经化粪池处理后同</w:t>
            </w:r>
            <w:r>
              <w:rPr>
                <w:rFonts w:hint="eastAsia"/>
                <w:sz w:val="24"/>
                <w:szCs w:val="24"/>
                <w:lang w:eastAsia="zh-CN"/>
              </w:rPr>
              <w:t>滤池反</w:t>
            </w:r>
            <w:r>
              <w:rPr>
                <w:rFonts w:hint="eastAsia"/>
                <w:sz w:val="24"/>
                <w:szCs w:val="24"/>
              </w:rPr>
              <w:t>冲洗废水一起经污水管道收集后进入污水处理系统进行处理。</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sz w:val="24"/>
                <w:szCs w:val="24"/>
                <w:lang w:val="en-US" w:eastAsia="zh-CN"/>
              </w:rPr>
            </w:pPr>
            <w:r>
              <w:rPr>
                <w:rFonts w:hint="eastAsia"/>
                <w:sz w:val="24"/>
                <w:szCs w:val="24"/>
              </w:rPr>
              <w:t>本项目营运后，将使处理污水中的主要污染物BOD</w:t>
            </w:r>
            <w:r>
              <w:rPr>
                <w:rFonts w:hint="eastAsia"/>
                <w:sz w:val="24"/>
                <w:szCs w:val="24"/>
                <w:vertAlign w:val="subscript"/>
              </w:rPr>
              <w:t>5</w:t>
            </w:r>
            <w:r>
              <w:rPr>
                <w:rFonts w:hint="eastAsia"/>
                <w:sz w:val="24"/>
                <w:szCs w:val="24"/>
              </w:rPr>
              <w:t>、CODcr、SS、NH</w:t>
            </w:r>
            <w:r>
              <w:rPr>
                <w:rFonts w:hint="eastAsia"/>
                <w:sz w:val="24"/>
                <w:szCs w:val="24"/>
                <w:vertAlign w:val="subscript"/>
              </w:rPr>
              <w:t>3</w:t>
            </w:r>
            <w:r>
              <w:rPr>
                <w:rFonts w:hint="eastAsia"/>
                <w:sz w:val="24"/>
                <w:szCs w:val="24"/>
              </w:rPr>
              <w:t>-N、TN、TP均得到不同程度地削减，处理后尾水拟排入</w:t>
            </w:r>
            <w:r>
              <w:rPr>
                <w:rFonts w:hint="eastAsia"/>
                <w:sz w:val="24"/>
                <w:szCs w:val="24"/>
                <w:lang w:eastAsia="zh-CN"/>
              </w:rPr>
              <w:t>邵水</w:t>
            </w:r>
            <w:r>
              <w:rPr>
                <w:rFonts w:hint="eastAsia"/>
                <w:sz w:val="24"/>
                <w:szCs w:val="24"/>
              </w:rPr>
              <w:t>。根据设计要求，各污染物削减量见表</w:t>
            </w:r>
            <w:r>
              <w:rPr>
                <w:rFonts w:hint="eastAsia"/>
                <w:sz w:val="24"/>
                <w:szCs w:val="24"/>
                <w:lang w:val="en-US" w:eastAsia="zh-CN"/>
              </w:rPr>
              <w:t>5-3。</w:t>
            </w:r>
          </w:p>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b/>
                <w:bCs/>
              </w:rPr>
            </w:pPr>
            <w:r>
              <w:rPr>
                <w:rFonts w:hint="eastAsia"/>
                <w:b/>
                <w:bCs/>
              </w:rPr>
              <w:t>表</w:t>
            </w:r>
            <w:r>
              <w:rPr>
                <w:b/>
                <w:bCs/>
              </w:rPr>
              <w:t>5-</w:t>
            </w:r>
            <w:r>
              <w:rPr>
                <w:rFonts w:hint="eastAsia"/>
                <w:b/>
                <w:bCs/>
              </w:rPr>
              <w:t xml:space="preserve">3  </w:t>
            </w:r>
            <w:r>
              <w:rPr>
                <w:rFonts w:hint="eastAsia"/>
                <w:b/>
                <w:bCs/>
                <w:lang w:eastAsia="zh-CN"/>
              </w:rPr>
              <w:t>项</w:t>
            </w:r>
            <w:r>
              <w:rPr>
                <w:b/>
                <w:bCs/>
              </w:rPr>
              <w:t>目运营期</w:t>
            </w:r>
            <w:r>
              <w:rPr>
                <w:rFonts w:hint="eastAsia"/>
                <w:b/>
                <w:bCs/>
                <w:lang w:eastAsia="zh-CN"/>
              </w:rPr>
              <w:t>水型污</w:t>
            </w:r>
            <w:r>
              <w:rPr>
                <w:b/>
                <w:bCs/>
              </w:rPr>
              <w:t>染物产排放情况一览表</w:t>
            </w:r>
          </w:p>
          <w:tbl>
            <w:tblPr>
              <w:tblStyle w:val="28"/>
              <w:tblW w:w="456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015"/>
              <w:gridCol w:w="710"/>
              <w:gridCol w:w="922"/>
              <w:gridCol w:w="1167"/>
              <w:gridCol w:w="986"/>
              <w:gridCol w:w="1175"/>
              <w:gridCol w:w="971"/>
              <w:gridCol w:w="8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7" w:type="pct"/>
                  <w:vMerge w:val="restart"/>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r>
                    <w:rPr>
                      <w:rFonts w:hint="eastAsia"/>
                    </w:rPr>
                    <w:t>序号</w:t>
                  </w:r>
                </w:p>
              </w:tc>
              <w:tc>
                <w:tcPr>
                  <w:tcW w:w="606" w:type="pct"/>
                  <w:vMerge w:val="restart"/>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r>
                    <w:rPr>
                      <w:rFonts w:hint="eastAsia"/>
                    </w:rPr>
                    <w:t>废水</w:t>
                  </w:r>
                </w:p>
                <w:p>
                  <w:pPr>
                    <w:pStyle w:val="79"/>
                    <w:keepNext w:val="0"/>
                    <w:keepLines w:val="0"/>
                    <w:pageBreakBefore w:val="0"/>
                    <w:widowControl w:val="0"/>
                    <w:kinsoku/>
                    <w:wordWrap/>
                    <w:overflowPunct/>
                    <w:topLinePunct w:val="0"/>
                    <w:bidi w:val="0"/>
                    <w:adjustRightInd w:val="0"/>
                    <w:snapToGrid w:val="0"/>
                    <w:textAlignment w:val="auto"/>
                  </w:pPr>
                  <w:r>
                    <w:rPr>
                      <w:rFonts w:hint="eastAsia"/>
                    </w:rPr>
                    <w:t>类型</w:t>
                  </w:r>
                </w:p>
              </w:tc>
              <w:tc>
                <w:tcPr>
                  <w:tcW w:w="424" w:type="pct"/>
                  <w:vMerge w:val="restart"/>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r>
                    <w:rPr>
                      <w:rFonts w:hint="eastAsia"/>
                    </w:rPr>
                    <w:t>废水量</w:t>
                  </w:r>
                  <w:r>
                    <w:t>t/a</w:t>
                  </w:r>
                </w:p>
              </w:tc>
              <w:tc>
                <w:tcPr>
                  <w:tcW w:w="550" w:type="pct"/>
                  <w:vMerge w:val="restart"/>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r>
                    <w:rPr>
                      <w:rFonts w:hint="eastAsia"/>
                    </w:rPr>
                    <w:t>污染物</w:t>
                  </w:r>
                </w:p>
              </w:tc>
              <w:tc>
                <w:tcPr>
                  <w:tcW w:w="1286" w:type="pct"/>
                  <w:gridSpan w:val="2"/>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r>
                    <w:rPr>
                      <w:rFonts w:hint="eastAsia"/>
                    </w:rPr>
                    <w:t>产生情况</w:t>
                  </w:r>
                </w:p>
              </w:tc>
              <w:tc>
                <w:tcPr>
                  <w:tcW w:w="1282" w:type="pct"/>
                  <w:gridSpan w:val="2"/>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r>
                    <w:rPr>
                      <w:rFonts w:hint="eastAsia"/>
                    </w:rPr>
                    <w:t>排放情况</w:t>
                  </w:r>
                </w:p>
              </w:tc>
              <w:tc>
                <w:tcPr>
                  <w:tcW w:w="532" w:type="pct"/>
                  <w:vMerge w:val="restart"/>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r>
                    <w:t>消减量</w:t>
                  </w:r>
                </w:p>
                <w:p>
                  <w:pPr>
                    <w:pStyle w:val="79"/>
                    <w:keepNext w:val="0"/>
                    <w:keepLines w:val="0"/>
                    <w:pageBreakBefore w:val="0"/>
                    <w:widowControl w:val="0"/>
                    <w:kinsoku/>
                    <w:wordWrap/>
                    <w:overflowPunct/>
                    <w:topLinePunct w:val="0"/>
                    <w:bidi w:val="0"/>
                    <w:adjustRightInd w:val="0"/>
                    <w:snapToGrid w:val="0"/>
                    <w:textAlignment w:val="auto"/>
                  </w:pPr>
                  <w: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7" w:type="pct"/>
                  <w:vMerge w:val="continue"/>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p>
              </w:tc>
              <w:tc>
                <w:tcPr>
                  <w:tcW w:w="606" w:type="pct"/>
                  <w:vMerge w:val="continue"/>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p>
              </w:tc>
              <w:tc>
                <w:tcPr>
                  <w:tcW w:w="424" w:type="pct"/>
                  <w:vMerge w:val="continue"/>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p>
              </w:tc>
              <w:tc>
                <w:tcPr>
                  <w:tcW w:w="550" w:type="pct"/>
                  <w:vMerge w:val="continue"/>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p>
              </w:tc>
              <w:tc>
                <w:tcPr>
                  <w:tcW w:w="697" w:type="pct"/>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r>
                    <w:rPr>
                      <w:rFonts w:hint="eastAsia"/>
                    </w:rPr>
                    <w:t>浓度</w:t>
                  </w:r>
                  <w:r>
                    <w:t>mg/L</w:t>
                  </w:r>
                </w:p>
              </w:tc>
              <w:tc>
                <w:tcPr>
                  <w:tcW w:w="589" w:type="pct"/>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r>
                    <w:rPr>
                      <w:rFonts w:hint="eastAsia"/>
                    </w:rPr>
                    <w:t>数量</w:t>
                  </w:r>
                  <w:r>
                    <w:t>t/a</w:t>
                  </w:r>
                </w:p>
              </w:tc>
              <w:tc>
                <w:tcPr>
                  <w:tcW w:w="702" w:type="pct"/>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r>
                    <w:rPr>
                      <w:rFonts w:hint="eastAsia"/>
                    </w:rPr>
                    <w:t>浓度</w:t>
                  </w:r>
                  <w:r>
                    <w:t>mg/L</w:t>
                  </w:r>
                </w:p>
              </w:tc>
              <w:tc>
                <w:tcPr>
                  <w:tcW w:w="580" w:type="pct"/>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r>
                    <w:rPr>
                      <w:rFonts w:hint="eastAsia"/>
                    </w:rPr>
                    <w:t>数量</w:t>
                  </w:r>
                  <w:r>
                    <w:t>t/a</w:t>
                  </w:r>
                </w:p>
              </w:tc>
              <w:tc>
                <w:tcPr>
                  <w:tcW w:w="532" w:type="pct"/>
                  <w:vMerge w:val="continue"/>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7" w:type="pct"/>
                  <w:vMerge w:val="restart"/>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r>
                    <w:t>1</w:t>
                  </w:r>
                </w:p>
              </w:tc>
              <w:tc>
                <w:tcPr>
                  <w:tcW w:w="606" w:type="pct"/>
                  <w:vMerge w:val="restart"/>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r>
                    <w:t>污水处理设施尾水</w:t>
                  </w:r>
                </w:p>
              </w:tc>
              <w:tc>
                <w:tcPr>
                  <w:tcW w:w="424" w:type="pct"/>
                  <w:vMerge w:val="restart"/>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rPr>
                      <w:rFonts w:hint="default"/>
                      <w:lang w:val="en-US" w:eastAsia="zh-CN"/>
                    </w:rPr>
                  </w:pPr>
                  <w:r>
                    <w:rPr>
                      <w:rFonts w:hint="eastAsia"/>
                      <w:lang w:val="en-US" w:eastAsia="zh-CN"/>
                    </w:rPr>
                    <w:t>365000</w:t>
                  </w:r>
                </w:p>
              </w:tc>
              <w:tc>
                <w:tcPr>
                  <w:tcW w:w="550" w:type="pct"/>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r>
                    <w:t>COD</w:t>
                  </w:r>
                </w:p>
              </w:tc>
              <w:tc>
                <w:tcPr>
                  <w:tcW w:w="697"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eastAsia="宋体"/>
                      <w:lang w:val="en-US" w:eastAsia="zh-CN"/>
                    </w:rPr>
                  </w:pPr>
                  <w:r>
                    <w:rPr>
                      <w:rFonts w:hint="eastAsia"/>
                      <w:lang w:val="en-US" w:eastAsia="zh-CN"/>
                    </w:rPr>
                    <w:t>240</w:t>
                  </w:r>
                </w:p>
              </w:tc>
              <w:tc>
                <w:tcPr>
                  <w:tcW w:w="589"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87.60</w:t>
                  </w:r>
                </w:p>
              </w:tc>
              <w:tc>
                <w:tcPr>
                  <w:tcW w:w="702"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60</w:t>
                  </w:r>
                </w:p>
              </w:tc>
              <w:tc>
                <w:tcPr>
                  <w:tcW w:w="580"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21.90</w:t>
                  </w:r>
                </w:p>
              </w:tc>
              <w:tc>
                <w:tcPr>
                  <w:tcW w:w="532"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65.70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7" w:type="pct"/>
                  <w:vMerge w:val="continue"/>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p>
              </w:tc>
              <w:tc>
                <w:tcPr>
                  <w:tcW w:w="606" w:type="pct"/>
                  <w:vMerge w:val="continue"/>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p>
              </w:tc>
              <w:tc>
                <w:tcPr>
                  <w:tcW w:w="424" w:type="pct"/>
                  <w:vMerge w:val="continue"/>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p>
              </w:tc>
              <w:tc>
                <w:tcPr>
                  <w:tcW w:w="550" w:type="pct"/>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r>
                    <w:rPr>
                      <w:rFonts w:hint="eastAsia"/>
                    </w:rPr>
                    <w:t>BOD</w:t>
                  </w:r>
                  <w:r>
                    <w:rPr>
                      <w:rFonts w:hint="eastAsia"/>
                      <w:vertAlign w:val="subscript"/>
                    </w:rPr>
                    <w:t>5</w:t>
                  </w:r>
                </w:p>
              </w:tc>
              <w:tc>
                <w:tcPr>
                  <w:tcW w:w="697"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eastAsia="宋体"/>
                      <w:lang w:val="en-US" w:eastAsia="zh-CN"/>
                    </w:rPr>
                  </w:pPr>
                  <w:r>
                    <w:rPr>
                      <w:rFonts w:hint="eastAsia"/>
                      <w:lang w:val="en-US" w:eastAsia="zh-CN"/>
                    </w:rPr>
                    <w:t>110</w:t>
                  </w:r>
                </w:p>
              </w:tc>
              <w:tc>
                <w:tcPr>
                  <w:tcW w:w="589"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40.15</w:t>
                  </w:r>
                </w:p>
              </w:tc>
              <w:tc>
                <w:tcPr>
                  <w:tcW w:w="702"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20</w:t>
                  </w:r>
                </w:p>
              </w:tc>
              <w:tc>
                <w:tcPr>
                  <w:tcW w:w="580"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7.30</w:t>
                  </w:r>
                </w:p>
              </w:tc>
              <w:tc>
                <w:tcPr>
                  <w:tcW w:w="532"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32.85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7" w:type="pct"/>
                  <w:vMerge w:val="continue"/>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p>
              </w:tc>
              <w:tc>
                <w:tcPr>
                  <w:tcW w:w="606" w:type="pct"/>
                  <w:vMerge w:val="continue"/>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p>
              </w:tc>
              <w:tc>
                <w:tcPr>
                  <w:tcW w:w="424" w:type="pct"/>
                  <w:vMerge w:val="continue"/>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p>
              </w:tc>
              <w:tc>
                <w:tcPr>
                  <w:tcW w:w="550" w:type="pct"/>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r>
                    <w:t>NH</w:t>
                  </w:r>
                  <w:r>
                    <w:rPr>
                      <w:vertAlign w:val="subscript"/>
                    </w:rPr>
                    <w:t>3</w:t>
                  </w:r>
                  <w:r>
                    <w:t>-N</w:t>
                  </w:r>
                </w:p>
              </w:tc>
              <w:tc>
                <w:tcPr>
                  <w:tcW w:w="697"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30</w:t>
                  </w:r>
                </w:p>
              </w:tc>
              <w:tc>
                <w:tcPr>
                  <w:tcW w:w="589"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10.95</w:t>
                  </w:r>
                </w:p>
              </w:tc>
              <w:tc>
                <w:tcPr>
                  <w:tcW w:w="702"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8</w:t>
                  </w:r>
                </w:p>
              </w:tc>
              <w:tc>
                <w:tcPr>
                  <w:tcW w:w="580"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2.92</w:t>
                  </w:r>
                </w:p>
              </w:tc>
              <w:tc>
                <w:tcPr>
                  <w:tcW w:w="532"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8.03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7" w:type="pct"/>
                  <w:vMerge w:val="continue"/>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p>
              </w:tc>
              <w:tc>
                <w:tcPr>
                  <w:tcW w:w="606" w:type="pct"/>
                  <w:vMerge w:val="continue"/>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p>
              </w:tc>
              <w:tc>
                <w:tcPr>
                  <w:tcW w:w="424" w:type="pct"/>
                  <w:vMerge w:val="continue"/>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p>
              </w:tc>
              <w:tc>
                <w:tcPr>
                  <w:tcW w:w="550" w:type="pct"/>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r>
                    <w:t>SS</w:t>
                  </w:r>
                </w:p>
              </w:tc>
              <w:tc>
                <w:tcPr>
                  <w:tcW w:w="697"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200</w:t>
                  </w:r>
                </w:p>
              </w:tc>
              <w:tc>
                <w:tcPr>
                  <w:tcW w:w="589"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73.0</w:t>
                  </w:r>
                </w:p>
              </w:tc>
              <w:tc>
                <w:tcPr>
                  <w:tcW w:w="702"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20</w:t>
                  </w:r>
                </w:p>
              </w:tc>
              <w:tc>
                <w:tcPr>
                  <w:tcW w:w="580"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7.30</w:t>
                  </w:r>
                </w:p>
              </w:tc>
              <w:tc>
                <w:tcPr>
                  <w:tcW w:w="532"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65.7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7" w:type="pct"/>
                  <w:vMerge w:val="continue"/>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p>
              </w:tc>
              <w:tc>
                <w:tcPr>
                  <w:tcW w:w="606" w:type="pct"/>
                  <w:vMerge w:val="continue"/>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p>
              </w:tc>
              <w:tc>
                <w:tcPr>
                  <w:tcW w:w="424" w:type="pct"/>
                  <w:vMerge w:val="continue"/>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p>
              </w:tc>
              <w:tc>
                <w:tcPr>
                  <w:tcW w:w="550" w:type="pct"/>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r>
                    <w:t>TN</w:t>
                  </w:r>
                </w:p>
              </w:tc>
              <w:tc>
                <w:tcPr>
                  <w:tcW w:w="697"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35</w:t>
                  </w:r>
                </w:p>
              </w:tc>
              <w:tc>
                <w:tcPr>
                  <w:tcW w:w="589"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12.78</w:t>
                  </w:r>
                </w:p>
              </w:tc>
              <w:tc>
                <w:tcPr>
                  <w:tcW w:w="702"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20</w:t>
                  </w:r>
                </w:p>
              </w:tc>
              <w:tc>
                <w:tcPr>
                  <w:tcW w:w="580"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7.30</w:t>
                  </w:r>
                </w:p>
              </w:tc>
              <w:tc>
                <w:tcPr>
                  <w:tcW w:w="532"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5.48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7" w:type="pct"/>
                  <w:vMerge w:val="continue"/>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p>
              </w:tc>
              <w:tc>
                <w:tcPr>
                  <w:tcW w:w="606" w:type="pct"/>
                  <w:vMerge w:val="continue"/>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p>
              </w:tc>
              <w:tc>
                <w:tcPr>
                  <w:tcW w:w="424" w:type="pct"/>
                  <w:vMerge w:val="continue"/>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pPr>
                </w:p>
              </w:tc>
              <w:tc>
                <w:tcPr>
                  <w:tcW w:w="550" w:type="pct"/>
                  <w:tcBorders>
                    <w:tl2br w:val="nil"/>
                    <w:tr2bl w:val="nil"/>
                  </w:tcBorders>
                  <w:vAlign w:val="center"/>
                </w:tcPr>
                <w:p>
                  <w:pPr>
                    <w:pStyle w:val="79"/>
                    <w:keepNext w:val="0"/>
                    <w:keepLines w:val="0"/>
                    <w:pageBreakBefore w:val="0"/>
                    <w:widowControl w:val="0"/>
                    <w:kinsoku/>
                    <w:wordWrap/>
                    <w:overflowPunct/>
                    <w:topLinePunct w:val="0"/>
                    <w:bidi w:val="0"/>
                    <w:adjustRightInd w:val="0"/>
                    <w:snapToGrid w:val="0"/>
                    <w:textAlignment w:val="auto"/>
                    <w:rPr>
                      <w:rFonts w:hint="default"/>
                      <w:lang w:val="en-US" w:eastAsia="zh-CN"/>
                    </w:rPr>
                  </w:pPr>
                  <w:r>
                    <w:rPr>
                      <w:rFonts w:hint="eastAsia"/>
                      <w:lang w:val="en-US" w:eastAsia="zh-CN"/>
                    </w:rPr>
                    <w:t>TP</w:t>
                  </w:r>
                </w:p>
              </w:tc>
              <w:tc>
                <w:tcPr>
                  <w:tcW w:w="697"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2.5</w:t>
                  </w:r>
                </w:p>
              </w:tc>
              <w:tc>
                <w:tcPr>
                  <w:tcW w:w="589"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0.92</w:t>
                  </w:r>
                </w:p>
              </w:tc>
              <w:tc>
                <w:tcPr>
                  <w:tcW w:w="702"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1</w:t>
                  </w:r>
                </w:p>
              </w:tc>
              <w:tc>
                <w:tcPr>
                  <w:tcW w:w="580"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0.37</w:t>
                  </w:r>
                </w:p>
              </w:tc>
              <w:tc>
                <w:tcPr>
                  <w:tcW w:w="532" w:type="pct"/>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lang w:val="en-US" w:eastAsia="zh-CN"/>
                    </w:rPr>
                  </w:pPr>
                  <w:r>
                    <w:rPr>
                      <w:rFonts w:hint="eastAsia"/>
                      <w:lang w:val="en-US" w:eastAsia="zh-CN"/>
                    </w:rPr>
                    <w:t>0.55</w:t>
                  </w:r>
                </w:p>
              </w:tc>
            </w:tr>
          </w:tbl>
          <w:p>
            <w:pPr>
              <w:keepNext w:val="0"/>
              <w:keepLines w:val="0"/>
              <w:pageBreakBefore w:val="0"/>
              <w:widowControl w:val="0"/>
              <w:kinsoku/>
              <w:wordWrap/>
              <w:overflowPunct/>
              <w:topLinePunct w:val="0"/>
              <w:bidi w:val="0"/>
              <w:adjustRightInd w:val="0"/>
              <w:snapToGrid w:val="0"/>
              <w:spacing w:line="360" w:lineRule="auto"/>
              <w:ind w:firstLine="462" w:firstLineChars="200"/>
              <w:textAlignment w:val="auto"/>
              <w:rPr>
                <w:sz w:val="24"/>
                <w:szCs w:val="24"/>
              </w:rPr>
            </w:pPr>
            <w:r>
              <w:rPr>
                <w:rFonts w:hint="eastAsia"/>
                <w:sz w:val="24"/>
                <w:szCs w:val="24"/>
              </w:rPr>
              <w:t>（2）废气</w:t>
            </w:r>
          </w:p>
          <w:p>
            <w:pPr>
              <w:keepNext w:val="0"/>
              <w:keepLines w:val="0"/>
              <w:pageBreakBefore w:val="0"/>
              <w:widowControl w:val="0"/>
              <w:kinsoku/>
              <w:wordWrap/>
              <w:overflowPunct/>
              <w:topLinePunct w:val="0"/>
              <w:bidi w:val="0"/>
              <w:adjustRightInd w:val="0"/>
              <w:snapToGrid w:val="0"/>
              <w:spacing w:line="360" w:lineRule="auto"/>
              <w:ind w:firstLine="462" w:firstLineChars="200"/>
              <w:textAlignment w:val="auto"/>
              <w:rPr>
                <w:sz w:val="24"/>
                <w:szCs w:val="24"/>
              </w:rPr>
            </w:pPr>
            <w:r>
              <w:rPr>
                <w:sz w:val="24"/>
                <w:szCs w:val="24"/>
              </w:rPr>
              <w:t>本项目运营过程中产生的废气</w:t>
            </w:r>
            <w:r>
              <w:rPr>
                <w:rFonts w:hint="eastAsia"/>
                <w:sz w:val="24"/>
                <w:szCs w:val="24"/>
              </w:rPr>
              <w:t>主要是恶臭气体，在污水处理站运行过程中，由于伴随微生物、原生动物、菌胶团等生物的新陈代谢而产生恶臭污染物，主要成分为</w:t>
            </w:r>
            <w:r>
              <w:rPr>
                <w:sz w:val="24"/>
                <w:szCs w:val="24"/>
              </w:rPr>
              <w:t>H</w:t>
            </w:r>
            <w:r>
              <w:rPr>
                <w:sz w:val="24"/>
                <w:szCs w:val="24"/>
                <w:vertAlign w:val="subscript"/>
              </w:rPr>
              <w:t>2</w:t>
            </w:r>
            <w:r>
              <w:rPr>
                <w:sz w:val="24"/>
                <w:szCs w:val="24"/>
              </w:rPr>
              <w:t>S</w:t>
            </w:r>
            <w:r>
              <w:rPr>
                <w:rFonts w:hint="eastAsia"/>
                <w:sz w:val="24"/>
                <w:szCs w:val="24"/>
              </w:rPr>
              <w:t>和</w:t>
            </w:r>
            <w:r>
              <w:rPr>
                <w:sz w:val="24"/>
                <w:szCs w:val="24"/>
              </w:rPr>
              <w:t>NH</w:t>
            </w:r>
            <w:r>
              <w:rPr>
                <w:sz w:val="24"/>
                <w:szCs w:val="24"/>
                <w:vertAlign w:val="subscript"/>
              </w:rPr>
              <w:t>3</w:t>
            </w:r>
            <w:r>
              <w:rPr>
                <w:rFonts w:hint="eastAsia"/>
                <w:sz w:val="24"/>
                <w:szCs w:val="24"/>
              </w:rPr>
              <w:t>，其逸出量大小，受污水量、</w:t>
            </w:r>
            <w:r>
              <w:rPr>
                <w:sz w:val="24"/>
                <w:szCs w:val="24"/>
              </w:rPr>
              <w:t>BOD</w:t>
            </w:r>
            <w:r>
              <w:rPr>
                <w:sz w:val="24"/>
                <w:szCs w:val="24"/>
                <w:vertAlign w:val="subscript"/>
              </w:rPr>
              <w:t>5</w:t>
            </w:r>
            <w:r>
              <w:rPr>
                <w:rFonts w:hint="eastAsia"/>
                <w:sz w:val="24"/>
                <w:szCs w:val="24"/>
              </w:rPr>
              <w:t>负荷、污水中</w:t>
            </w:r>
            <w:r>
              <w:rPr>
                <w:sz w:val="24"/>
                <w:szCs w:val="24"/>
              </w:rPr>
              <w:t>DO</w:t>
            </w:r>
            <w:r>
              <w:rPr>
                <w:rFonts w:hint="eastAsia"/>
                <w:sz w:val="24"/>
                <w:szCs w:val="24"/>
              </w:rPr>
              <w:t>含量、污泥量及堆存量、污染气象特征等多种因素影响。</w:t>
            </w:r>
            <w:r>
              <w:rPr>
                <w:rFonts w:hint="eastAsia"/>
                <w:sz w:val="24"/>
                <w:szCs w:val="24"/>
                <w:lang w:eastAsia="zh-CN"/>
              </w:rPr>
              <w:t>恶臭气体主要来源于格栅、调节池、沉砂池及污泥处理间。</w:t>
            </w:r>
          </w:p>
          <w:p>
            <w:pPr>
              <w:keepNext w:val="0"/>
              <w:keepLines w:val="0"/>
              <w:pageBreakBefore w:val="0"/>
              <w:widowControl w:val="0"/>
              <w:kinsoku/>
              <w:wordWrap/>
              <w:overflowPunct/>
              <w:topLinePunct w:val="0"/>
              <w:bidi w:val="0"/>
              <w:adjustRightInd w:val="0"/>
              <w:snapToGrid w:val="0"/>
              <w:spacing w:line="360" w:lineRule="auto"/>
              <w:ind w:firstLine="462" w:firstLineChars="200"/>
              <w:textAlignment w:val="auto"/>
              <w:rPr>
                <w:rFonts w:hint="eastAsia"/>
                <w:sz w:val="24"/>
                <w:szCs w:val="24"/>
                <w:lang w:val="en-US" w:eastAsia="zh-CN"/>
              </w:rPr>
            </w:pPr>
            <w:r>
              <w:rPr>
                <w:rFonts w:hint="eastAsia"/>
                <w:sz w:val="24"/>
                <w:szCs w:val="24"/>
              </w:rPr>
              <w:t>根据美国</w:t>
            </w:r>
            <w:r>
              <w:rPr>
                <w:sz w:val="24"/>
                <w:szCs w:val="24"/>
              </w:rPr>
              <w:t>EPA</w:t>
            </w:r>
            <w:r>
              <w:rPr>
                <w:rFonts w:hint="eastAsia"/>
                <w:sz w:val="24"/>
                <w:szCs w:val="24"/>
              </w:rPr>
              <w:t>（美国环境保护署）对污水处理厂恶臭污染物产生情况的研究结：每去除</w:t>
            </w:r>
            <w:r>
              <w:rPr>
                <w:sz w:val="24"/>
                <w:szCs w:val="24"/>
              </w:rPr>
              <w:t>1g</w:t>
            </w:r>
            <w:r>
              <w:rPr>
                <w:rFonts w:hint="eastAsia"/>
                <w:sz w:val="24"/>
                <w:szCs w:val="24"/>
              </w:rPr>
              <w:t>的</w:t>
            </w:r>
            <w:r>
              <w:rPr>
                <w:sz w:val="24"/>
                <w:szCs w:val="24"/>
              </w:rPr>
              <w:t>BOD</w:t>
            </w:r>
            <w:r>
              <w:rPr>
                <w:sz w:val="24"/>
                <w:szCs w:val="24"/>
                <w:vertAlign w:val="subscript"/>
              </w:rPr>
              <w:t>5</w:t>
            </w:r>
            <w:r>
              <w:rPr>
                <w:rFonts w:hint="eastAsia"/>
                <w:sz w:val="24"/>
                <w:szCs w:val="24"/>
              </w:rPr>
              <w:t>，可产生</w:t>
            </w:r>
            <w:r>
              <w:rPr>
                <w:sz w:val="24"/>
                <w:szCs w:val="24"/>
              </w:rPr>
              <w:t>0.0031g</w:t>
            </w:r>
            <w:r>
              <w:rPr>
                <w:rFonts w:hint="eastAsia"/>
                <w:sz w:val="24"/>
                <w:szCs w:val="24"/>
              </w:rPr>
              <w:t>的</w:t>
            </w:r>
            <w:r>
              <w:rPr>
                <w:sz w:val="24"/>
                <w:szCs w:val="24"/>
              </w:rPr>
              <w:t>NH</w:t>
            </w:r>
            <w:r>
              <w:rPr>
                <w:sz w:val="24"/>
                <w:szCs w:val="24"/>
                <w:vertAlign w:val="subscript"/>
              </w:rPr>
              <w:t>3</w:t>
            </w:r>
            <w:r>
              <w:rPr>
                <w:rFonts w:hint="eastAsia"/>
                <w:sz w:val="24"/>
                <w:szCs w:val="24"/>
              </w:rPr>
              <w:t>、</w:t>
            </w:r>
            <w:r>
              <w:rPr>
                <w:sz w:val="24"/>
                <w:szCs w:val="24"/>
              </w:rPr>
              <w:t>0.00012g</w:t>
            </w:r>
            <w:r>
              <w:rPr>
                <w:rFonts w:hint="eastAsia"/>
                <w:sz w:val="24"/>
                <w:szCs w:val="24"/>
              </w:rPr>
              <w:t>的</w:t>
            </w:r>
            <w:r>
              <w:rPr>
                <w:sz w:val="24"/>
                <w:szCs w:val="24"/>
              </w:rPr>
              <w:t>H</w:t>
            </w:r>
            <w:r>
              <w:rPr>
                <w:sz w:val="24"/>
                <w:szCs w:val="24"/>
                <w:vertAlign w:val="subscript"/>
              </w:rPr>
              <w:t>2</w:t>
            </w:r>
            <w:r>
              <w:rPr>
                <w:sz w:val="24"/>
                <w:szCs w:val="24"/>
              </w:rPr>
              <w:t>S</w:t>
            </w:r>
            <w:r>
              <w:rPr>
                <w:rFonts w:hint="eastAsia"/>
                <w:sz w:val="24"/>
                <w:szCs w:val="24"/>
              </w:rPr>
              <w:t>。</w:t>
            </w:r>
            <w:r>
              <w:rPr>
                <w:sz w:val="24"/>
                <w:szCs w:val="24"/>
              </w:rPr>
              <w:t>本项目</w:t>
            </w:r>
            <w:r>
              <w:rPr>
                <w:rFonts w:hint="eastAsia"/>
                <w:sz w:val="24"/>
                <w:szCs w:val="24"/>
                <w:lang w:eastAsia="zh-CN"/>
              </w:rPr>
              <w:t>设计</w:t>
            </w:r>
            <w:r>
              <w:rPr>
                <w:sz w:val="24"/>
                <w:szCs w:val="24"/>
              </w:rPr>
              <w:t>废水处理规模为</w:t>
            </w:r>
            <w:r>
              <w:rPr>
                <w:rFonts w:hint="eastAsia"/>
                <w:sz w:val="24"/>
                <w:szCs w:val="24"/>
                <w:lang w:val="en-US" w:eastAsia="zh-CN"/>
              </w:rPr>
              <w:t>1000</w:t>
            </w:r>
            <w:r>
              <w:rPr>
                <w:sz w:val="24"/>
                <w:szCs w:val="24"/>
              </w:rPr>
              <w:t>m</w:t>
            </w:r>
            <w:r>
              <w:rPr>
                <w:sz w:val="24"/>
                <w:szCs w:val="24"/>
                <w:vertAlign w:val="superscript"/>
              </w:rPr>
              <w:t>3</w:t>
            </w:r>
            <w:r>
              <w:rPr>
                <w:sz w:val="24"/>
                <w:szCs w:val="24"/>
              </w:rPr>
              <w:t>/d</w:t>
            </w:r>
            <w:r>
              <w:rPr>
                <w:rFonts w:hint="eastAsia"/>
                <w:sz w:val="24"/>
                <w:szCs w:val="24"/>
                <w:lang w:eastAsia="zh-CN"/>
              </w:rPr>
              <w:t>，</w:t>
            </w:r>
            <w:r>
              <w:rPr>
                <w:rFonts w:hint="eastAsia"/>
                <w:sz w:val="24"/>
                <w:szCs w:val="24"/>
              </w:rPr>
              <w:t>设计进水</w:t>
            </w:r>
            <w:r>
              <w:rPr>
                <w:sz w:val="24"/>
                <w:szCs w:val="24"/>
              </w:rPr>
              <w:t>BOD</w:t>
            </w:r>
            <w:r>
              <w:rPr>
                <w:sz w:val="24"/>
                <w:szCs w:val="24"/>
                <w:vertAlign w:val="subscript"/>
              </w:rPr>
              <w:t>5</w:t>
            </w:r>
            <w:r>
              <w:rPr>
                <w:rFonts w:hint="eastAsia"/>
                <w:sz w:val="24"/>
                <w:szCs w:val="24"/>
              </w:rPr>
              <w:t>浓度为</w:t>
            </w:r>
            <w:r>
              <w:rPr>
                <w:rFonts w:hint="eastAsia"/>
                <w:sz w:val="24"/>
                <w:szCs w:val="24"/>
                <w:lang w:val="en-US" w:eastAsia="zh-CN"/>
              </w:rPr>
              <w:t>110</w:t>
            </w:r>
            <w:r>
              <w:rPr>
                <w:sz w:val="24"/>
                <w:szCs w:val="24"/>
              </w:rPr>
              <w:t>mg/L</w:t>
            </w:r>
            <w:r>
              <w:rPr>
                <w:rFonts w:hint="eastAsia"/>
                <w:sz w:val="24"/>
                <w:szCs w:val="24"/>
              </w:rPr>
              <w:t>、</w:t>
            </w:r>
            <w:r>
              <w:rPr>
                <w:rFonts w:hint="eastAsia"/>
                <w:sz w:val="24"/>
                <w:szCs w:val="24"/>
                <w:lang w:eastAsia="zh-CN"/>
              </w:rPr>
              <w:t>出水</w:t>
            </w:r>
            <w:r>
              <w:rPr>
                <w:sz w:val="24"/>
                <w:szCs w:val="24"/>
              </w:rPr>
              <w:t>BOD</w:t>
            </w:r>
            <w:r>
              <w:rPr>
                <w:sz w:val="24"/>
                <w:szCs w:val="24"/>
                <w:vertAlign w:val="subscript"/>
              </w:rPr>
              <w:t>5</w:t>
            </w:r>
            <w:r>
              <w:rPr>
                <w:rFonts w:hint="eastAsia"/>
                <w:sz w:val="24"/>
                <w:szCs w:val="24"/>
              </w:rPr>
              <w:t>浓度为</w:t>
            </w:r>
            <w:r>
              <w:rPr>
                <w:rFonts w:hint="eastAsia"/>
                <w:sz w:val="24"/>
                <w:szCs w:val="24"/>
                <w:lang w:val="en-US" w:eastAsia="zh-CN"/>
              </w:rPr>
              <w:t>20</w:t>
            </w:r>
            <w:r>
              <w:rPr>
                <w:sz w:val="24"/>
                <w:szCs w:val="24"/>
              </w:rPr>
              <w:t>mg/L</w:t>
            </w:r>
            <w:r>
              <w:rPr>
                <w:rFonts w:hint="eastAsia"/>
                <w:sz w:val="24"/>
                <w:szCs w:val="24"/>
              </w:rPr>
              <w:t>，则</w:t>
            </w:r>
            <w:r>
              <w:rPr>
                <w:sz w:val="24"/>
                <w:szCs w:val="24"/>
              </w:rPr>
              <w:t>NH</w:t>
            </w:r>
            <w:r>
              <w:rPr>
                <w:sz w:val="24"/>
                <w:szCs w:val="24"/>
                <w:vertAlign w:val="subscript"/>
              </w:rPr>
              <w:t>3</w:t>
            </w:r>
            <w:r>
              <w:rPr>
                <w:rFonts w:hint="eastAsia"/>
                <w:sz w:val="24"/>
                <w:szCs w:val="24"/>
              </w:rPr>
              <w:t>、</w:t>
            </w:r>
            <w:r>
              <w:rPr>
                <w:sz w:val="24"/>
                <w:szCs w:val="24"/>
              </w:rPr>
              <w:t>H</w:t>
            </w:r>
            <w:r>
              <w:rPr>
                <w:sz w:val="24"/>
                <w:szCs w:val="24"/>
                <w:vertAlign w:val="subscript"/>
              </w:rPr>
              <w:t>2</w:t>
            </w:r>
            <w:r>
              <w:rPr>
                <w:sz w:val="24"/>
                <w:szCs w:val="24"/>
              </w:rPr>
              <w:t>S</w:t>
            </w:r>
            <w:r>
              <w:rPr>
                <w:rFonts w:hint="eastAsia"/>
                <w:sz w:val="24"/>
                <w:szCs w:val="24"/>
                <w:lang w:eastAsia="zh-CN"/>
              </w:rPr>
              <w:t>的</w:t>
            </w:r>
            <w:r>
              <w:rPr>
                <w:rFonts w:hint="eastAsia"/>
                <w:sz w:val="24"/>
                <w:szCs w:val="24"/>
              </w:rPr>
              <w:t>产生</w:t>
            </w:r>
            <w:r>
              <w:rPr>
                <w:rFonts w:hint="eastAsia"/>
                <w:sz w:val="24"/>
                <w:szCs w:val="24"/>
                <w:lang w:eastAsia="zh-CN"/>
              </w:rPr>
              <w:t>量</w:t>
            </w:r>
            <w:r>
              <w:rPr>
                <w:rFonts w:hint="eastAsia"/>
                <w:sz w:val="24"/>
                <w:szCs w:val="24"/>
              </w:rPr>
              <w:t>分别为</w:t>
            </w:r>
            <w:r>
              <w:rPr>
                <w:rFonts w:hint="eastAsia"/>
                <w:sz w:val="24"/>
                <w:szCs w:val="24"/>
                <w:lang w:val="en-US" w:eastAsia="zh-CN"/>
              </w:rPr>
              <w:t>0.279</w:t>
            </w:r>
            <w:r>
              <w:rPr>
                <w:rFonts w:hint="eastAsia"/>
                <w:sz w:val="24"/>
                <w:szCs w:val="24"/>
              </w:rPr>
              <w:t>kg/</w:t>
            </w:r>
            <w:r>
              <w:rPr>
                <w:rFonts w:hint="eastAsia"/>
                <w:sz w:val="24"/>
                <w:szCs w:val="24"/>
                <w:lang w:val="en-US" w:eastAsia="zh-CN"/>
              </w:rPr>
              <w:t>d</w:t>
            </w:r>
            <w:r>
              <w:rPr>
                <w:rFonts w:hint="eastAsia"/>
                <w:sz w:val="24"/>
                <w:szCs w:val="24"/>
              </w:rPr>
              <w:t>、</w:t>
            </w:r>
            <w:r>
              <w:rPr>
                <w:rFonts w:hint="eastAsia"/>
                <w:sz w:val="24"/>
                <w:szCs w:val="24"/>
                <w:lang w:val="en-US" w:eastAsia="zh-CN"/>
              </w:rPr>
              <w:t>0.0108</w:t>
            </w:r>
            <w:r>
              <w:rPr>
                <w:rFonts w:hint="eastAsia"/>
                <w:sz w:val="24"/>
                <w:szCs w:val="24"/>
              </w:rPr>
              <w:t>kg/</w:t>
            </w:r>
            <w:r>
              <w:rPr>
                <w:rFonts w:hint="eastAsia"/>
                <w:sz w:val="24"/>
                <w:szCs w:val="24"/>
                <w:lang w:val="en-US" w:eastAsia="zh-CN"/>
              </w:rPr>
              <w:t>d。</w:t>
            </w:r>
          </w:p>
          <w:p>
            <w:pPr>
              <w:keepNext w:val="0"/>
              <w:keepLines w:val="0"/>
              <w:pageBreakBefore w:val="0"/>
              <w:widowControl w:val="0"/>
              <w:kinsoku/>
              <w:wordWrap/>
              <w:overflowPunct/>
              <w:topLinePunct w:val="0"/>
              <w:bidi w:val="0"/>
              <w:adjustRightInd w:val="0"/>
              <w:snapToGrid w:val="0"/>
              <w:spacing w:line="360" w:lineRule="auto"/>
              <w:ind w:firstLine="462" w:firstLineChars="200"/>
              <w:textAlignment w:val="auto"/>
              <w:rPr>
                <w:rFonts w:hint="eastAsia"/>
                <w:sz w:val="24"/>
                <w:szCs w:val="24"/>
                <w:lang w:val="en-US" w:eastAsia="zh-CN"/>
              </w:rPr>
            </w:pPr>
            <w:r>
              <w:rPr>
                <w:rFonts w:hint="eastAsia"/>
                <w:sz w:val="24"/>
                <w:szCs w:val="24"/>
              </w:rPr>
              <w:t>本项目</w:t>
            </w:r>
            <w:r>
              <w:rPr>
                <w:rFonts w:hint="eastAsia"/>
                <w:sz w:val="24"/>
                <w:szCs w:val="24"/>
                <w:lang w:eastAsia="zh-CN"/>
              </w:rPr>
              <w:t>产生废气</w:t>
            </w:r>
            <w:r>
              <w:rPr>
                <w:rFonts w:hint="eastAsia"/>
                <w:sz w:val="24"/>
                <w:szCs w:val="24"/>
              </w:rPr>
              <w:t>量较小，拟采用密闭、合理布局、污水处理</w:t>
            </w:r>
            <w:r>
              <w:rPr>
                <w:rFonts w:hint="eastAsia"/>
                <w:sz w:val="24"/>
                <w:szCs w:val="24"/>
                <w:lang w:eastAsia="zh-CN"/>
              </w:rPr>
              <w:t>区</w:t>
            </w:r>
            <w:r>
              <w:rPr>
                <w:rFonts w:hint="eastAsia"/>
                <w:sz w:val="24"/>
                <w:szCs w:val="24"/>
              </w:rPr>
              <w:t>外围设置5m宽的绿化</w:t>
            </w:r>
            <w:r>
              <w:rPr>
                <w:rFonts w:hint="eastAsia"/>
                <w:sz w:val="24"/>
                <w:szCs w:val="24"/>
                <w:lang w:eastAsia="zh-CN"/>
              </w:rPr>
              <w:t>带等措施，恶臭气体源强可降低</w:t>
            </w:r>
            <w:r>
              <w:rPr>
                <w:rFonts w:hint="eastAsia"/>
                <w:sz w:val="24"/>
                <w:szCs w:val="24"/>
                <w:lang w:val="en-US" w:eastAsia="zh-CN"/>
              </w:rPr>
              <w:t>30%，</w:t>
            </w:r>
            <w:r>
              <w:rPr>
                <w:rFonts w:hint="eastAsia"/>
                <w:sz w:val="24"/>
                <w:szCs w:val="24"/>
              </w:rPr>
              <w:t>则项目</w:t>
            </w:r>
            <w:r>
              <w:rPr>
                <w:sz w:val="24"/>
                <w:szCs w:val="24"/>
              </w:rPr>
              <w:t>NH</w:t>
            </w:r>
            <w:r>
              <w:rPr>
                <w:sz w:val="24"/>
                <w:szCs w:val="24"/>
                <w:vertAlign w:val="subscript"/>
              </w:rPr>
              <w:t>3</w:t>
            </w:r>
            <w:r>
              <w:rPr>
                <w:rFonts w:hint="eastAsia"/>
                <w:sz w:val="24"/>
                <w:szCs w:val="24"/>
              </w:rPr>
              <w:t>、</w:t>
            </w:r>
            <w:r>
              <w:rPr>
                <w:sz w:val="24"/>
                <w:szCs w:val="24"/>
              </w:rPr>
              <w:t>H</w:t>
            </w:r>
            <w:r>
              <w:rPr>
                <w:sz w:val="24"/>
                <w:szCs w:val="24"/>
                <w:vertAlign w:val="subscript"/>
              </w:rPr>
              <w:t>2</w:t>
            </w:r>
            <w:r>
              <w:rPr>
                <w:sz w:val="24"/>
                <w:szCs w:val="24"/>
              </w:rPr>
              <w:t>S</w:t>
            </w:r>
            <w:r>
              <w:rPr>
                <w:rFonts w:hint="eastAsia"/>
                <w:sz w:val="24"/>
                <w:szCs w:val="24"/>
                <w:lang w:eastAsia="zh-CN"/>
              </w:rPr>
              <w:t>的排放量</w:t>
            </w:r>
            <w:r>
              <w:rPr>
                <w:rFonts w:hint="eastAsia"/>
                <w:sz w:val="24"/>
                <w:szCs w:val="24"/>
              </w:rPr>
              <w:t>分别为</w:t>
            </w:r>
            <w:r>
              <w:rPr>
                <w:rFonts w:hint="eastAsia"/>
                <w:sz w:val="24"/>
                <w:szCs w:val="24"/>
                <w:lang w:val="en-US" w:eastAsia="zh-CN"/>
              </w:rPr>
              <w:t>0.1953</w:t>
            </w:r>
            <w:r>
              <w:rPr>
                <w:rFonts w:hint="eastAsia"/>
                <w:sz w:val="24"/>
                <w:szCs w:val="24"/>
              </w:rPr>
              <w:t>kg/</w:t>
            </w:r>
            <w:r>
              <w:rPr>
                <w:rFonts w:hint="eastAsia"/>
                <w:sz w:val="24"/>
                <w:szCs w:val="24"/>
                <w:lang w:val="en-US" w:eastAsia="zh-CN"/>
              </w:rPr>
              <w:t>d</w:t>
            </w:r>
            <w:r>
              <w:rPr>
                <w:rFonts w:hint="eastAsia"/>
                <w:sz w:val="24"/>
                <w:szCs w:val="24"/>
              </w:rPr>
              <w:t>、</w:t>
            </w:r>
            <w:r>
              <w:rPr>
                <w:rFonts w:hint="eastAsia"/>
                <w:sz w:val="24"/>
                <w:szCs w:val="24"/>
                <w:lang w:val="en-US" w:eastAsia="zh-CN"/>
              </w:rPr>
              <w:t>0.00756</w:t>
            </w:r>
            <w:r>
              <w:rPr>
                <w:rFonts w:hint="eastAsia"/>
                <w:sz w:val="24"/>
                <w:szCs w:val="24"/>
              </w:rPr>
              <w:t>kg/</w:t>
            </w:r>
            <w:r>
              <w:rPr>
                <w:rFonts w:hint="eastAsia"/>
                <w:sz w:val="24"/>
                <w:szCs w:val="24"/>
                <w:lang w:val="en-US" w:eastAsia="zh-CN"/>
              </w:rPr>
              <w:t>d。</w:t>
            </w:r>
          </w:p>
          <w:p>
            <w:pPr>
              <w:keepNext w:val="0"/>
              <w:keepLines w:val="0"/>
              <w:pageBreakBefore w:val="0"/>
              <w:widowControl w:val="0"/>
              <w:kinsoku/>
              <w:wordWrap/>
              <w:overflowPunct/>
              <w:topLinePunct w:val="0"/>
              <w:bidi w:val="0"/>
              <w:adjustRightInd w:val="0"/>
              <w:snapToGrid w:val="0"/>
              <w:spacing w:line="360" w:lineRule="auto"/>
              <w:ind w:firstLine="462" w:firstLineChars="200"/>
              <w:textAlignment w:val="auto"/>
              <w:rPr>
                <w:rFonts w:hint="eastAsia"/>
                <w:sz w:val="24"/>
                <w:szCs w:val="24"/>
              </w:rPr>
            </w:pPr>
            <w:r>
              <w:rPr>
                <w:rFonts w:hint="eastAsia"/>
                <w:sz w:val="24"/>
                <w:szCs w:val="24"/>
                <w:lang w:eastAsia="zh-CN"/>
              </w:rPr>
              <w:t>项目</w:t>
            </w:r>
            <w:r>
              <w:rPr>
                <w:rFonts w:hint="eastAsia"/>
                <w:sz w:val="24"/>
                <w:szCs w:val="24"/>
              </w:rPr>
              <w:t>恶臭气体</w:t>
            </w:r>
            <w:r>
              <w:rPr>
                <w:rFonts w:hint="eastAsia"/>
                <w:sz w:val="24"/>
                <w:szCs w:val="24"/>
                <w:lang w:eastAsia="zh-CN"/>
              </w:rPr>
              <w:t>产</w:t>
            </w:r>
            <w:r>
              <w:rPr>
                <w:rFonts w:hint="eastAsia"/>
                <w:sz w:val="24"/>
                <w:szCs w:val="24"/>
              </w:rPr>
              <w:t>排放情况见表5-</w:t>
            </w:r>
            <w:r>
              <w:rPr>
                <w:rFonts w:hint="eastAsia"/>
                <w:sz w:val="24"/>
                <w:szCs w:val="24"/>
                <w:lang w:val="en-US" w:eastAsia="zh-CN"/>
              </w:rPr>
              <w:t>4</w:t>
            </w:r>
            <w:r>
              <w:rPr>
                <w:rFonts w:hint="eastAsia"/>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b/>
                <w:bCs/>
                <w:lang w:eastAsia="zh-CN"/>
              </w:rPr>
            </w:pPr>
            <w:r>
              <w:rPr>
                <w:rFonts w:hint="default"/>
                <w:b/>
                <w:bCs/>
              </w:rPr>
              <w:t>表5-</w:t>
            </w:r>
            <w:r>
              <w:rPr>
                <w:rFonts w:hint="eastAsia"/>
                <w:b/>
                <w:bCs/>
                <w:lang w:val="en-US" w:eastAsia="zh-CN"/>
              </w:rPr>
              <w:t>4</w:t>
            </w:r>
            <w:r>
              <w:rPr>
                <w:rFonts w:hint="default"/>
                <w:b/>
                <w:bCs/>
              </w:rPr>
              <w:t xml:space="preserve">  恶臭气体</w:t>
            </w:r>
            <w:r>
              <w:rPr>
                <w:rFonts w:hint="default"/>
                <w:b/>
                <w:bCs/>
                <w:lang w:eastAsia="zh-CN"/>
              </w:rPr>
              <w:t>产</w:t>
            </w:r>
            <w:r>
              <w:rPr>
                <w:rFonts w:hint="default"/>
                <w:b/>
                <w:bCs/>
              </w:rPr>
              <w:t>排</w:t>
            </w:r>
            <w:r>
              <w:rPr>
                <w:rFonts w:hint="eastAsia"/>
                <w:b/>
                <w:bCs/>
                <w:lang w:eastAsia="zh-CN"/>
              </w:rPr>
              <w:t>情况</w:t>
            </w:r>
          </w:p>
          <w:tbl>
            <w:tblPr>
              <w:tblStyle w:val="27"/>
              <w:tblW w:w="79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2"/>
              <w:gridCol w:w="1000"/>
              <w:gridCol w:w="1010"/>
              <w:gridCol w:w="980"/>
              <w:gridCol w:w="1063"/>
              <w:gridCol w:w="1249"/>
              <w:gridCol w:w="13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1282"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rPr>
                  </w:pPr>
                  <w:r>
                    <w:rPr>
                      <w:rFonts w:hint="default"/>
                    </w:rPr>
                    <w:t>面源</w:t>
                  </w:r>
                </w:p>
              </w:tc>
              <w:tc>
                <w:tcPr>
                  <w:tcW w:w="2010"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rPr>
                  </w:pPr>
                  <w:r>
                    <w:rPr>
                      <w:rFonts w:hint="default"/>
                    </w:rPr>
                    <w:t>产生量（</w:t>
                  </w:r>
                  <w:r>
                    <w:rPr>
                      <w:rFonts w:hint="eastAsia"/>
                      <w:lang w:val="en-US" w:eastAsia="zh-CN"/>
                    </w:rPr>
                    <w:t>kg/a</w:t>
                  </w:r>
                  <w:r>
                    <w:rPr>
                      <w:rFonts w:hint="default"/>
                    </w:rPr>
                    <w:t>）</w:t>
                  </w:r>
                </w:p>
              </w:tc>
              <w:tc>
                <w:tcPr>
                  <w:tcW w:w="2043"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rPr>
                  </w:pPr>
                  <w:r>
                    <w:rPr>
                      <w:rFonts w:hint="default"/>
                    </w:rPr>
                    <w:t>排放量（</w:t>
                  </w:r>
                  <w:r>
                    <w:rPr>
                      <w:rFonts w:hint="eastAsia"/>
                      <w:lang w:val="en-US" w:eastAsia="zh-CN"/>
                    </w:rPr>
                    <w:t>kg/a</w:t>
                  </w:r>
                  <w:r>
                    <w:rPr>
                      <w:rFonts w:hint="default"/>
                    </w:rPr>
                    <w:t>）</w:t>
                  </w:r>
                </w:p>
              </w:tc>
              <w:tc>
                <w:tcPr>
                  <w:tcW w:w="2603"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rPr>
                  </w:pPr>
                  <w:r>
                    <w:rPr>
                      <w:rFonts w:hint="default"/>
                    </w:rPr>
                    <w:t>排放</w:t>
                  </w:r>
                  <w:r>
                    <w:rPr>
                      <w:rFonts w:hint="eastAsia"/>
                      <w:lang w:eastAsia="zh-CN"/>
                    </w:rPr>
                    <w:t>速率</w:t>
                  </w:r>
                  <w:r>
                    <w:rPr>
                      <w:rFonts w:hint="default"/>
                    </w:rPr>
                    <w:t>（</w:t>
                  </w:r>
                  <w:r>
                    <w:rPr>
                      <w:rFonts w:hint="eastAsia"/>
                      <w:lang w:val="en-US" w:eastAsia="zh-CN"/>
                    </w:rPr>
                    <w:t>kg/h</w:t>
                  </w:r>
                  <w:r>
                    <w:rPr>
                      <w:rFonts w:hint="default"/>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 w:hRule="atLeast"/>
                <w:jc w:val="center"/>
              </w:trPr>
              <w:tc>
                <w:tcPr>
                  <w:tcW w:w="1282"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rPr>
                  </w:pPr>
                </w:p>
              </w:tc>
              <w:tc>
                <w:tcPr>
                  <w:tcW w:w="100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rPr>
                  </w:pPr>
                  <w:r>
                    <w:rPr>
                      <w:rFonts w:hint="default"/>
                    </w:rPr>
                    <w:t>NH</w:t>
                  </w:r>
                  <w:r>
                    <w:rPr>
                      <w:rFonts w:hint="default"/>
                      <w:vertAlign w:val="subscript"/>
                    </w:rPr>
                    <w:t>3</w:t>
                  </w:r>
                </w:p>
              </w:tc>
              <w:tc>
                <w:tcPr>
                  <w:tcW w:w="101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rPr>
                  </w:pPr>
                  <w:r>
                    <w:rPr>
                      <w:rFonts w:hint="default"/>
                    </w:rPr>
                    <w:t>H</w:t>
                  </w:r>
                  <w:r>
                    <w:rPr>
                      <w:rFonts w:hint="default"/>
                      <w:vertAlign w:val="subscript"/>
                    </w:rPr>
                    <w:t>2</w:t>
                  </w:r>
                  <w:r>
                    <w:rPr>
                      <w:rFonts w:hint="default"/>
                    </w:rPr>
                    <w:t>S</w:t>
                  </w:r>
                </w:p>
              </w:tc>
              <w:tc>
                <w:tcPr>
                  <w:tcW w:w="98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rPr>
                  </w:pPr>
                  <w:r>
                    <w:rPr>
                      <w:rFonts w:hint="default"/>
                    </w:rPr>
                    <w:t>NH</w:t>
                  </w:r>
                  <w:r>
                    <w:rPr>
                      <w:rFonts w:hint="default"/>
                      <w:vertAlign w:val="subscript"/>
                    </w:rPr>
                    <w:t>3</w:t>
                  </w:r>
                </w:p>
              </w:tc>
              <w:tc>
                <w:tcPr>
                  <w:tcW w:w="1063"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rPr>
                  </w:pPr>
                  <w:r>
                    <w:rPr>
                      <w:rFonts w:hint="default"/>
                    </w:rPr>
                    <w:t>H</w:t>
                  </w:r>
                  <w:r>
                    <w:rPr>
                      <w:rFonts w:hint="default"/>
                      <w:vertAlign w:val="subscript"/>
                    </w:rPr>
                    <w:t>2</w:t>
                  </w:r>
                  <w:r>
                    <w:rPr>
                      <w:rFonts w:hint="default"/>
                    </w:rPr>
                    <w:t>S</w:t>
                  </w:r>
                </w:p>
              </w:tc>
              <w:tc>
                <w:tcPr>
                  <w:tcW w:w="1249" w:type="dxa"/>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lang w:val="en-US" w:eastAsia="zh-CN"/>
                    </w:rPr>
                  </w:pPr>
                  <w:r>
                    <w:rPr>
                      <w:rFonts w:hint="default"/>
                    </w:rPr>
                    <w:t>NH</w:t>
                  </w:r>
                  <w:r>
                    <w:rPr>
                      <w:rFonts w:hint="default"/>
                      <w:vertAlign w:val="subscript"/>
                    </w:rPr>
                    <w:t>3</w:t>
                  </w:r>
                </w:p>
              </w:tc>
              <w:tc>
                <w:tcPr>
                  <w:tcW w:w="1354" w:type="dxa"/>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lang w:val="en-US" w:eastAsia="zh-CN"/>
                    </w:rPr>
                  </w:pPr>
                  <w:r>
                    <w:rPr>
                      <w:rFonts w:hint="default"/>
                    </w:rPr>
                    <w:t>H</w:t>
                  </w:r>
                  <w:r>
                    <w:rPr>
                      <w:rFonts w:hint="default"/>
                      <w:vertAlign w:val="subscript"/>
                    </w:rPr>
                    <w:t>2</w:t>
                  </w:r>
                  <w:r>
                    <w:rPr>
                      <w:rFonts w:hint="default"/>
                    </w:rPr>
                    <w:t>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12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eastAsia"/>
                      <w:lang w:eastAsia="zh-CN"/>
                    </w:rPr>
                  </w:pPr>
                  <w:r>
                    <w:rPr>
                      <w:rFonts w:hint="eastAsia"/>
                      <w:lang w:eastAsia="zh-CN"/>
                    </w:rPr>
                    <w:t>污水处理区</w:t>
                  </w:r>
                </w:p>
              </w:tc>
              <w:tc>
                <w:tcPr>
                  <w:tcW w:w="100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lang w:val="en-US" w:eastAsia="zh-CN"/>
                    </w:rPr>
                  </w:pPr>
                  <w:r>
                    <w:rPr>
                      <w:rFonts w:hint="eastAsia"/>
                      <w:lang w:val="en-US" w:eastAsia="zh-CN"/>
                    </w:rPr>
                    <w:t>101.835</w:t>
                  </w:r>
                </w:p>
              </w:tc>
              <w:tc>
                <w:tcPr>
                  <w:tcW w:w="101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lang w:val="en-US" w:eastAsia="zh-CN"/>
                    </w:rPr>
                  </w:pPr>
                  <w:r>
                    <w:rPr>
                      <w:rFonts w:hint="eastAsia"/>
                      <w:lang w:val="en-US" w:eastAsia="zh-CN"/>
                    </w:rPr>
                    <w:t>3.942</w:t>
                  </w:r>
                </w:p>
              </w:tc>
              <w:tc>
                <w:tcPr>
                  <w:tcW w:w="98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lang w:val="en-US" w:eastAsia="zh-CN"/>
                    </w:rPr>
                  </w:pPr>
                  <w:r>
                    <w:rPr>
                      <w:rFonts w:hint="eastAsia"/>
                      <w:lang w:val="en-US" w:eastAsia="zh-CN"/>
                    </w:rPr>
                    <w:t>71.285</w:t>
                  </w:r>
                </w:p>
              </w:tc>
              <w:tc>
                <w:tcPr>
                  <w:tcW w:w="1063"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lang w:val="en-US" w:eastAsia="zh-CN"/>
                    </w:rPr>
                  </w:pPr>
                  <w:r>
                    <w:rPr>
                      <w:rFonts w:hint="eastAsia"/>
                      <w:lang w:val="en-US" w:eastAsia="zh-CN"/>
                    </w:rPr>
                    <w:t>2.759</w:t>
                  </w:r>
                </w:p>
              </w:tc>
              <w:tc>
                <w:tcPr>
                  <w:tcW w:w="1249"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lang w:val="en-US" w:eastAsia="zh-CN"/>
                    </w:rPr>
                  </w:pPr>
                  <w:r>
                    <w:rPr>
                      <w:rFonts w:hint="eastAsia"/>
                      <w:lang w:val="en-US" w:eastAsia="zh-CN"/>
                    </w:rPr>
                    <w:t>0.0081</w:t>
                  </w:r>
                </w:p>
              </w:tc>
              <w:tc>
                <w:tcPr>
                  <w:tcW w:w="135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lang w:val="en-US" w:eastAsia="zh-CN"/>
                    </w:rPr>
                  </w:pPr>
                  <w:r>
                    <w:rPr>
                      <w:rFonts w:hint="eastAsia"/>
                      <w:lang w:val="en-US" w:eastAsia="zh-CN"/>
                    </w:rPr>
                    <w:t>0.0003</w:t>
                  </w:r>
                </w:p>
              </w:tc>
            </w:tr>
          </w:tbl>
          <w:p>
            <w:pPr>
              <w:keepNext w:val="0"/>
              <w:keepLines w:val="0"/>
              <w:pageBreakBefore w:val="0"/>
              <w:widowControl w:val="0"/>
              <w:kinsoku/>
              <w:wordWrap/>
              <w:overflowPunct/>
              <w:topLinePunct w:val="0"/>
              <w:bidi w:val="0"/>
              <w:adjustRightInd w:val="0"/>
              <w:snapToGrid w:val="0"/>
              <w:spacing w:line="360" w:lineRule="auto"/>
              <w:ind w:firstLine="462" w:firstLineChars="200"/>
              <w:textAlignment w:val="auto"/>
              <w:rPr>
                <w:sz w:val="24"/>
                <w:szCs w:val="24"/>
              </w:rPr>
            </w:pPr>
            <w:r>
              <w:rPr>
                <w:rFonts w:hint="eastAsia"/>
                <w:sz w:val="24"/>
                <w:szCs w:val="24"/>
              </w:rPr>
              <w:t>（3）噪声</w:t>
            </w:r>
          </w:p>
          <w:p>
            <w:pPr>
              <w:keepNext w:val="0"/>
              <w:keepLines w:val="0"/>
              <w:pageBreakBefore w:val="0"/>
              <w:widowControl w:val="0"/>
              <w:kinsoku/>
              <w:wordWrap/>
              <w:overflowPunct/>
              <w:topLinePunct w:val="0"/>
              <w:bidi w:val="0"/>
              <w:adjustRightInd w:val="0"/>
              <w:snapToGrid w:val="0"/>
              <w:spacing w:line="360" w:lineRule="auto"/>
              <w:ind w:firstLine="462" w:firstLineChars="200"/>
              <w:textAlignment w:val="auto"/>
              <w:rPr>
                <w:rFonts w:hint="eastAsia"/>
                <w:sz w:val="24"/>
                <w:szCs w:val="24"/>
                <w:lang w:eastAsia="zh-CN"/>
              </w:rPr>
            </w:pPr>
            <w:r>
              <w:rPr>
                <w:sz w:val="24"/>
                <w:szCs w:val="24"/>
              </w:rPr>
              <w:t>本项目主要噪声源为于污水泵房和鼓风机房，均为点源</w:t>
            </w:r>
            <w:r>
              <w:rPr>
                <w:rFonts w:hint="eastAsia"/>
                <w:sz w:val="24"/>
                <w:szCs w:val="24"/>
              </w:rPr>
              <w:t>，其噪声源强通过类比统计如下</w:t>
            </w:r>
            <w:r>
              <w:rPr>
                <w:rFonts w:hint="eastAsia"/>
                <w:sz w:val="24"/>
                <w:szCs w:val="24"/>
                <w:lang w:eastAsia="zh-CN"/>
              </w:rPr>
              <w:t>。</w:t>
            </w:r>
          </w:p>
          <w:p>
            <w:pPr>
              <w:keepNext w:val="0"/>
              <w:keepLines w:val="0"/>
              <w:pageBreakBefore w:val="0"/>
              <w:widowControl w:val="0"/>
              <w:kinsoku/>
              <w:wordWrap/>
              <w:overflowPunct/>
              <w:topLinePunct w:val="0"/>
              <w:bidi w:val="0"/>
              <w:adjustRightInd w:val="0"/>
              <w:snapToGrid w:val="0"/>
              <w:ind w:left="1" w:firstLine="480"/>
              <w:jc w:val="center"/>
              <w:textAlignment w:val="auto"/>
              <w:rPr>
                <w:b/>
                <w:bCs/>
              </w:rPr>
            </w:pPr>
            <w:r>
              <w:rPr>
                <w:b/>
                <w:bCs/>
              </w:rPr>
              <w:t>表5-</w:t>
            </w:r>
            <w:r>
              <w:rPr>
                <w:rFonts w:hint="eastAsia"/>
                <w:b/>
                <w:bCs/>
                <w:lang w:val="en-US" w:eastAsia="zh-CN"/>
              </w:rPr>
              <w:t>5</w:t>
            </w:r>
            <w:r>
              <w:rPr>
                <w:b/>
                <w:bCs/>
              </w:rPr>
              <w:t xml:space="preserve">    主要噪声源</w:t>
            </w:r>
            <w:r>
              <w:rPr>
                <w:rFonts w:hint="eastAsia"/>
                <w:b/>
                <w:bCs/>
              </w:rPr>
              <w:t>统计</w:t>
            </w:r>
            <w:r>
              <w:rPr>
                <w:b/>
                <w:bCs/>
              </w:rPr>
              <w:t>情况</w:t>
            </w:r>
          </w:p>
          <w:tbl>
            <w:tblPr>
              <w:tblStyle w:val="27"/>
              <w:tblW w:w="90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920"/>
              <w:gridCol w:w="810"/>
              <w:gridCol w:w="1395"/>
              <w:gridCol w:w="2295"/>
              <w:gridCol w:w="13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噪声源</w:t>
                  </w:r>
                </w:p>
              </w:tc>
              <w:tc>
                <w:tcPr>
                  <w:tcW w:w="19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设备名称</w:t>
                  </w:r>
                </w:p>
              </w:tc>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数量</w:t>
                  </w:r>
                </w:p>
              </w:tc>
              <w:tc>
                <w:tcPr>
                  <w:tcW w:w="13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等效声级</w:t>
                  </w:r>
                </w:p>
              </w:tc>
              <w:tc>
                <w:tcPr>
                  <w:tcW w:w="22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治理措施</w:t>
                  </w:r>
                </w:p>
              </w:tc>
              <w:tc>
                <w:tcPr>
                  <w:tcW w:w="13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降噪后声级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rPr>
                  </w:pPr>
                  <w:r>
                    <w:rPr>
                      <w:color w:val="auto"/>
                      <w:kern w:val="0"/>
                      <w:szCs w:val="21"/>
                      <w:u w:val="none"/>
                    </w:rPr>
                    <w:t>格栅</w:t>
                  </w:r>
                  <w:r>
                    <w:rPr>
                      <w:rFonts w:hint="eastAsia"/>
                      <w:color w:val="auto"/>
                      <w:kern w:val="0"/>
                      <w:szCs w:val="21"/>
                      <w:u w:val="none"/>
                      <w:lang w:eastAsia="zh-CN"/>
                    </w:rPr>
                    <w:t>渠</w:t>
                  </w:r>
                </w:p>
              </w:tc>
              <w:tc>
                <w:tcPr>
                  <w:tcW w:w="19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color w:val="auto"/>
                      <w:kern w:val="0"/>
                      <w:szCs w:val="21"/>
                      <w:u w:val="none"/>
                    </w:rPr>
                    <w:t>循环式齿耙清污机</w:t>
                  </w:r>
                </w:p>
              </w:tc>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1套</w:t>
                  </w:r>
                </w:p>
              </w:tc>
              <w:tc>
                <w:tcPr>
                  <w:tcW w:w="13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70~80dB(A)</w:t>
                  </w:r>
                </w:p>
              </w:tc>
              <w:tc>
                <w:tcPr>
                  <w:tcW w:w="22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lang w:val="en-US" w:eastAsia="zh-CN"/>
                    </w:rPr>
                  </w:pPr>
                  <w:r>
                    <w:rPr>
                      <w:rFonts w:hint="eastAsia"/>
                      <w:lang w:val="en-US" w:eastAsia="zh-CN"/>
                    </w:rPr>
                    <w:t>-</w:t>
                  </w:r>
                </w:p>
              </w:tc>
              <w:tc>
                <w:tcPr>
                  <w:tcW w:w="13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lang w:val="en-US" w:eastAsia="zh-CN"/>
                    </w:rPr>
                  </w:pPr>
                  <w:r>
                    <w:rPr>
                      <w:rFonts w:hint="eastAsia"/>
                      <w:lang w:val="en-US" w:eastAsia="zh-CN"/>
                    </w:rPr>
                    <w:t>60-70</w:t>
                  </w:r>
                  <w:r>
                    <w:t>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1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调节池</w:t>
                  </w:r>
                </w:p>
              </w:tc>
              <w:tc>
                <w:tcPr>
                  <w:tcW w:w="19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lang w:eastAsia="zh-CN"/>
                    </w:rPr>
                    <w:t>提升</w:t>
                  </w:r>
                  <w:r>
                    <w:t>泵</w:t>
                  </w:r>
                </w:p>
              </w:tc>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2台</w:t>
                  </w:r>
                </w:p>
              </w:tc>
              <w:tc>
                <w:tcPr>
                  <w:tcW w:w="13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75~85dB(A)</w:t>
                  </w:r>
                </w:p>
              </w:tc>
              <w:tc>
                <w:tcPr>
                  <w:tcW w:w="22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水下安装，位于泵房内</w:t>
                  </w:r>
                </w:p>
              </w:tc>
              <w:tc>
                <w:tcPr>
                  <w:tcW w:w="13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5</w:t>
                  </w:r>
                  <w:r>
                    <w:t>5~</w:t>
                  </w:r>
                  <w:r>
                    <w:rPr>
                      <w:rFonts w:hint="eastAsia"/>
                    </w:rPr>
                    <w:t>6</w:t>
                  </w:r>
                  <w:r>
                    <w:t>5dB(A)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1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9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潜水搅拌机（调节）</w:t>
                  </w:r>
                </w:p>
              </w:tc>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lang w:val="en-US" w:eastAsia="zh-CN"/>
                    </w:rPr>
                    <w:t>1</w:t>
                  </w:r>
                  <w:r>
                    <w:t>台</w:t>
                  </w:r>
                </w:p>
              </w:tc>
              <w:tc>
                <w:tcPr>
                  <w:tcW w:w="13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70~80dB(A)</w:t>
                  </w:r>
                </w:p>
              </w:tc>
              <w:tc>
                <w:tcPr>
                  <w:tcW w:w="22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水下安装</w:t>
                  </w:r>
                </w:p>
              </w:tc>
              <w:tc>
                <w:tcPr>
                  <w:tcW w:w="13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6</w:t>
                  </w:r>
                  <w:r>
                    <w:t>0~</w:t>
                  </w:r>
                  <w:r>
                    <w:rPr>
                      <w:rFonts w:hint="eastAsia"/>
                    </w:rPr>
                    <w:t>7</w:t>
                  </w:r>
                  <w:r>
                    <w:t>0dB(A)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1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r>
                    <w:rPr>
                      <w:rFonts w:hint="default"/>
                      <w:lang w:val="en-US" w:eastAsia="zh-CN"/>
                    </w:rPr>
                    <w:t>一体化</w:t>
                  </w:r>
                  <w:r>
                    <w:rPr>
                      <w:rFonts w:hint="eastAsia"/>
                      <w:lang w:val="en-US" w:eastAsia="zh-CN"/>
                    </w:rPr>
                    <w:t>生化生化系统</w:t>
                  </w:r>
                </w:p>
              </w:tc>
              <w:tc>
                <w:tcPr>
                  <w:tcW w:w="19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潜水搅拌机</w:t>
                  </w:r>
                </w:p>
              </w:tc>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2台</w:t>
                  </w:r>
                </w:p>
              </w:tc>
              <w:tc>
                <w:tcPr>
                  <w:tcW w:w="13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70~80dB(A)</w:t>
                  </w:r>
                </w:p>
              </w:tc>
              <w:tc>
                <w:tcPr>
                  <w:tcW w:w="22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水下安装</w:t>
                  </w:r>
                </w:p>
              </w:tc>
              <w:tc>
                <w:tcPr>
                  <w:tcW w:w="13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6</w:t>
                  </w:r>
                  <w:r>
                    <w:t>0~</w:t>
                  </w:r>
                  <w:r>
                    <w:rPr>
                      <w:rFonts w:hint="eastAsia"/>
                    </w:rPr>
                    <w:t>7</w:t>
                  </w:r>
                  <w:r>
                    <w:t>0dB(A)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1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p>
              </w:tc>
              <w:tc>
                <w:tcPr>
                  <w:tcW w:w="19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lang w:eastAsia="zh-CN"/>
                    </w:rPr>
                  </w:pPr>
                  <w:r>
                    <w:rPr>
                      <w:rFonts w:hint="eastAsia"/>
                      <w:lang w:eastAsia="zh-CN"/>
                    </w:rPr>
                    <w:t>罗茨鼓风机</w:t>
                  </w:r>
                </w:p>
              </w:tc>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lang w:val="en-US" w:eastAsia="zh-CN"/>
                    </w:rPr>
                  </w:pPr>
                  <w:r>
                    <w:rPr>
                      <w:rFonts w:hint="eastAsia"/>
                      <w:lang w:val="en-US" w:eastAsia="zh-CN"/>
                    </w:rPr>
                    <w:t>2台</w:t>
                  </w:r>
                </w:p>
              </w:tc>
              <w:tc>
                <w:tcPr>
                  <w:tcW w:w="13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lang w:val="en-US" w:eastAsia="zh-CN"/>
                    </w:rPr>
                  </w:pPr>
                  <w:r>
                    <w:rPr>
                      <w:rFonts w:hint="eastAsia"/>
                      <w:lang w:val="en-US" w:eastAsia="zh-CN"/>
                    </w:rPr>
                    <w:t>75-85</w:t>
                  </w:r>
                  <w:r>
                    <w:t>dB(A)</w:t>
                  </w:r>
                </w:p>
              </w:tc>
              <w:tc>
                <w:tcPr>
                  <w:tcW w:w="22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室内安装、减振、消声</w:t>
                  </w:r>
                </w:p>
              </w:tc>
              <w:tc>
                <w:tcPr>
                  <w:tcW w:w="13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rPr>
                  </w:pPr>
                  <w:r>
                    <w:rPr>
                      <w:rFonts w:hint="eastAsia"/>
                    </w:rPr>
                    <w:t>5</w:t>
                  </w:r>
                  <w:r>
                    <w:t>5~</w:t>
                  </w:r>
                  <w:r>
                    <w:rPr>
                      <w:rFonts w:hint="eastAsia"/>
                    </w:rPr>
                    <w:t>6</w:t>
                  </w:r>
                  <w:r>
                    <w:t>5dB(A)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2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r>
                    <w:rPr>
                      <w:rFonts w:hint="eastAsia"/>
                    </w:rPr>
                    <w:t>脱水机房</w:t>
                  </w:r>
                </w:p>
              </w:tc>
              <w:tc>
                <w:tcPr>
                  <w:tcW w:w="19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r>
                    <w:rPr>
                      <w:rFonts w:hint="eastAsia"/>
                    </w:rPr>
                    <w:t>压滤机</w:t>
                  </w:r>
                </w:p>
              </w:tc>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r>
                    <w:rPr>
                      <w:rFonts w:hint="eastAsia"/>
                      <w:lang w:val="en-US" w:eastAsia="zh-CN"/>
                    </w:rPr>
                    <w:t>1</w:t>
                  </w:r>
                  <w:r>
                    <w:rPr>
                      <w:rFonts w:hint="eastAsia"/>
                    </w:rPr>
                    <w:t>台</w:t>
                  </w:r>
                </w:p>
              </w:tc>
              <w:tc>
                <w:tcPr>
                  <w:tcW w:w="13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r>
                    <w:t>75~85dB(A)</w:t>
                  </w:r>
                </w:p>
              </w:tc>
              <w:tc>
                <w:tcPr>
                  <w:tcW w:w="22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r>
                    <w:t>室内安装、减振、消声</w:t>
                  </w:r>
                </w:p>
              </w:tc>
              <w:tc>
                <w:tcPr>
                  <w:tcW w:w="13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r>
                    <w:rPr>
                      <w:rFonts w:hint="eastAsia"/>
                    </w:rPr>
                    <w:t>5</w:t>
                  </w:r>
                  <w:r>
                    <w:t>5~</w:t>
                  </w:r>
                  <w:r>
                    <w:rPr>
                      <w:rFonts w:hint="eastAsia"/>
                    </w:rPr>
                    <w:t>6</w:t>
                  </w:r>
                  <w:r>
                    <w:t>5dB(A)</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firstLine="462" w:firstLineChars="200"/>
              <w:textAlignment w:val="auto"/>
              <w:rPr>
                <w:sz w:val="24"/>
                <w:szCs w:val="24"/>
              </w:rPr>
            </w:pPr>
            <w:r>
              <w:rPr>
                <w:rFonts w:hint="eastAsia"/>
                <w:sz w:val="24"/>
                <w:szCs w:val="24"/>
              </w:rPr>
              <w:t>（4）固体废物</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62" w:firstLineChars="200"/>
              <w:textAlignment w:val="auto"/>
              <w:rPr>
                <w:sz w:val="24"/>
                <w:szCs w:val="24"/>
              </w:rPr>
            </w:pPr>
            <w:r>
              <w:rPr>
                <w:rFonts w:hint="eastAsia"/>
                <w:sz w:val="24"/>
                <w:szCs w:val="24"/>
              </w:rPr>
              <w:t>本项目固体废物包括污水处理过程中产生的栅渣、污泥</w:t>
            </w:r>
            <w:r>
              <w:rPr>
                <w:rFonts w:hint="eastAsia"/>
                <w:sz w:val="24"/>
                <w:szCs w:val="24"/>
                <w:lang w:eastAsia="zh-CN"/>
              </w:rPr>
              <w:t>及废包装材料</w:t>
            </w:r>
            <w:r>
              <w:rPr>
                <w:rFonts w:hint="eastAsia"/>
                <w:sz w:val="24"/>
                <w:szCs w:val="24"/>
              </w:rPr>
              <w:t>等；污水厂工作人员产生的生活垃圾；消毒过程中产生的危险废物等。</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62" w:firstLineChars="200"/>
              <w:textAlignment w:val="auto"/>
              <w:rPr>
                <w:sz w:val="24"/>
                <w:szCs w:val="24"/>
              </w:rPr>
            </w:pPr>
            <w:r>
              <w:rPr>
                <w:sz w:val="24"/>
                <w:szCs w:val="24"/>
              </w:rPr>
              <w:t>1</w:t>
            </w:r>
            <w:r>
              <w:rPr>
                <w:rFonts w:hint="eastAsia"/>
                <w:sz w:val="24"/>
                <w:szCs w:val="24"/>
              </w:rPr>
              <w:t>）栅渣：在污水预处理阶段，由格栅井分离出一定量的栅渣，主要是较大块状物、枝状物、软性物质和软塑料等粗、细垃圾和悬浮或飘浮状态的杂物。根据可研提供资料类比分析可知，栅渣产生量约</w:t>
            </w:r>
            <w:r>
              <w:rPr>
                <w:sz w:val="24"/>
                <w:szCs w:val="24"/>
              </w:rPr>
              <w:t>0.03m</w:t>
            </w:r>
            <w:r>
              <w:rPr>
                <w:sz w:val="24"/>
                <w:szCs w:val="24"/>
                <w:vertAlign w:val="superscript"/>
              </w:rPr>
              <w:t>3</w:t>
            </w:r>
            <w:r>
              <w:rPr>
                <w:sz w:val="24"/>
                <w:szCs w:val="24"/>
              </w:rPr>
              <w:t>/1000m</w:t>
            </w:r>
            <w:r>
              <w:rPr>
                <w:sz w:val="24"/>
                <w:szCs w:val="24"/>
                <w:vertAlign w:val="superscript"/>
              </w:rPr>
              <w:t>3</w:t>
            </w:r>
            <w:r>
              <w:rPr>
                <w:rFonts w:hint="eastAsia"/>
                <w:sz w:val="24"/>
                <w:szCs w:val="24"/>
              </w:rPr>
              <w:t>污水，容重</w:t>
            </w:r>
            <w:r>
              <w:rPr>
                <w:sz w:val="24"/>
                <w:szCs w:val="24"/>
              </w:rPr>
              <w:t>960kg/m</w:t>
            </w:r>
            <w:r>
              <w:rPr>
                <w:sz w:val="24"/>
                <w:szCs w:val="24"/>
                <w:vertAlign w:val="superscript"/>
              </w:rPr>
              <w:t>3</w:t>
            </w:r>
            <w:r>
              <w:rPr>
                <w:rFonts w:hint="eastAsia"/>
                <w:sz w:val="24"/>
                <w:szCs w:val="24"/>
              </w:rPr>
              <w:t>。本次项目污水处理能力为</w:t>
            </w:r>
            <w:r>
              <w:rPr>
                <w:rFonts w:hint="eastAsia"/>
                <w:sz w:val="24"/>
                <w:szCs w:val="24"/>
                <w:lang w:val="en-US" w:eastAsia="zh-CN"/>
              </w:rPr>
              <w:t>1</w:t>
            </w:r>
            <w:r>
              <w:rPr>
                <w:rFonts w:hint="eastAsia"/>
                <w:sz w:val="24"/>
                <w:szCs w:val="24"/>
              </w:rPr>
              <w:t>000</w:t>
            </w:r>
            <w:r>
              <w:rPr>
                <w:sz w:val="24"/>
                <w:szCs w:val="24"/>
              </w:rPr>
              <w:t>m</w:t>
            </w:r>
            <w:r>
              <w:rPr>
                <w:sz w:val="24"/>
                <w:szCs w:val="24"/>
                <w:vertAlign w:val="superscript"/>
              </w:rPr>
              <w:t>3</w:t>
            </w:r>
            <w:r>
              <w:rPr>
                <w:sz w:val="24"/>
                <w:szCs w:val="24"/>
              </w:rPr>
              <w:t>/d</w:t>
            </w:r>
            <w:r>
              <w:rPr>
                <w:rFonts w:hint="eastAsia"/>
                <w:sz w:val="24"/>
                <w:szCs w:val="24"/>
                <w:lang w:eastAsia="zh-CN"/>
              </w:rPr>
              <w:t>，</w:t>
            </w:r>
            <w:r>
              <w:rPr>
                <w:rFonts w:hint="eastAsia"/>
                <w:sz w:val="24"/>
                <w:szCs w:val="24"/>
              </w:rPr>
              <w:t>按此估算，栅渣产生量约为</w:t>
            </w:r>
            <w:r>
              <w:rPr>
                <w:rFonts w:hint="eastAsia"/>
                <w:sz w:val="24"/>
                <w:szCs w:val="24"/>
                <w:lang w:eastAsia="zh-CN"/>
              </w:rPr>
              <w:t>28.8</w:t>
            </w:r>
            <w:r>
              <w:rPr>
                <w:rFonts w:hint="eastAsia"/>
                <w:sz w:val="24"/>
                <w:szCs w:val="24"/>
              </w:rPr>
              <w:t>kg</w:t>
            </w:r>
            <w:r>
              <w:rPr>
                <w:sz w:val="24"/>
                <w:szCs w:val="24"/>
              </w:rPr>
              <w:t>/d</w:t>
            </w:r>
            <w:r>
              <w:rPr>
                <w:rFonts w:hint="eastAsia"/>
                <w:sz w:val="24"/>
                <w:szCs w:val="24"/>
              </w:rPr>
              <w:t>（</w:t>
            </w:r>
            <w:r>
              <w:rPr>
                <w:rFonts w:hint="eastAsia"/>
                <w:sz w:val="24"/>
                <w:szCs w:val="24"/>
                <w:lang w:eastAsia="zh-CN"/>
              </w:rPr>
              <w:t>10.52</w:t>
            </w:r>
            <w:r>
              <w:rPr>
                <w:sz w:val="24"/>
                <w:szCs w:val="24"/>
              </w:rPr>
              <w:t>t/a</w:t>
            </w:r>
            <w:r>
              <w:rPr>
                <w:rFonts w:hint="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62" w:firstLineChars="200"/>
              <w:textAlignment w:val="auto"/>
              <w:rPr>
                <w:rFonts w:hint="eastAsia"/>
                <w:sz w:val="24"/>
                <w:szCs w:val="24"/>
              </w:rPr>
            </w:pPr>
            <w:r>
              <w:rPr>
                <w:rFonts w:hint="eastAsia"/>
                <w:sz w:val="24"/>
                <w:szCs w:val="24"/>
                <w:lang w:val="en-US" w:eastAsia="zh-CN"/>
              </w:rPr>
              <w:t>2</w:t>
            </w:r>
            <w:r>
              <w:rPr>
                <w:rFonts w:hint="eastAsia"/>
                <w:sz w:val="24"/>
                <w:szCs w:val="24"/>
              </w:rPr>
              <w:t>）污泥</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62" w:firstLineChars="200"/>
              <w:textAlignment w:val="auto"/>
              <w:rPr>
                <w:rFonts w:hint="eastAsia" w:ascii="Times New Roman" w:hAnsi="Times New Roman" w:eastAsia="宋体" w:cs="Times New Roman"/>
                <w:sz w:val="24"/>
                <w:szCs w:val="24"/>
              </w:rPr>
            </w:pPr>
            <w:r>
              <w:rPr>
                <w:rFonts w:hint="eastAsia" w:ascii="宋体" w:hAnsi="宋体" w:eastAsia="宋体" w:cs="宋体"/>
                <w:color w:val="000000"/>
                <w:kern w:val="0"/>
                <w:sz w:val="24"/>
                <w:szCs w:val="24"/>
                <w:lang w:val="en-US" w:eastAsia="zh-CN" w:bidi="ar"/>
              </w:rPr>
              <w:t>污</w:t>
            </w:r>
            <w:r>
              <w:rPr>
                <w:rFonts w:hint="eastAsia" w:ascii="Times New Roman" w:hAnsi="Times New Roman" w:eastAsia="宋体" w:cs="Times New Roman"/>
                <w:sz w:val="24"/>
                <w:szCs w:val="24"/>
                <w:lang w:val="en-US" w:eastAsia="zh-CN"/>
              </w:rPr>
              <w:t>泥是一种含水率很高的絮状物，其有机物质、N、</w:t>
            </w:r>
            <w:r>
              <w:rPr>
                <w:rFonts w:hint="default" w:ascii="Times New Roman" w:hAnsi="Times New Roman" w:eastAsia="宋体" w:cs="Times New Roman"/>
                <w:sz w:val="24"/>
                <w:szCs w:val="24"/>
                <w:lang w:val="en-US" w:eastAsia="zh-CN"/>
              </w:rPr>
              <w:t xml:space="preserve">P </w:t>
            </w:r>
            <w:r>
              <w:rPr>
                <w:rFonts w:hint="eastAsia" w:ascii="Times New Roman" w:hAnsi="Times New Roman" w:eastAsia="宋体" w:cs="Times New Roman"/>
                <w:sz w:val="24"/>
                <w:szCs w:val="24"/>
                <w:lang w:val="en-US" w:eastAsia="zh-CN"/>
              </w:rPr>
              <w:t xml:space="preserve">等营养物质含量高，但是不稳定，容易腐化，有异臭，并含有寄生虫卵、病原菌、重金属等物质，且有难存放、难运输、易渗漏等特点，会对附近水体、环境空气和土壤造成二次污染。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62"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污泥产生量计算公式如下：</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62"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position w:val="-10"/>
                <w:sz w:val="24"/>
                <w:szCs w:val="24"/>
                <w:lang w:val="en-US" w:eastAsia="zh-CN"/>
              </w:rPr>
              <w:object>
                <v:shape id="_x0000_i1026" o:spt="75" type="#_x0000_t75" style="height:17pt;width:77pt;" o:ole="t" filled="f" o:preferrelative="t" stroked="f" coordsize="21600,21600">
                  <v:path/>
                  <v:fill on="f" focussize="0,0"/>
                  <v:stroke on="f"/>
                  <v:imagedata r:id="rId17" o:title=""/>
                  <o:lock v:ext="edit" aspectratio="t"/>
                  <w10:wrap type="none"/>
                  <w10:anchorlock/>
                </v:shape>
                <o:OLEObject Type="Embed" ProgID="Equation.KSEE3" ShapeID="_x0000_i1026" DrawAspect="Content" ObjectID="_1468075726" r:id="rId16">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460" w:lineRule="exact"/>
              <w:ind w:firstLine="462"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式中：Y——绝干污泥产生量，</w:t>
            </w:r>
            <w:r>
              <w:rPr>
                <w:rFonts w:hint="default" w:ascii="Times New Roman" w:hAnsi="Times New Roman" w:eastAsia="宋体" w:cs="Times New Roman"/>
                <w:sz w:val="24"/>
                <w:szCs w:val="24"/>
                <w:lang w:val="en-US" w:eastAsia="zh-CN"/>
              </w:rPr>
              <w:t>g/d</w:t>
            </w:r>
            <w:r>
              <w:rPr>
                <w:rFonts w:hint="eastAsia" w:ascii="Times New Roman" w:hAnsi="Times New Roman" w:eastAsia="宋体"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1155" w:firstLineChars="500"/>
              <w:textAlignment w:val="auto"/>
              <w:rPr>
                <w:rFonts w:hint="eastAsia"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Y</w:t>
            </w:r>
            <w:r>
              <w:rPr>
                <w:rFonts w:hint="default" w:ascii="Times New Roman" w:hAnsi="Times New Roman" w:eastAsia="宋体" w:cs="Times New Roman"/>
                <w:sz w:val="24"/>
                <w:szCs w:val="24"/>
                <w:vertAlign w:val="subscript"/>
                <w:lang w:val="en-US" w:eastAsia="zh-CN"/>
              </w:rPr>
              <w:t>T</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污泥产生量系数，</w:t>
            </w:r>
            <w:r>
              <w:rPr>
                <w:rFonts w:hint="default" w:ascii="Times New Roman" w:hAnsi="Times New Roman" w:eastAsia="宋体" w:cs="Times New Roman"/>
                <w:sz w:val="24"/>
                <w:szCs w:val="24"/>
                <w:lang w:val="en-US" w:eastAsia="zh-CN"/>
              </w:rPr>
              <w:t>kg</w:t>
            </w:r>
            <w:r>
              <w:rPr>
                <w:rFonts w:hint="eastAsia" w:ascii="Times New Roman" w:hAnsi="Times New Roman" w:eastAsia="宋体" w:cs="Times New Roman"/>
                <w:sz w:val="24"/>
                <w:szCs w:val="24"/>
                <w:lang w:val="en-US" w:eastAsia="zh-CN"/>
              </w:rPr>
              <w:t>污泥</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去除</w:t>
            </w:r>
            <w:r>
              <w:rPr>
                <w:rFonts w:hint="default" w:ascii="Times New Roman" w:hAnsi="Times New Roman" w:eastAsia="宋体" w:cs="Times New Roman"/>
                <w:sz w:val="24"/>
                <w:szCs w:val="24"/>
                <w:lang w:val="en-US" w:eastAsia="zh-CN"/>
              </w:rPr>
              <w:t>1kgBOD</w:t>
            </w:r>
            <w:r>
              <w:rPr>
                <w:rFonts w:hint="default" w:ascii="Times New Roman" w:hAnsi="Times New Roman" w:eastAsia="宋体" w:cs="Times New Roman"/>
                <w:sz w:val="24"/>
                <w:szCs w:val="24"/>
                <w:vertAlign w:val="subscript"/>
                <w:lang w:val="en-US" w:eastAsia="zh-CN"/>
              </w:rPr>
              <w:t>5</w:t>
            </w:r>
            <w:r>
              <w:rPr>
                <w:rFonts w:hint="eastAsia" w:ascii="Times New Roman" w:hAnsi="Times New Roman" w:eastAsia="宋体" w:cs="Times New Roman"/>
                <w:sz w:val="24"/>
                <w:szCs w:val="24"/>
                <w:lang w:val="en-US" w:eastAsia="zh-CN"/>
              </w:rPr>
              <w:t>，其取值与</w:t>
            </w:r>
            <w:r>
              <w:rPr>
                <w:rFonts w:hint="default" w:ascii="Times New Roman" w:hAnsi="Times New Roman" w:eastAsia="宋体" w:cs="Times New Roman"/>
                <w:sz w:val="24"/>
                <w:szCs w:val="24"/>
                <w:lang w:val="en-US" w:eastAsia="zh-CN"/>
              </w:rPr>
              <w:t>SS/BOD</w:t>
            </w:r>
            <w:r>
              <w:rPr>
                <w:rFonts w:hint="default" w:ascii="Times New Roman" w:hAnsi="Times New Roman" w:eastAsia="宋体" w:cs="Times New Roman"/>
                <w:sz w:val="24"/>
                <w:szCs w:val="24"/>
                <w:vertAlign w:val="subscript"/>
                <w:lang w:val="en-US" w:eastAsia="zh-CN"/>
              </w:rPr>
              <w:t>5</w:t>
            </w:r>
            <w:r>
              <w:rPr>
                <w:rFonts w:hint="eastAsia" w:ascii="Times New Roman" w:hAnsi="Times New Roman" w:eastAsia="宋体" w:cs="Times New Roman"/>
                <w:sz w:val="24"/>
                <w:szCs w:val="24"/>
                <w:lang w:val="en-US" w:eastAsia="zh-CN"/>
              </w:rPr>
              <w:t>有关，本项目取</w:t>
            </w:r>
            <w:r>
              <w:rPr>
                <w:rFonts w:hint="default" w:ascii="Times New Roman" w:hAnsi="Times New Roman" w:eastAsia="宋体" w:cs="Times New Roman"/>
                <w:sz w:val="24"/>
                <w:szCs w:val="24"/>
                <w:lang w:val="en-US" w:eastAsia="zh-CN"/>
              </w:rPr>
              <w:t>1.6</w:t>
            </w:r>
            <w:r>
              <w:rPr>
                <w:rFonts w:hint="eastAsia" w:ascii="Times New Roman" w:hAnsi="Times New Roman" w:eastAsia="宋体"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1155" w:firstLineChars="500"/>
              <w:textAlignment w:val="auto"/>
              <w:rPr>
                <w:rFonts w:hint="eastAsia"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Q——</w:t>
            </w:r>
            <w:r>
              <w:rPr>
                <w:rFonts w:hint="eastAsia" w:ascii="Times New Roman" w:hAnsi="Times New Roman" w:eastAsia="宋体" w:cs="Times New Roman"/>
                <w:sz w:val="24"/>
                <w:szCs w:val="24"/>
                <w:lang w:val="en-US" w:eastAsia="zh-CN"/>
              </w:rPr>
              <w:t>处理量，</w:t>
            </w: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/d</w:t>
            </w:r>
            <w:r>
              <w:rPr>
                <w:rFonts w:hint="eastAsia" w:ascii="Times New Roman" w:hAnsi="Times New Roman" w:eastAsia="宋体"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1155" w:firstLineChars="500"/>
              <w:textAlignment w:val="auto"/>
              <w:rPr>
                <w:rFonts w:hint="eastAsia"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Lr——</w:t>
            </w:r>
            <w:r>
              <w:rPr>
                <w:rFonts w:hint="eastAsia" w:ascii="Times New Roman" w:hAnsi="Times New Roman" w:eastAsia="宋体" w:cs="Times New Roman"/>
                <w:sz w:val="24"/>
                <w:szCs w:val="24"/>
                <w:lang w:val="en-US" w:eastAsia="zh-CN"/>
              </w:rPr>
              <w:t>去除的</w:t>
            </w:r>
            <w:r>
              <w:rPr>
                <w:rFonts w:hint="default" w:ascii="Times New Roman" w:hAnsi="Times New Roman" w:eastAsia="宋体" w:cs="Times New Roman"/>
                <w:sz w:val="24"/>
                <w:szCs w:val="24"/>
                <w:lang w:val="en-US" w:eastAsia="zh-CN"/>
              </w:rPr>
              <w:t>BOD</w:t>
            </w:r>
            <w:r>
              <w:rPr>
                <w:rFonts w:hint="eastAsia" w:ascii="Times New Roman" w:hAnsi="Times New Roman" w:eastAsia="宋体" w:cs="Times New Roman"/>
                <w:sz w:val="24"/>
                <w:szCs w:val="24"/>
                <w:vertAlign w:val="subscript"/>
                <w:lang w:val="en-US" w:eastAsia="zh-CN"/>
              </w:rPr>
              <w:t>5</w:t>
            </w:r>
            <w:r>
              <w:rPr>
                <w:rFonts w:hint="eastAsia" w:ascii="Times New Roman" w:hAnsi="Times New Roman" w:eastAsia="宋体" w:cs="Times New Roman"/>
                <w:sz w:val="24"/>
                <w:szCs w:val="24"/>
                <w:lang w:val="en-US" w:eastAsia="zh-CN"/>
              </w:rPr>
              <w:t>浓度，</w:t>
            </w:r>
            <w:r>
              <w:rPr>
                <w:rFonts w:hint="default" w:ascii="Times New Roman" w:hAnsi="Times New Roman" w:eastAsia="宋体" w:cs="Times New Roman"/>
                <w:sz w:val="24"/>
                <w:szCs w:val="24"/>
                <w:lang w:val="en-US" w:eastAsia="zh-CN"/>
              </w:rPr>
              <w:t>mg/L</w:t>
            </w:r>
            <w:r>
              <w:rPr>
                <w:rFonts w:hint="eastAsia" w:ascii="Times New Roman" w:hAnsi="Times New Roman" w:eastAsia="宋体"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462"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由此计算出本项目绝干污泥产生量约</w:t>
            </w:r>
            <w:r>
              <w:rPr>
                <w:rFonts w:hint="default" w:ascii="Times New Roman" w:hAnsi="Times New Roman" w:eastAsia="宋体" w:cs="Times New Roman"/>
                <w:sz w:val="24"/>
                <w:szCs w:val="24"/>
                <w:lang w:val="en-US" w:eastAsia="zh-CN"/>
              </w:rPr>
              <w:t>0.1</w:t>
            </w:r>
            <w:r>
              <w:rPr>
                <w:rFonts w:hint="eastAsia" w:ascii="Times New Roman" w:hAnsi="Times New Roman" w:eastAsia="宋体" w:cs="Times New Roman"/>
                <w:sz w:val="24"/>
                <w:szCs w:val="24"/>
                <w:lang w:val="en-US" w:eastAsia="zh-CN"/>
              </w:rPr>
              <w:t>44</w:t>
            </w:r>
            <w:r>
              <w:rPr>
                <w:rFonts w:hint="default" w:ascii="Times New Roman" w:hAnsi="Times New Roman" w:eastAsia="宋体" w:cs="Times New Roman"/>
                <w:sz w:val="24"/>
                <w:szCs w:val="24"/>
                <w:lang w:val="en-US" w:eastAsia="zh-CN"/>
              </w:rPr>
              <w:t>t/d</w:t>
            </w:r>
            <w:r>
              <w:rPr>
                <w:rFonts w:hint="eastAsia" w:ascii="Times New Roman" w:hAnsi="Times New Roman" w:eastAsia="宋体" w:cs="Times New Roman"/>
                <w:sz w:val="24"/>
                <w:szCs w:val="24"/>
                <w:lang w:val="en-US" w:eastAsia="zh-CN"/>
              </w:rPr>
              <w:t>。通常污泥含水率为</w:t>
            </w:r>
            <w:r>
              <w:rPr>
                <w:rFonts w:hint="default" w:ascii="Times New Roman" w:hAnsi="Times New Roman" w:eastAsia="宋体" w:cs="Times New Roman"/>
                <w:sz w:val="24"/>
                <w:szCs w:val="24"/>
                <w:lang w:val="en-US" w:eastAsia="zh-CN"/>
              </w:rPr>
              <w:t>99</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，经浓缩后含水率降至</w:t>
            </w:r>
            <w:r>
              <w:rPr>
                <w:rFonts w:hint="default"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，再经机械方式脱水，使污泥含水率降至70</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，则项目污泥产生量为0.206</w:t>
            </w:r>
            <w:r>
              <w:rPr>
                <w:rFonts w:hint="default" w:ascii="Times New Roman" w:hAnsi="Times New Roman" w:eastAsia="宋体" w:cs="Times New Roman"/>
                <w:sz w:val="24"/>
                <w:szCs w:val="24"/>
                <w:lang w:val="en-US" w:eastAsia="zh-CN"/>
              </w:rPr>
              <w:t>t/d</w:t>
            </w:r>
            <w:r>
              <w:rPr>
                <w:rFonts w:hint="eastAsia" w:ascii="Times New Roman" w:hAnsi="Times New Roman" w:eastAsia="宋体" w:cs="Times New Roman"/>
                <w:sz w:val="24"/>
                <w:szCs w:val="24"/>
                <w:lang w:val="en-US" w:eastAsia="zh-CN"/>
              </w:rPr>
              <w:t>，年产生量75.19</w:t>
            </w:r>
            <w:r>
              <w:rPr>
                <w:rFonts w:hint="default" w:ascii="Times New Roman" w:hAnsi="Times New Roman" w:eastAsia="宋体" w:cs="Times New Roman"/>
                <w:sz w:val="24"/>
                <w:szCs w:val="24"/>
                <w:lang w:val="en-US" w:eastAsia="zh-CN"/>
              </w:rPr>
              <w:t>t/a</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462" w:firstLineChars="200"/>
              <w:textAlignment w:val="auto"/>
              <w:rPr>
                <w:sz w:val="24"/>
                <w:szCs w:val="24"/>
              </w:rPr>
            </w:pPr>
            <w:r>
              <w:rPr>
                <w:rFonts w:hint="eastAsia"/>
                <w:sz w:val="24"/>
                <w:szCs w:val="24"/>
                <w:lang w:val="en-US" w:eastAsia="zh-CN"/>
              </w:rPr>
              <w:t>3</w:t>
            </w:r>
            <w:r>
              <w:rPr>
                <w:rFonts w:hint="eastAsia"/>
                <w:sz w:val="24"/>
                <w:szCs w:val="24"/>
              </w:rPr>
              <w:t xml:space="preserve">）生活垃圾 </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462" w:firstLineChars="200"/>
              <w:textAlignment w:val="auto"/>
              <w:rPr>
                <w:sz w:val="24"/>
                <w:szCs w:val="24"/>
              </w:rPr>
            </w:pPr>
            <w:r>
              <w:rPr>
                <w:rFonts w:hint="eastAsia"/>
                <w:sz w:val="24"/>
                <w:szCs w:val="24"/>
              </w:rPr>
              <w:t>污水厂办公、生活垃圾按每人每天</w:t>
            </w:r>
            <w:r>
              <w:rPr>
                <w:sz w:val="24"/>
                <w:szCs w:val="24"/>
              </w:rPr>
              <w:t>1.0kg</w:t>
            </w:r>
            <w:r>
              <w:rPr>
                <w:rFonts w:hint="eastAsia"/>
                <w:sz w:val="24"/>
                <w:szCs w:val="24"/>
              </w:rPr>
              <w:t>计，运营期定员5人，则生活垃圾的产生量约为5</w:t>
            </w:r>
            <w:r>
              <w:rPr>
                <w:sz w:val="24"/>
                <w:szCs w:val="24"/>
              </w:rPr>
              <w:t>kg/d</w:t>
            </w:r>
            <w:r>
              <w:rPr>
                <w:rFonts w:hint="eastAsia"/>
                <w:sz w:val="24"/>
                <w:szCs w:val="24"/>
              </w:rPr>
              <w:t>，1.83</w:t>
            </w:r>
            <w:r>
              <w:rPr>
                <w:sz w:val="24"/>
                <w:szCs w:val="24"/>
              </w:rPr>
              <w:t>t/a</w:t>
            </w:r>
            <w:r>
              <w:rPr>
                <w:rFonts w:hint="eastAsia"/>
                <w:sz w:val="24"/>
                <w:szCs w:val="24"/>
              </w:rPr>
              <w:t>，经统一收集后，委托环卫部门统一外运处理。</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462" w:firstLineChars="200"/>
              <w:textAlignment w:val="auto"/>
              <w:rPr>
                <w:sz w:val="24"/>
                <w:szCs w:val="24"/>
              </w:rPr>
            </w:pPr>
            <w:r>
              <w:rPr>
                <w:rFonts w:hint="eastAsia"/>
                <w:sz w:val="24"/>
                <w:szCs w:val="24"/>
                <w:lang w:val="en-US" w:eastAsia="zh-CN"/>
              </w:rPr>
              <w:t>4</w:t>
            </w:r>
            <w:r>
              <w:rPr>
                <w:rFonts w:hint="eastAsia"/>
                <w:sz w:val="24"/>
                <w:szCs w:val="24"/>
              </w:rPr>
              <w:t>）废包装（非危险化学品）</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462" w:firstLineChars="200"/>
              <w:textAlignment w:val="auto"/>
              <w:rPr>
                <w:sz w:val="24"/>
                <w:szCs w:val="24"/>
              </w:rPr>
            </w:pPr>
            <w:r>
              <w:rPr>
                <w:rFonts w:hint="eastAsia"/>
                <w:sz w:val="24"/>
                <w:szCs w:val="24"/>
              </w:rPr>
              <w:t>加药间内</w:t>
            </w:r>
            <w:r>
              <w:rPr>
                <w:sz w:val="24"/>
                <w:szCs w:val="24"/>
              </w:rPr>
              <w:t>PAM</w:t>
            </w:r>
            <w:r>
              <w:rPr>
                <w:rFonts w:hint="eastAsia"/>
                <w:sz w:val="24"/>
                <w:szCs w:val="24"/>
              </w:rPr>
              <w:t>、污泥调制剂等药剂的废包装主要为</w:t>
            </w:r>
            <w:r>
              <w:rPr>
                <w:sz w:val="24"/>
                <w:szCs w:val="24"/>
              </w:rPr>
              <w:t>PE</w:t>
            </w:r>
            <w:r>
              <w:rPr>
                <w:rFonts w:hint="eastAsia"/>
                <w:sz w:val="24"/>
                <w:szCs w:val="24"/>
              </w:rPr>
              <w:t>、</w:t>
            </w:r>
            <w:r>
              <w:rPr>
                <w:sz w:val="24"/>
                <w:szCs w:val="24"/>
              </w:rPr>
              <w:t>PP</w:t>
            </w:r>
            <w:r>
              <w:rPr>
                <w:rFonts w:hint="eastAsia"/>
                <w:sz w:val="24"/>
                <w:szCs w:val="24"/>
              </w:rPr>
              <w:t>材质的包装袋，产生量为 0.3</w:t>
            </w:r>
            <w:r>
              <w:rPr>
                <w:sz w:val="24"/>
                <w:szCs w:val="24"/>
              </w:rPr>
              <w:t>t/a</w:t>
            </w:r>
            <w:r>
              <w:rPr>
                <w:rFonts w:hint="eastAsia"/>
                <w:sz w:val="24"/>
                <w:szCs w:val="24"/>
              </w:rPr>
              <w:t>，统一收集后外售综合利用。</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462" w:firstLineChars="200"/>
              <w:textAlignment w:val="auto"/>
              <w:rPr>
                <w:rFonts w:hint="eastAsia"/>
                <w:sz w:val="24"/>
                <w:szCs w:val="24"/>
                <w:lang w:val="en-US" w:eastAsia="zh-CN"/>
              </w:rPr>
            </w:pPr>
            <w:r>
              <w:rPr>
                <w:rFonts w:hint="eastAsia"/>
                <w:sz w:val="24"/>
                <w:szCs w:val="24"/>
                <w:lang w:val="en-US" w:eastAsia="zh-CN"/>
              </w:rPr>
              <w:t>5）废紫外灯管</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462" w:firstLineChars="200"/>
              <w:textAlignment w:val="auto"/>
              <w:rPr>
                <w:rFonts w:hint="eastAsia"/>
                <w:sz w:val="24"/>
                <w:szCs w:val="24"/>
                <w:lang w:val="en-US" w:eastAsia="zh-CN"/>
              </w:rPr>
            </w:pPr>
            <w:r>
              <w:rPr>
                <w:rFonts w:hint="eastAsia"/>
                <w:sz w:val="24"/>
                <w:szCs w:val="24"/>
                <w:lang w:val="en-US" w:eastAsia="zh-CN"/>
              </w:rPr>
              <w:t>根据可研报告，污水流过紫外消毒设备，紫外光线通过改变细菌病毒和其他微生物细胞的遗传物质（DNA），使其不再繁殖而达到消毒的效果。UV灯管中含有汞，为危险废物，类别为HW29含汞废物，废物代码：900-023-29。根据建设方经验，每年的损坏及更替产生废灯管约6支，每支废弃灯管的重量0.3kg-0.4kg，产生量约为2.4kg/a。更换后的灯管暂存于危废暂存间，定期委托有资质单位进行安全处置。</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462" w:firstLineChars="200"/>
              <w:textAlignment w:val="auto"/>
              <w:rPr>
                <w:sz w:val="24"/>
                <w:szCs w:val="24"/>
              </w:rPr>
            </w:pPr>
            <w:r>
              <w:rPr>
                <w:sz w:val="24"/>
                <w:szCs w:val="24"/>
              </w:rPr>
              <w:t>本项目固废产生和处置情况</w:t>
            </w:r>
            <w:r>
              <w:rPr>
                <w:rFonts w:hint="eastAsia"/>
                <w:sz w:val="24"/>
                <w:szCs w:val="24"/>
              </w:rPr>
              <w:t>统计如下：</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480"/>
              <w:jc w:val="center"/>
              <w:textAlignment w:val="auto"/>
              <w:rPr>
                <w:b/>
                <w:bCs/>
              </w:rPr>
            </w:pPr>
            <w:r>
              <w:rPr>
                <w:b/>
                <w:bCs/>
              </w:rPr>
              <w:t>表5</w:t>
            </w:r>
            <w:r>
              <w:rPr>
                <w:b/>
                <w:bCs/>
              </w:rPr>
              <w:noBreakHyphen/>
            </w:r>
            <w:r>
              <w:rPr>
                <w:rFonts w:hint="eastAsia"/>
                <w:b/>
                <w:bCs/>
                <w:lang w:val="en-US" w:eastAsia="zh-CN"/>
              </w:rPr>
              <w:t>6</w:t>
            </w:r>
            <w:r>
              <w:rPr>
                <w:b/>
                <w:bCs/>
              </w:rPr>
              <w:t xml:space="preserve">  本项目固体废物的产生和处置情况</w:t>
            </w:r>
          </w:p>
          <w:tbl>
            <w:tblPr>
              <w:tblStyle w:val="27"/>
              <w:tblW w:w="917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96"/>
              <w:gridCol w:w="1531"/>
              <w:gridCol w:w="1187"/>
              <w:gridCol w:w="1052"/>
              <w:gridCol w:w="1057"/>
              <w:gridCol w:w="836"/>
              <w:gridCol w:w="2054"/>
              <w:gridCol w:w="96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6" w:hRule="atLeast"/>
                <w:jc w:val="center"/>
              </w:trPr>
              <w:tc>
                <w:tcPr>
                  <w:tcW w:w="496" w:type="dxa"/>
                  <w:tcBorders>
                    <w:tl2br w:val="nil"/>
                    <w:tr2bl w:val="nil"/>
                  </w:tcBorders>
                  <w:vAlign w:val="center"/>
                </w:tcPr>
                <w:p>
                  <w:pPr>
                    <w:pStyle w:val="41"/>
                    <w:keepNext w:val="0"/>
                    <w:keepLines w:val="0"/>
                    <w:pageBreakBefore w:val="0"/>
                    <w:widowControl w:val="0"/>
                    <w:kinsoku/>
                    <w:wordWrap/>
                    <w:overflowPunct/>
                    <w:topLinePunct w:val="0"/>
                    <w:bidi w:val="0"/>
                    <w:adjustRightInd w:val="0"/>
                    <w:snapToGrid w:val="0"/>
                    <w:spacing w:beforeLines="0"/>
                    <w:ind w:firstLine="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序号</w:t>
                  </w:r>
                </w:p>
              </w:tc>
              <w:tc>
                <w:tcPr>
                  <w:tcW w:w="1531"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固体废物名称</w:t>
                  </w:r>
                </w:p>
              </w:tc>
              <w:tc>
                <w:tcPr>
                  <w:tcW w:w="1187"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废物类别</w:t>
                  </w:r>
                </w:p>
              </w:tc>
              <w:tc>
                <w:tcPr>
                  <w:tcW w:w="1052"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产生量（t/a）</w:t>
                  </w:r>
                </w:p>
              </w:tc>
              <w:tc>
                <w:tcPr>
                  <w:tcW w:w="1057"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处置量（t/a）</w:t>
                  </w:r>
                </w:p>
              </w:tc>
              <w:tc>
                <w:tcPr>
                  <w:tcW w:w="836"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处置率%</w:t>
                  </w:r>
                </w:p>
              </w:tc>
              <w:tc>
                <w:tcPr>
                  <w:tcW w:w="2054"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利用处置措施</w:t>
                  </w:r>
                </w:p>
              </w:tc>
              <w:tc>
                <w:tcPr>
                  <w:tcW w:w="962"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排放量（t/a）</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9" w:hRule="atLeast"/>
                <w:jc w:val="center"/>
              </w:trPr>
              <w:tc>
                <w:tcPr>
                  <w:tcW w:w="496"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w:t>
                  </w:r>
                </w:p>
              </w:tc>
              <w:tc>
                <w:tcPr>
                  <w:tcW w:w="1531"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栅渣</w:t>
                  </w:r>
                </w:p>
              </w:tc>
              <w:tc>
                <w:tcPr>
                  <w:tcW w:w="1187"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一般固废</w:t>
                  </w:r>
                </w:p>
              </w:tc>
              <w:tc>
                <w:tcPr>
                  <w:tcW w:w="1052"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lang w:eastAsia="zh-CN"/>
                    </w:rPr>
                    <w:t>10.52</w:t>
                  </w:r>
                </w:p>
              </w:tc>
              <w:tc>
                <w:tcPr>
                  <w:tcW w:w="1057"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lang w:eastAsia="zh-CN"/>
                    </w:rPr>
                    <w:t>10.52</w:t>
                  </w:r>
                </w:p>
              </w:tc>
              <w:tc>
                <w:tcPr>
                  <w:tcW w:w="836"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100</w:t>
                  </w:r>
                </w:p>
              </w:tc>
              <w:tc>
                <w:tcPr>
                  <w:tcW w:w="2054"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交由环卫部门处理</w:t>
                  </w:r>
                </w:p>
              </w:tc>
              <w:tc>
                <w:tcPr>
                  <w:tcW w:w="962"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6" w:hRule="atLeast"/>
                <w:jc w:val="center"/>
              </w:trPr>
              <w:tc>
                <w:tcPr>
                  <w:tcW w:w="496"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2</w:t>
                  </w:r>
                </w:p>
              </w:tc>
              <w:tc>
                <w:tcPr>
                  <w:tcW w:w="1531"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color w:val="FF0000"/>
                      <w:sz w:val="21"/>
                      <w:szCs w:val="21"/>
                      <w:u w:val="wave"/>
                    </w:rPr>
                  </w:pPr>
                  <w:r>
                    <w:rPr>
                      <w:rFonts w:hint="default" w:ascii="Times New Roman" w:hAnsi="Times New Roman" w:eastAsia="宋体" w:cs="Times New Roman"/>
                      <w:b w:val="0"/>
                      <w:bCs/>
                      <w:color w:val="FF0000"/>
                      <w:sz w:val="21"/>
                      <w:szCs w:val="21"/>
                      <w:u w:val="wave"/>
                    </w:rPr>
                    <w:t>污泥</w:t>
                  </w:r>
                </w:p>
              </w:tc>
              <w:tc>
                <w:tcPr>
                  <w:tcW w:w="1187"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color w:val="FF0000"/>
                      <w:sz w:val="21"/>
                      <w:szCs w:val="21"/>
                      <w:u w:val="wave"/>
                    </w:rPr>
                  </w:pPr>
                  <w:r>
                    <w:rPr>
                      <w:rFonts w:hint="default" w:ascii="Times New Roman" w:hAnsi="Times New Roman" w:eastAsia="宋体" w:cs="Times New Roman"/>
                      <w:b w:val="0"/>
                      <w:bCs/>
                      <w:color w:val="FF0000"/>
                      <w:sz w:val="21"/>
                      <w:szCs w:val="21"/>
                      <w:u w:val="wave"/>
                    </w:rPr>
                    <w:t>一般固废</w:t>
                  </w:r>
                </w:p>
              </w:tc>
              <w:tc>
                <w:tcPr>
                  <w:tcW w:w="1052"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color w:val="FF0000"/>
                      <w:sz w:val="21"/>
                      <w:szCs w:val="21"/>
                      <w:u w:val="wave"/>
                      <w:lang w:val="en-US" w:eastAsia="zh-CN"/>
                    </w:rPr>
                  </w:pPr>
                  <w:r>
                    <w:rPr>
                      <w:rFonts w:hint="eastAsia" w:ascii="Times New Roman" w:hAnsi="Times New Roman" w:eastAsia="宋体" w:cs="Times New Roman"/>
                      <w:b w:val="0"/>
                      <w:bCs/>
                      <w:color w:val="FF0000"/>
                      <w:sz w:val="21"/>
                      <w:szCs w:val="21"/>
                      <w:u w:val="wave"/>
                      <w:lang w:val="en-US" w:eastAsia="zh-CN"/>
                    </w:rPr>
                    <w:t>75.19</w:t>
                  </w:r>
                </w:p>
              </w:tc>
              <w:tc>
                <w:tcPr>
                  <w:tcW w:w="1057"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color w:val="FF0000"/>
                      <w:sz w:val="21"/>
                      <w:szCs w:val="21"/>
                      <w:u w:val="wave"/>
                      <w:lang w:val="en-US" w:eastAsia="zh-CN"/>
                    </w:rPr>
                  </w:pPr>
                  <w:r>
                    <w:rPr>
                      <w:rFonts w:hint="eastAsia" w:ascii="Times New Roman" w:hAnsi="Times New Roman" w:eastAsia="宋体" w:cs="Times New Roman"/>
                      <w:b w:val="0"/>
                      <w:bCs/>
                      <w:color w:val="FF0000"/>
                      <w:sz w:val="21"/>
                      <w:szCs w:val="21"/>
                      <w:u w:val="wave"/>
                      <w:lang w:val="en-US" w:eastAsia="zh-CN"/>
                    </w:rPr>
                    <w:t>75.19</w:t>
                  </w:r>
                </w:p>
              </w:tc>
              <w:tc>
                <w:tcPr>
                  <w:tcW w:w="836"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color w:val="FF0000"/>
                      <w:sz w:val="21"/>
                      <w:szCs w:val="21"/>
                      <w:u w:val="wave"/>
                    </w:rPr>
                  </w:pPr>
                  <w:r>
                    <w:rPr>
                      <w:rFonts w:hint="default" w:ascii="Times New Roman" w:hAnsi="Times New Roman" w:eastAsia="宋体" w:cs="Times New Roman"/>
                      <w:b w:val="0"/>
                      <w:bCs/>
                      <w:color w:val="FF0000"/>
                      <w:sz w:val="21"/>
                      <w:szCs w:val="21"/>
                      <w:u w:val="wave"/>
                    </w:rPr>
                    <w:t>100</w:t>
                  </w:r>
                </w:p>
              </w:tc>
              <w:tc>
                <w:tcPr>
                  <w:tcW w:w="2054"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color w:val="FF0000"/>
                      <w:sz w:val="21"/>
                      <w:szCs w:val="21"/>
                      <w:u w:val="wave"/>
                      <w:lang w:eastAsia="zh-CN"/>
                    </w:rPr>
                  </w:pPr>
                  <w:r>
                    <w:rPr>
                      <w:rFonts w:hint="default" w:ascii="Times New Roman" w:hAnsi="Times New Roman" w:eastAsia="宋体" w:cs="Times New Roman"/>
                      <w:b w:val="0"/>
                      <w:bCs/>
                      <w:color w:val="FF0000"/>
                      <w:sz w:val="21"/>
                      <w:szCs w:val="21"/>
                      <w:u w:val="wave"/>
                      <w:lang w:eastAsia="zh-CN"/>
                    </w:rPr>
                    <w:t>送至邵阳市污泥处置中心处理</w:t>
                  </w:r>
                </w:p>
              </w:tc>
              <w:tc>
                <w:tcPr>
                  <w:tcW w:w="962"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color w:val="FF0000"/>
                      <w:sz w:val="21"/>
                      <w:szCs w:val="21"/>
                      <w:u w:val="wave"/>
                    </w:rPr>
                  </w:pPr>
                  <w:r>
                    <w:rPr>
                      <w:rFonts w:hint="default" w:ascii="Times New Roman" w:hAnsi="Times New Roman" w:eastAsia="宋体" w:cs="Times New Roman"/>
                      <w:b w:val="0"/>
                      <w:bCs/>
                      <w:color w:val="FF0000"/>
                      <w:sz w:val="21"/>
                      <w:szCs w:val="21"/>
                      <w:u w:val="wave"/>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9" w:hRule="atLeast"/>
                <w:jc w:val="center"/>
              </w:trPr>
              <w:tc>
                <w:tcPr>
                  <w:tcW w:w="496"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3</w:t>
                  </w:r>
                </w:p>
              </w:tc>
              <w:tc>
                <w:tcPr>
                  <w:tcW w:w="1531"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生活垃圾</w:t>
                  </w:r>
                </w:p>
              </w:tc>
              <w:tc>
                <w:tcPr>
                  <w:tcW w:w="1187"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生活垃圾</w:t>
                  </w:r>
                </w:p>
              </w:tc>
              <w:tc>
                <w:tcPr>
                  <w:tcW w:w="1052"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1.83</w:t>
                  </w:r>
                </w:p>
              </w:tc>
              <w:tc>
                <w:tcPr>
                  <w:tcW w:w="1057"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1.83</w:t>
                  </w:r>
                </w:p>
              </w:tc>
              <w:tc>
                <w:tcPr>
                  <w:tcW w:w="836"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100</w:t>
                  </w:r>
                </w:p>
              </w:tc>
              <w:tc>
                <w:tcPr>
                  <w:tcW w:w="2054"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由环卫部门收集处理</w:t>
                  </w:r>
                </w:p>
              </w:tc>
              <w:tc>
                <w:tcPr>
                  <w:tcW w:w="962"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9" w:hRule="atLeast"/>
                <w:jc w:val="center"/>
              </w:trPr>
              <w:tc>
                <w:tcPr>
                  <w:tcW w:w="496"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4</w:t>
                  </w:r>
                </w:p>
              </w:tc>
              <w:tc>
                <w:tcPr>
                  <w:tcW w:w="1531"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废包装</w:t>
                  </w:r>
                </w:p>
              </w:tc>
              <w:tc>
                <w:tcPr>
                  <w:tcW w:w="1187"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一般固废</w:t>
                  </w:r>
                </w:p>
              </w:tc>
              <w:tc>
                <w:tcPr>
                  <w:tcW w:w="1052"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0.3</w:t>
                  </w:r>
                </w:p>
              </w:tc>
              <w:tc>
                <w:tcPr>
                  <w:tcW w:w="1057"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0.3</w:t>
                  </w:r>
                </w:p>
              </w:tc>
              <w:tc>
                <w:tcPr>
                  <w:tcW w:w="836"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100</w:t>
                  </w:r>
                </w:p>
              </w:tc>
              <w:tc>
                <w:tcPr>
                  <w:tcW w:w="2054"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综合外售</w:t>
                  </w:r>
                </w:p>
              </w:tc>
              <w:tc>
                <w:tcPr>
                  <w:tcW w:w="962"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9" w:hRule="atLeast"/>
                <w:jc w:val="center"/>
              </w:trPr>
              <w:tc>
                <w:tcPr>
                  <w:tcW w:w="496"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5</w:t>
                  </w:r>
                </w:p>
              </w:tc>
              <w:tc>
                <w:tcPr>
                  <w:tcW w:w="1531"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废紫外灯管</w:t>
                  </w:r>
                </w:p>
              </w:tc>
              <w:tc>
                <w:tcPr>
                  <w:tcW w:w="1187" w:type="dxa"/>
                  <w:tcBorders>
                    <w:tl2br w:val="nil"/>
                    <w:tr2bl w:val="nil"/>
                  </w:tcBorders>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Times New Roman" w:hAnsi="Times New Roman" w:eastAsia="宋体" w:cs="Times New Roman"/>
                      <w:b w:val="0"/>
                      <w:bCs/>
                      <w:sz w:val="21"/>
                      <w:szCs w:val="21"/>
                      <w:lang w:eastAsia="zh-CN"/>
                    </w:rPr>
                  </w:pPr>
                  <w:r>
                    <w:rPr>
                      <w:rFonts w:hint="eastAsia" w:cs="Times New Roman"/>
                      <w:b w:val="0"/>
                      <w:bCs/>
                      <w:sz w:val="21"/>
                      <w:szCs w:val="21"/>
                      <w:lang w:eastAsia="zh-CN"/>
                    </w:rPr>
                    <w:t>危险废物</w:t>
                  </w:r>
                </w:p>
              </w:tc>
              <w:tc>
                <w:tcPr>
                  <w:tcW w:w="1052"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2.4kg/a</w:t>
                  </w:r>
                </w:p>
              </w:tc>
              <w:tc>
                <w:tcPr>
                  <w:tcW w:w="1057"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eastAsia" w:ascii="Times New Roman" w:hAnsi="Times New Roman" w:eastAsia="宋体" w:cs="Times New Roman"/>
                      <w:b w:val="0"/>
                      <w:bCs/>
                      <w:sz w:val="21"/>
                      <w:szCs w:val="21"/>
                      <w:lang w:val="en-US" w:eastAsia="zh-CN"/>
                    </w:rPr>
                    <w:t>2.4kg/a</w:t>
                  </w:r>
                </w:p>
              </w:tc>
              <w:tc>
                <w:tcPr>
                  <w:tcW w:w="836"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100</w:t>
                  </w:r>
                </w:p>
              </w:tc>
              <w:tc>
                <w:tcPr>
                  <w:tcW w:w="2054"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暂存于危废暂存间，定期委托有资质单位进行安全处置</w:t>
                  </w:r>
                </w:p>
              </w:tc>
              <w:tc>
                <w:tcPr>
                  <w:tcW w:w="962" w:type="dxa"/>
                  <w:tcBorders>
                    <w:tl2br w:val="nil"/>
                    <w:tr2bl w:val="nil"/>
                  </w:tcBorders>
                  <w:vAlign w:val="center"/>
                </w:tcPr>
                <w:p>
                  <w:pPr>
                    <w:pStyle w:val="39"/>
                    <w:keepNext w:val="0"/>
                    <w:keepLines w:val="0"/>
                    <w:pageBreakBefore w:val="0"/>
                    <w:widowControl w:val="0"/>
                    <w:kinsoku/>
                    <w:wordWrap/>
                    <w:overflowPunct/>
                    <w:topLinePunct w:val="0"/>
                    <w:bidi w:val="0"/>
                    <w:adjustRightInd w:val="0"/>
                    <w:snapToGrid w:val="0"/>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0</w:t>
                  </w:r>
                </w:p>
              </w:tc>
            </w:tr>
          </w:tbl>
          <w:p>
            <w:pPr>
              <w:ind w:left="1" w:firstLine="480"/>
              <w:jc w:val="center"/>
              <w:rPr>
                <w:b/>
                <w:color w:val="auto"/>
                <w:szCs w:val="21"/>
                <w:u w:val="none"/>
              </w:rPr>
            </w:pPr>
            <w:r>
              <w:rPr>
                <w:b/>
                <w:color w:val="auto"/>
                <w:szCs w:val="21"/>
                <w:u w:val="none"/>
              </w:rPr>
              <w:t>表</w:t>
            </w:r>
            <w:r>
              <w:rPr>
                <w:rFonts w:hint="eastAsia"/>
                <w:b/>
                <w:color w:val="auto"/>
                <w:szCs w:val="21"/>
                <w:u w:val="none"/>
              </w:rPr>
              <w:t>5-</w:t>
            </w:r>
            <w:r>
              <w:rPr>
                <w:rFonts w:hint="eastAsia"/>
                <w:b/>
                <w:color w:val="auto"/>
                <w:szCs w:val="21"/>
                <w:u w:val="none"/>
                <w:lang w:val="en-US" w:eastAsia="zh-CN"/>
              </w:rPr>
              <w:t>7</w:t>
            </w:r>
            <w:r>
              <w:rPr>
                <w:b/>
                <w:color w:val="auto"/>
                <w:szCs w:val="21"/>
                <w:u w:val="none"/>
              </w:rPr>
              <w:t xml:space="preserve">   项目危险废物</w:t>
            </w:r>
            <w:r>
              <w:rPr>
                <w:rFonts w:hint="eastAsia"/>
                <w:b/>
                <w:color w:val="auto"/>
                <w:szCs w:val="21"/>
                <w:u w:val="none"/>
              </w:rPr>
              <w:t>产生情况</w:t>
            </w:r>
          </w:p>
          <w:tbl>
            <w:tblPr>
              <w:tblStyle w:val="28"/>
              <w:tblW w:w="91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7"/>
              <w:gridCol w:w="685"/>
              <w:gridCol w:w="867"/>
              <w:gridCol w:w="871"/>
              <w:gridCol w:w="738"/>
              <w:gridCol w:w="907"/>
              <w:gridCol w:w="551"/>
              <w:gridCol w:w="956"/>
              <w:gridCol w:w="755"/>
              <w:gridCol w:w="536"/>
              <w:gridCol w:w="681"/>
              <w:gridCol w:w="11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7" w:type="dxa"/>
                  <w:tcBorders>
                    <w:tl2br w:val="nil"/>
                    <w:tr2bl w:val="nil"/>
                  </w:tcBorders>
                  <w:vAlign w:val="center"/>
                </w:tcPr>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ascii="Times New Roman" w:hAnsi="Times New Roman" w:eastAsiaTheme="minorEastAsia"/>
                      <w:b w:val="0"/>
                      <w:bCs/>
                      <w:color w:val="auto"/>
                      <w:sz w:val="18"/>
                      <w:szCs w:val="18"/>
                      <w:u w:val="none"/>
                    </w:rPr>
                    <w:t>序号</w:t>
                  </w:r>
                </w:p>
              </w:tc>
              <w:tc>
                <w:tcPr>
                  <w:tcW w:w="685" w:type="dxa"/>
                  <w:tcBorders>
                    <w:tl2br w:val="nil"/>
                    <w:tr2bl w:val="nil"/>
                  </w:tcBorders>
                  <w:vAlign w:val="center"/>
                </w:tcPr>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ascii="Times New Roman" w:hAnsi="Times New Roman" w:eastAsiaTheme="minorEastAsia"/>
                      <w:b w:val="0"/>
                      <w:bCs/>
                      <w:color w:val="auto"/>
                      <w:sz w:val="18"/>
                      <w:szCs w:val="18"/>
                      <w:u w:val="none"/>
                    </w:rPr>
                    <w:t>名称</w:t>
                  </w:r>
                </w:p>
              </w:tc>
              <w:tc>
                <w:tcPr>
                  <w:tcW w:w="867" w:type="dxa"/>
                  <w:tcBorders>
                    <w:tl2br w:val="nil"/>
                    <w:tr2bl w:val="nil"/>
                  </w:tcBorders>
                  <w:vAlign w:val="center"/>
                </w:tcPr>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ascii="Times New Roman" w:hAnsi="Times New Roman" w:eastAsiaTheme="minorEastAsia"/>
                      <w:b w:val="0"/>
                      <w:bCs/>
                      <w:color w:val="auto"/>
                      <w:sz w:val="18"/>
                      <w:szCs w:val="18"/>
                      <w:u w:val="none"/>
                    </w:rPr>
                    <w:t>危险废物类别</w:t>
                  </w:r>
                </w:p>
              </w:tc>
              <w:tc>
                <w:tcPr>
                  <w:tcW w:w="871" w:type="dxa"/>
                  <w:tcBorders>
                    <w:tl2br w:val="nil"/>
                    <w:tr2bl w:val="nil"/>
                  </w:tcBorders>
                  <w:vAlign w:val="center"/>
                </w:tcPr>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ascii="Times New Roman" w:hAnsi="Times New Roman" w:eastAsiaTheme="minorEastAsia"/>
                      <w:b w:val="0"/>
                      <w:bCs/>
                      <w:color w:val="auto"/>
                      <w:sz w:val="18"/>
                      <w:szCs w:val="18"/>
                      <w:u w:val="none"/>
                    </w:rPr>
                    <w:t>危险废物代码</w:t>
                  </w:r>
                </w:p>
              </w:tc>
              <w:tc>
                <w:tcPr>
                  <w:tcW w:w="738" w:type="dxa"/>
                  <w:tcBorders>
                    <w:tl2br w:val="nil"/>
                    <w:tr2bl w:val="nil"/>
                  </w:tcBorders>
                  <w:vAlign w:val="center"/>
                </w:tcPr>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ascii="Times New Roman" w:hAnsi="Times New Roman" w:eastAsiaTheme="minorEastAsia"/>
                      <w:b w:val="0"/>
                      <w:bCs/>
                      <w:color w:val="auto"/>
                      <w:sz w:val="18"/>
                      <w:szCs w:val="18"/>
                      <w:u w:val="none"/>
                    </w:rPr>
                    <w:t>产生量（</w:t>
                  </w:r>
                  <w:r>
                    <w:rPr>
                      <w:rFonts w:hint="eastAsia" w:ascii="Times New Roman" w:hAnsi="Times New Roman" w:eastAsiaTheme="minorEastAsia"/>
                      <w:b w:val="0"/>
                      <w:bCs/>
                      <w:color w:val="auto"/>
                      <w:sz w:val="18"/>
                      <w:szCs w:val="18"/>
                      <w:u w:val="none"/>
                      <w:lang w:val="en-US" w:eastAsia="zh-CN"/>
                    </w:rPr>
                    <w:t>kg</w:t>
                  </w:r>
                  <w:r>
                    <w:rPr>
                      <w:rFonts w:ascii="Times New Roman" w:hAnsi="Times New Roman" w:eastAsiaTheme="minorEastAsia"/>
                      <w:b w:val="0"/>
                      <w:bCs/>
                      <w:color w:val="auto"/>
                      <w:sz w:val="18"/>
                      <w:szCs w:val="18"/>
                      <w:u w:val="none"/>
                    </w:rPr>
                    <w:t>/a）</w:t>
                  </w:r>
                </w:p>
              </w:tc>
              <w:tc>
                <w:tcPr>
                  <w:tcW w:w="907" w:type="dxa"/>
                  <w:tcBorders>
                    <w:tl2br w:val="nil"/>
                    <w:tr2bl w:val="nil"/>
                  </w:tcBorders>
                  <w:vAlign w:val="center"/>
                </w:tcPr>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ascii="Times New Roman" w:hAnsi="Times New Roman" w:eastAsiaTheme="minorEastAsia"/>
                      <w:b w:val="0"/>
                      <w:bCs/>
                      <w:color w:val="auto"/>
                      <w:sz w:val="18"/>
                      <w:szCs w:val="18"/>
                      <w:u w:val="none"/>
                    </w:rPr>
                    <w:t>产生工序及装置</w:t>
                  </w:r>
                </w:p>
              </w:tc>
              <w:tc>
                <w:tcPr>
                  <w:tcW w:w="551" w:type="dxa"/>
                  <w:tcBorders>
                    <w:tl2br w:val="nil"/>
                    <w:tr2bl w:val="nil"/>
                  </w:tcBorders>
                  <w:vAlign w:val="center"/>
                </w:tcPr>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ascii="Times New Roman" w:hAnsi="Times New Roman" w:eastAsiaTheme="minorEastAsia"/>
                      <w:b w:val="0"/>
                      <w:bCs/>
                      <w:color w:val="auto"/>
                      <w:sz w:val="18"/>
                      <w:szCs w:val="18"/>
                      <w:u w:val="none"/>
                    </w:rPr>
                    <w:t>形态</w:t>
                  </w:r>
                </w:p>
              </w:tc>
              <w:tc>
                <w:tcPr>
                  <w:tcW w:w="956" w:type="dxa"/>
                  <w:tcBorders>
                    <w:tl2br w:val="nil"/>
                    <w:tr2bl w:val="nil"/>
                  </w:tcBorders>
                  <w:vAlign w:val="center"/>
                </w:tcPr>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ascii="Times New Roman" w:hAnsi="Times New Roman" w:eastAsiaTheme="minorEastAsia"/>
                      <w:b w:val="0"/>
                      <w:bCs/>
                      <w:color w:val="auto"/>
                      <w:sz w:val="18"/>
                      <w:szCs w:val="18"/>
                      <w:u w:val="none"/>
                    </w:rPr>
                    <w:t>主要成分</w:t>
                  </w:r>
                </w:p>
              </w:tc>
              <w:tc>
                <w:tcPr>
                  <w:tcW w:w="755" w:type="dxa"/>
                  <w:tcBorders>
                    <w:tl2br w:val="nil"/>
                    <w:tr2bl w:val="nil"/>
                  </w:tcBorders>
                  <w:vAlign w:val="center"/>
                </w:tcPr>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ascii="Times New Roman" w:hAnsi="Times New Roman" w:eastAsiaTheme="minorEastAsia"/>
                      <w:b w:val="0"/>
                      <w:bCs/>
                      <w:color w:val="auto"/>
                      <w:sz w:val="18"/>
                      <w:szCs w:val="18"/>
                      <w:u w:val="none"/>
                    </w:rPr>
                    <w:t>有害</w:t>
                  </w:r>
                </w:p>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ascii="Times New Roman" w:hAnsi="Times New Roman" w:eastAsiaTheme="minorEastAsia"/>
                      <w:b w:val="0"/>
                      <w:bCs/>
                      <w:color w:val="auto"/>
                      <w:sz w:val="18"/>
                      <w:szCs w:val="18"/>
                      <w:u w:val="none"/>
                    </w:rPr>
                    <w:t>成分</w:t>
                  </w:r>
                </w:p>
              </w:tc>
              <w:tc>
                <w:tcPr>
                  <w:tcW w:w="536" w:type="dxa"/>
                  <w:tcBorders>
                    <w:tl2br w:val="nil"/>
                    <w:tr2bl w:val="nil"/>
                  </w:tcBorders>
                  <w:vAlign w:val="center"/>
                </w:tcPr>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ascii="Times New Roman" w:hAnsi="Times New Roman" w:eastAsiaTheme="minorEastAsia"/>
                      <w:b w:val="0"/>
                      <w:bCs/>
                      <w:color w:val="auto"/>
                      <w:sz w:val="18"/>
                      <w:szCs w:val="18"/>
                      <w:u w:val="none"/>
                    </w:rPr>
                    <w:t>产废周期</w:t>
                  </w:r>
                </w:p>
              </w:tc>
              <w:tc>
                <w:tcPr>
                  <w:tcW w:w="681" w:type="dxa"/>
                  <w:tcBorders>
                    <w:tl2br w:val="nil"/>
                    <w:tr2bl w:val="nil"/>
                  </w:tcBorders>
                  <w:vAlign w:val="center"/>
                </w:tcPr>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ascii="Times New Roman" w:hAnsi="Times New Roman" w:eastAsiaTheme="minorEastAsia"/>
                      <w:b w:val="0"/>
                      <w:bCs/>
                      <w:color w:val="auto"/>
                      <w:sz w:val="18"/>
                      <w:szCs w:val="18"/>
                      <w:u w:val="none"/>
                    </w:rPr>
                    <w:t>危险特性</w:t>
                  </w:r>
                </w:p>
              </w:tc>
              <w:tc>
                <w:tcPr>
                  <w:tcW w:w="1142" w:type="dxa"/>
                  <w:tcBorders>
                    <w:tl2br w:val="nil"/>
                    <w:tr2bl w:val="nil"/>
                  </w:tcBorders>
                  <w:vAlign w:val="center"/>
                </w:tcPr>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ascii="Times New Roman" w:hAnsi="Times New Roman" w:eastAsiaTheme="minorEastAsia"/>
                      <w:b w:val="0"/>
                      <w:bCs/>
                      <w:color w:val="auto"/>
                      <w:sz w:val="18"/>
                      <w:szCs w:val="18"/>
                      <w:u w:val="none"/>
                    </w:rPr>
                    <w:t>污染</w:t>
                  </w:r>
                </w:p>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ascii="Times New Roman" w:hAnsi="Times New Roman" w:eastAsiaTheme="minorEastAsia"/>
                      <w:b w:val="0"/>
                      <w:bCs/>
                      <w:color w:val="auto"/>
                      <w:sz w:val="18"/>
                      <w:szCs w:val="18"/>
                      <w:u w:val="none"/>
                    </w:rPr>
                    <w:t>防治措施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67" w:type="dxa"/>
                  <w:tcBorders>
                    <w:tl2br w:val="nil"/>
                    <w:tr2bl w:val="nil"/>
                  </w:tcBorders>
                  <w:vAlign w:val="center"/>
                </w:tcPr>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ascii="Times New Roman" w:hAnsi="Times New Roman" w:eastAsiaTheme="minorEastAsia"/>
                      <w:b w:val="0"/>
                      <w:bCs/>
                      <w:color w:val="auto"/>
                      <w:sz w:val="18"/>
                      <w:szCs w:val="18"/>
                      <w:u w:val="none"/>
                    </w:rPr>
                    <w:t>1</w:t>
                  </w:r>
                </w:p>
              </w:tc>
              <w:tc>
                <w:tcPr>
                  <w:tcW w:w="685" w:type="dxa"/>
                  <w:tcBorders>
                    <w:tl2br w:val="nil"/>
                    <w:tr2bl w:val="nil"/>
                  </w:tcBorders>
                  <w:vAlign w:val="center"/>
                </w:tcPr>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hint="eastAsia" w:ascii="Times New Roman" w:hAnsi="Times New Roman" w:eastAsiaTheme="minorEastAsia"/>
                      <w:b w:val="0"/>
                      <w:bCs/>
                      <w:color w:val="auto"/>
                      <w:sz w:val="18"/>
                      <w:szCs w:val="18"/>
                      <w:u w:val="none"/>
                      <w:lang w:val="en-US" w:eastAsia="zh-CN"/>
                    </w:rPr>
                    <w:t>废紫外灯管</w:t>
                  </w:r>
                </w:p>
              </w:tc>
              <w:tc>
                <w:tcPr>
                  <w:tcW w:w="867" w:type="dxa"/>
                  <w:tcBorders>
                    <w:tl2br w:val="nil"/>
                    <w:tr2bl w:val="nil"/>
                  </w:tcBorders>
                  <w:vAlign w:val="center"/>
                </w:tcPr>
                <w:p>
                  <w:pPr>
                    <w:widowControl/>
                    <w:adjustRightInd w:val="0"/>
                    <w:snapToGrid w:val="0"/>
                    <w:jc w:val="center"/>
                    <w:rPr>
                      <w:rFonts w:eastAsiaTheme="minorEastAsia"/>
                      <w:bCs/>
                      <w:color w:val="auto"/>
                      <w:sz w:val="18"/>
                      <w:szCs w:val="18"/>
                      <w:u w:val="none"/>
                    </w:rPr>
                  </w:pPr>
                  <w:r>
                    <w:rPr>
                      <w:rFonts w:eastAsiaTheme="minorEastAsia"/>
                      <w:bCs/>
                      <w:color w:val="auto"/>
                      <w:sz w:val="18"/>
                      <w:szCs w:val="18"/>
                      <w:u w:val="none"/>
                    </w:rPr>
                    <w:t>HW</w:t>
                  </w:r>
                  <w:r>
                    <w:rPr>
                      <w:rFonts w:hint="eastAsia" w:eastAsiaTheme="minorEastAsia"/>
                      <w:bCs/>
                      <w:color w:val="auto"/>
                      <w:sz w:val="18"/>
                      <w:szCs w:val="18"/>
                      <w:u w:val="none"/>
                    </w:rPr>
                    <w:t>29</w:t>
                  </w:r>
                </w:p>
              </w:tc>
              <w:tc>
                <w:tcPr>
                  <w:tcW w:w="871" w:type="dxa"/>
                  <w:tcBorders>
                    <w:tl2br w:val="nil"/>
                    <w:tr2bl w:val="nil"/>
                  </w:tcBorders>
                  <w:vAlign w:val="center"/>
                </w:tcPr>
                <w:p>
                  <w:pPr>
                    <w:widowControl/>
                    <w:adjustRightInd w:val="0"/>
                    <w:snapToGrid w:val="0"/>
                    <w:jc w:val="center"/>
                    <w:rPr>
                      <w:rFonts w:eastAsiaTheme="minorEastAsia"/>
                      <w:bCs/>
                      <w:color w:val="auto"/>
                      <w:sz w:val="18"/>
                      <w:szCs w:val="18"/>
                      <w:u w:val="none"/>
                    </w:rPr>
                  </w:pPr>
                  <w:r>
                    <w:rPr>
                      <w:rFonts w:eastAsiaTheme="minorEastAsia"/>
                      <w:bCs/>
                      <w:color w:val="auto"/>
                      <w:sz w:val="18"/>
                      <w:szCs w:val="18"/>
                      <w:u w:val="none"/>
                    </w:rPr>
                    <w:t>900-</w:t>
                  </w:r>
                  <w:r>
                    <w:rPr>
                      <w:rFonts w:hint="eastAsia" w:eastAsiaTheme="minorEastAsia"/>
                      <w:bCs/>
                      <w:color w:val="auto"/>
                      <w:sz w:val="18"/>
                      <w:szCs w:val="18"/>
                      <w:u w:val="none"/>
                    </w:rPr>
                    <w:t>023</w:t>
                  </w:r>
                  <w:r>
                    <w:rPr>
                      <w:rFonts w:eastAsiaTheme="minorEastAsia"/>
                      <w:bCs/>
                      <w:color w:val="auto"/>
                      <w:sz w:val="18"/>
                      <w:szCs w:val="18"/>
                      <w:u w:val="none"/>
                    </w:rPr>
                    <w:t>-</w:t>
                  </w:r>
                  <w:r>
                    <w:rPr>
                      <w:rFonts w:hint="eastAsia" w:eastAsiaTheme="minorEastAsia"/>
                      <w:bCs/>
                      <w:color w:val="auto"/>
                      <w:sz w:val="18"/>
                      <w:szCs w:val="18"/>
                      <w:u w:val="none"/>
                    </w:rPr>
                    <w:t>29</w:t>
                  </w:r>
                </w:p>
              </w:tc>
              <w:tc>
                <w:tcPr>
                  <w:tcW w:w="738" w:type="dxa"/>
                  <w:tcBorders>
                    <w:tl2br w:val="nil"/>
                    <w:tr2bl w:val="nil"/>
                  </w:tcBorders>
                  <w:vAlign w:val="center"/>
                </w:tcPr>
                <w:p>
                  <w:pPr>
                    <w:pStyle w:val="4"/>
                    <w:tabs>
                      <w:tab w:val="left" w:pos="864"/>
                    </w:tabs>
                    <w:adjustRightInd w:val="0"/>
                    <w:snapToGrid w:val="0"/>
                    <w:spacing w:line="240" w:lineRule="auto"/>
                    <w:jc w:val="center"/>
                    <w:outlineLvl w:val="3"/>
                    <w:rPr>
                      <w:rFonts w:hint="default" w:ascii="Times New Roman" w:hAnsi="Times New Roman" w:eastAsiaTheme="minorEastAsia"/>
                      <w:b w:val="0"/>
                      <w:bCs/>
                      <w:color w:val="auto"/>
                      <w:sz w:val="18"/>
                      <w:szCs w:val="18"/>
                      <w:u w:val="none"/>
                      <w:lang w:val="en-US" w:eastAsia="zh-CN"/>
                    </w:rPr>
                  </w:pPr>
                  <w:r>
                    <w:rPr>
                      <w:rFonts w:hint="eastAsia" w:ascii="Times New Roman" w:hAnsi="Times New Roman" w:eastAsiaTheme="minorEastAsia"/>
                      <w:b w:val="0"/>
                      <w:bCs/>
                      <w:color w:val="auto"/>
                      <w:sz w:val="18"/>
                      <w:szCs w:val="18"/>
                      <w:u w:val="none"/>
                      <w:lang w:val="en-US" w:eastAsia="zh-CN"/>
                    </w:rPr>
                    <w:t>2.40</w:t>
                  </w:r>
                </w:p>
              </w:tc>
              <w:tc>
                <w:tcPr>
                  <w:tcW w:w="907" w:type="dxa"/>
                  <w:tcBorders>
                    <w:tl2br w:val="nil"/>
                    <w:tr2bl w:val="nil"/>
                  </w:tcBorders>
                  <w:vAlign w:val="center"/>
                </w:tcPr>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hint="eastAsia" w:ascii="Times New Roman" w:hAnsi="Times New Roman" w:eastAsiaTheme="minorEastAsia"/>
                      <w:b w:val="0"/>
                      <w:bCs/>
                      <w:color w:val="auto"/>
                      <w:sz w:val="18"/>
                      <w:szCs w:val="18"/>
                      <w:u w:val="none"/>
                    </w:rPr>
                    <w:t>紫外线消毒装置</w:t>
                  </w:r>
                </w:p>
              </w:tc>
              <w:tc>
                <w:tcPr>
                  <w:tcW w:w="551" w:type="dxa"/>
                  <w:tcBorders>
                    <w:tl2br w:val="nil"/>
                    <w:tr2bl w:val="nil"/>
                  </w:tcBorders>
                  <w:vAlign w:val="center"/>
                </w:tcPr>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hint="eastAsia" w:ascii="Times New Roman" w:hAnsi="Times New Roman" w:eastAsiaTheme="minorEastAsia"/>
                      <w:b w:val="0"/>
                      <w:bCs/>
                      <w:color w:val="auto"/>
                      <w:sz w:val="18"/>
                      <w:szCs w:val="18"/>
                      <w:u w:val="none"/>
                    </w:rPr>
                    <w:t>固</w:t>
                  </w:r>
                  <w:r>
                    <w:rPr>
                      <w:rFonts w:ascii="Times New Roman" w:hAnsi="Times New Roman" w:eastAsiaTheme="minorEastAsia"/>
                      <w:b w:val="0"/>
                      <w:bCs/>
                      <w:color w:val="auto"/>
                      <w:sz w:val="18"/>
                      <w:szCs w:val="18"/>
                      <w:u w:val="none"/>
                    </w:rPr>
                    <w:t>态</w:t>
                  </w:r>
                </w:p>
              </w:tc>
              <w:tc>
                <w:tcPr>
                  <w:tcW w:w="956" w:type="dxa"/>
                  <w:tcBorders>
                    <w:tl2br w:val="nil"/>
                    <w:tr2bl w:val="nil"/>
                  </w:tcBorders>
                  <w:vAlign w:val="center"/>
                </w:tcPr>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hint="eastAsia" w:ascii="Times New Roman" w:hAnsi="Times New Roman" w:eastAsiaTheme="minorEastAsia"/>
                      <w:b w:val="0"/>
                      <w:bCs/>
                      <w:color w:val="auto"/>
                      <w:sz w:val="18"/>
                      <w:szCs w:val="18"/>
                      <w:u w:val="none"/>
                    </w:rPr>
                    <w:t>汞</w:t>
                  </w:r>
                </w:p>
              </w:tc>
              <w:tc>
                <w:tcPr>
                  <w:tcW w:w="755" w:type="dxa"/>
                  <w:tcBorders>
                    <w:tl2br w:val="nil"/>
                    <w:tr2bl w:val="nil"/>
                  </w:tcBorders>
                  <w:vAlign w:val="center"/>
                </w:tcPr>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hint="eastAsia" w:ascii="Times New Roman" w:hAnsi="Times New Roman" w:eastAsiaTheme="minorEastAsia"/>
                      <w:b w:val="0"/>
                      <w:bCs/>
                      <w:color w:val="auto"/>
                      <w:sz w:val="18"/>
                      <w:szCs w:val="18"/>
                      <w:u w:val="none"/>
                    </w:rPr>
                    <w:t>汞</w:t>
                  </w:r>
                </w:p>
              </w:tc>
              <w:tc>
                <w:tcPr>
                  <w:tcW w:w="536" w:type="dxa"/>
                  <w:tcBorders>
                    <w:tl2br w:val="nil"/>
                    <w:tr2bl w:val="nil"/>
                  </w:tcBorders>
                  <w:vAlign w:val="center"/>
                </w:tcPr>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hint="eastAsia" w:ascii="Times New Roman" w:hAnsi="Times New Roman" w:eastAsiaTheme="minorEastAsia"/>
                      <w:b w:val="0"/>
                      <w:bCs/>
                      <w:color w:val="auto"/>
                      <w:sz w:val="18"/>
                      <w:szCs w:val="18"/>
                      <w:u w:val="none"/>
                      <w:lang w:val="en-US" w:eastAsia="zh-CN"/>
                    </w:rPr>
                    <w:t>1</w:t>
                  </w:r>
                  <w:r>
                    <w:rPr>
                      <w:rFonts w:hint="eastAsia" w:ascii="Times New Roman" w:hAnsi="Times New Roman" w:eastAsiaTheme="minorEastAsia"/>
                      <w:b w:val="0"/>
                      <w:bCs/>
                      <w:color w:val="auto"/>
                      <w:sz w:val="18"/>
                      <w:szCs w:val="18"/>
                      <w:u w:val="none"/>
                    </w:rPr>
                    <w:t>次/年</w:t>
                  </w:r>
                </w:p>
              </w:tc>
              <w:tc>
                <w:tcPr>
                  <w:tcW w:w="681" w:type="dxa"/>
                  <w:tcBorders>
                    <w:tl2br w:val="nil"/>
                    <w:tr2bl w:val="nil"/>
                  </w:tcBorders>
                  <w:vAlign w:val="center"/>
                </w:tcPr>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ascii="Times New Roman" w:hAnsi="Times New Roman" w:eastAsiaTheme="minorEastAsia"/>
                      <w:b w:val="0"/>
                      <w:bCs/>
                      <w:color w:val="auto"/>
                      <w:sz w:val="18"/>
                      <w:szCs w:val="18"/>
                      <w:u w:val="none"/>
                    </w:rPr>
                    <w:t>T</w:t>
                  </w:r>
                </w:p>
              </w:tc>
              <w:tc>
                <w:tcPr>
                  <w:tcW w:w="1142" w:type="dxa"/>
                  <w:tcBorders>
                    <w:tl2br w:val="nil"/>
                    <w:tr2bl w:val="nil"/>
                  </w:tcBorders>
                  <w:vAlign w:val="center"/>
                </w:tcPr>
                <w:p>
                  <w:pPr>
                    <w:pStyle w:val="4"/>
                    <w:tabs>
                      <w:tab w:val="left" w:pos="864"/>
                    </w:tabs>
                    <w:adjustRightInd w:val="0"/>
                    <w:snapToGrid w:val="0"/>
                    <w:spacing w:line="240" w:lineRule="auto"/>
                    <w:jc w:val="center"/>
                    <w:outlineLvl w:val="3"/>
                    <w:rPr>
                      <w:rFonts w:ascii="Times New Roman" w:hAnsi="Times New Roman" w:eastAsiaTheme="minorEastAsia"/>
                      <w:b w:val="0"/>
                      <w:bCs/>
                      <w:color w:val="auto"/>
                      <w:sz w:val="18"/>
                      <w:szCs w:val="18"/>
                      <w:u w:val="none"/>
                    </w:rPr>
                  </w:pPr>
                  <w:r>
                    <w:rPr>
                      <w:rFonts w:hint="eastAsia" w:ascii="Times New Roman" w:hAnsi="Times New Roman" w:eastAsiaTheme="minorEastAsia"/>
                      <w:b w:val="0"/>
                      <w:bCs/>
                      <w:color w:val="auto"/>
                      <w:sz w:val="18"/>
                      <w:szCs w:val="18"/>
                      <w:u w:val="none"/>
                    </w:rPr>
                    <w:t>收集</w:t>
                  </w:r>
                  <w:r>
                    <w:rPr>
                      <w:rFonts w:ascii="Times New Roman" w:hAnsi="Times New Roman" w:eastAsiaTheme="minorEastAsia"/>
                      <w:b w:val="0"/>
                      <w:bCs/>
                      <w:color w:val="auto"/>
                      <w:sz w:val="18"/>
                      <w:szCs w:val="18"/>
                      <w:u w:val="none"/>
                    </w:rPr>
                    <w:t>于危废暂存间后交由有资质单位处理</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02" w:firstLineChars="200"/>
              <w:jc w:val="center"/>
              <w:textAlignment w:val="auto"/>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both"/>
              <w:rPr>
                <w:rFonts w:hint="eastAsia"/>
                <w:lang w:val="en-US" w:eastAsia="zh-CN"/>
              </w:rPr>
            </w:pPr>
          </w:p>
        </w:tc>
      </w:tr>
    </w:tbl>
    <w:p>
      <w:pPr>
        <w:snapToGrid w:val="0"/>
        <w:outlineLvl w:val="0"/>
        <w:rPr>
          <w:rFonts w:ascii="黑体" w:hAnsi="黑体" w:eastAsia="黑体"/>
          <w:sz w:val="32"/>
          <w:szCs w:val="32"/>
        </w:rPr>
      </w:pPr>
      <w:r>
        <w:br w:type="page"/>
      </w:r>
      <w:bookmarkStart w:id="8" w:name="_Toc28711"/>
      <w:r>
        <w:rPr>
          <w:rFonts w:hint="eastAsia" w:ascii="黑体" w:hAnsi="黑体" w:eastAsia="黑体"/>
          <w:sz w:val="32"/>
          <w:szCs w:val="32"/>
        </w:rPr>
        <w:t>六、</w:t>
      </w:r>
      <w:r>
        <w:rPr>
          <w:rFonts w:ascii="黑体" w:hAnsi="黑体" w:eastAsia="黑体"/>
          <w:sz w:val="32"/>
          <w:szCs w:val="32"/>
        </w:rPr>
        <w:t>项目主要污染物产生及预计排放情况</w:t>
      </w:r>
      <w:bookmarkEnd w:id="8"/>
    </w:p>
    <w:tbl>
      <w:tblPr>
        <w:tblStyle w:val="27"/>
        <w:tblW w:w="95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888"/>
        <w:gridCol w:w="1140"/>
        <w:gridCol w:w="1695"/>
        <w:gridCol w:w="2010"/>
        <w:gridCol w:w="26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1093" w:type="dxa"/>
            <w:tcBorders>
              <w:tl2br w:val="nil"/>
              <w:tr2bl w:val="nil"/>
            </w:tcBorders>
            <w:vAlign w:val="center"/>
          </w:tcPr>
          <w:p>
            <w:pPr>
              <w:spacing w:line="240" w:lineRule="auto"/>
              <w:jc w:val="right"/>
              <w:rPr>
                <w:color w:val="auto"/>
                <w:szCs w:val="21"/>
                <w:u w:val="none"/>
              </w:rPr>
            </w:pPr>
            <w:r>
              <w:rPr>
                <w:color w:val="auto"/>
                <w:u w:val="none"/>
              </w:rPr>
              <w:pict>
                <v:line id="_x0000_s2128" o:spid="_x0000_s2128" o:spt="20" style="position:absolute;left:0pt;margin-left:-2.7pt;margin-top:1.85pt;height:30.05pt;width:50.15pt;z-index:251650048;mso-width-relative:page;mso-height-relative:page;" filled="f" stroked="t" coordsize="21600,21600" o:gfxdata="UEsDBAoAAAAAAIdO4kAAAAAAAAAAAAAAAAAEAAAAZHJzL1BLAwQUAAAACACHTuJAbAdt3dcAAAAI&#10;AQAADwAAAGRycy9kb3ducmV2LnhtbE2PwU7DMBBE70j8g7VI3Fq7DTRVGqcHJA5ISEDgwNFNtkmK&#10;vQ6xm4S/Z3uC245m9HYm38/OihGH0HnSsFoqEEiVrztqNHy8Py62IEI0VBvrCTX8YIB9cX2Vm6z2&#10;E73hWMZGMIRCZjS0MfaZlKFq0Zmw9D0Se0c/OBNZDo2sBzMx3Fm5VmojnemIP7Smx4cWq6/y7JhC&#10;6fdxtsPn68tzuy2nEz6NKWp9e7NSOxAR5/gXhkt9rg4Fdzr4M9VBWA2LzT0nNSQpiIutEp524CO5&#10;W4Mscvl/QPELUEsDBBQAAAAIAIdO4kAqE4tn1wEAAHYDAAAOAAAAZHJzL2Uyb0RvYy54bWytU0uO&#10;EzEQ3SNxB8t70vmQnkwrnVlMNGwQRII5QMXt7rbkn1wmnVyCCyCxgxVL9tyG4RiUnWZmgB0ii4pd&#10;n1f1nqvXV0ej2UEGVM7WfDaZciatcI2yXc1v3948W3GGEWwD2llZ85NEfrV5+mQ9+ErOXe90IwMj&#10;EIvV4Gvex+irokDRSwM4cV5aCrYuGIh0DV3RBBgI3ehiPp2WxeBC44MTEpG823OQbzJ+20oRX7ct&#10;ysh0zWm2mG3Idp9ssVlD1QXwvRLjGPAPUxhQlpreQ20hAnsX1F9QRong0LVxIpwpXNsqITMHYjOb&#10;/sHmTQ9eZi4kDvp7mfD/wYpXh11gqqG3m5WcWTD0SHcfvn5//+nHt49k7758ZilEQg0eK8q/trsw&#10;3tDvQmJ9bINJ/8SHHWu+KsvZc1L7lFEvZotRZ3mMTFC8vFwu5kvOBCWs5qvyYpngiwccHzC+kM6w&#10;dKi5VjbJABUcXmI8p/5KSW7rbpTW5IdKWzZQg8WS2gughWo1RDoaTxTRdpyB7mhTRQwZEZ1WTapO&#10;xRi6/bUO7ABpW/JvHOy3tNR6C9if83IopUFlVKRl1soQrcfV2hK7pN5Zr3Tau+aUZcx+etzMf1zE&#10;tD2P77n64XPZ/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B23d1wAAAAgBAAAPAAAAAAAAAAEA&#10;IAAAACIAAABkcnMvZG93bnJldi54bWxQSwECFAAUAAAACACHTuJAKhOLZ9cBAAB2AwAADgAAAAAA&#10;AAABACAAAAAmAQAAZHJzL2Uyb0RvYy54bWxQSwUGAAAAAAYABgBZAQAAbwUAAAAA&#10;">
                  <v:path arrowok="t"/>
                  <v:fill on="f" focussize="0,0"/>
                  <v:stroke weight="0.5pt" color="#000000" joinstyle="miter"/>
                  <v:imagedata o:title=""/>
                  <o:lock v:ext="edit" aspectratio="f"/>
                </v:line>
              </w:pict>
            </w:r>
            <w:r>
              <w:rPr>
                <w:color w:val="auto"/>
                <w:szCs w:val="21"/>
                <w:u w:val="none"/>
              </w:rPr>
              <w:t>内容</w:t>
            </w:r>
          </w:p>
          <w:p>
            <w:pPr>
              <w:spacing w:line="240" w:lineRule="auto"/>
              <w:rPr>
                <w:color w:val="auto"/>
                <w:szCs w:val="21"/>
                <w:u w:val="none"/>
              </w:rPr>
            </w:pPr>
            <w:r>
              <w:rPr>
                <w:color w:val="auto"/>
                <w:szCs w:val="21"/>
                <w:u w:val="none"/>
              </w:rPr>
              <w:t>类型</w:t>
            </w:r>
          </w:p>
        </w:tc>
        <w:tc>
          <w:tcPr>
            <w:tcW w:w="2028" w:type="dxa"/>
            <w:gridSpan w:val="2"/>
            <w:tcBorders>
              <w:tl2br w:val="nil"/>
              <w:tr2bl w:val="nil"/>
            </w:tcBorders>
            <w:vAlign w:val="center"/>
          </w:tcPr>
          <w:p>
            <w:pPr>
              <w:spacing w:line="240" w:lineRule="auto"/>
              <w:jc w:val="center"/>
              <w:rPr>
                <w:color w:val="auto"/>
                <w:szCs w:val="21"/>
                <w:u w:val="none"/>
              </w:rPr>
            </w:pPr>
            <w:r>
              <w:rPr>
                <w:color w:val="auto"/>
                <w:szCs w:val="21"/>
                <w:u w:val="none"/>
              </w:rPr>
              <w:t>排放源</w:t>
            </w:r>
          </w:p>
          <w:p>
            <w:pPr>
              <w:spacing w:line="240" w:lineRule="auto"/>
              <w:jc w:val="center"/>
              <w:rPr>
                <w:color w:val="auto"/>
                <w:szCs w:val="21"/>
                <w:u w:val="none"/>
              </w:rPr>
            </w:pPr>
            <w:r>
              <w:rPr>
                <w:color w:val="auto"/>
                <w:szCs w:val="21"/>
                <w:u w:val="none"/>
              </w:rPr>
              <w:t>（编号）</w:t>
            </w:r>
          </w:p>
        </w:tc>
        <w:tc>
          <w:tcPr>
            <w:tcW w:w="1695" w:type="dxa"/>
            <w:tcBorders>
              <w:tl2br w:val="nil"/>
              <w:tr2bl w:val="nil"/>
            </w:tcBorders>
            <w:vAlign w:val="center"/>
          </w:tcPr>
          <w:p>
            <w:pPr>
              <w:spacing w:line="240" w:lineRule="auto"/>
              <w:jc w:val="center"/>
              <w:rPr>
                <w:color w:val="auto"/>
                <w:szCs w:val="21"/>
                <w:u w:val="none"/>
              </w:rPr>
            </w:pPr>
            <w:r>
              <w:rPr>
                <w:color w:val="auto"/>
                <w:szCs w:val="21"/>
                <w:u w:val="none"/>
              </w:rPr>
              <w:t>污染物名称</w:t>
            </w:r>
          </w:p>
        </w:tc>
        <w:tc>
          <w:tcPr>
            <w:tcW w:w="2010" w:type="dxa"/>
            <w:tcBorders>
              <w:tl2br w:val="nil"/>
              <w:tr2bl w:val="nil"/>
            </w:tcBorders>
            <w:vAlign w:val="center"/>
          </w:tcPr>
          <w:p>
            <w:pPr>
              <w:spacing w:line="240" w:lineRule="auto"/>
              <w:jc w:val="center"/>
              <w:rPr>
                <w:color w:val="auto"/>
                <w:szCs w:val="21"/>
                <w:u w:val="none"/>
              </w:rPr>
            </w:pPr>
            <w:r>
              <w:rPr>
                <w:color w:val="auto"/>
                <w:szCs w:val="21"/>
                <w:u w:val="none"/>
              </w:rPr>
              <w:t>产生浓度及产生量</w:t>
            </w:r>
          </w:p>
          <w:p>
            <w:pPr>
              <w:spacing w:line="240" w:lineRule="auto"/>
              <w:jc w:val="center"/>
              <w:rPr>
                <w:color w:val="auto"/>
                <w:szCs w:val="21"/>
                <w:u w:val="none"/>
              </w:rPr>
            </w:pPr>
            <w:r>
              <w:rPr>
                <w:color w:val="auto"/>
                <w:szCs w:val="21"/>
                <w:u w:val="none"/>
              </w:rPr>
              <w:t>（单位）</w:t>
            </w:r>
          </w:p>
        </w:tc>
        <w:tc>
          <w:tcPr>
            <w:tcW w:w="2688" w:type="dxa"/>
            <w:tcBorders>
              <w:tl2br w:val="nil"/>
              <w:tr2bl w:val="nil"/>
            </w:tcBorders>
            <w:vAlign w:val="center"/>
          </w:tcPr>
          <w:p>
            <w:pPr>
              <w:spacing w:line="240" w:lineRule="auto"/>
              <w:jc w:val="center"/>
              <w:rPr>
                <w:color w:val="auto"/>
                <w:szCs w:val="21"/>
                <w:u w:val="none"/>
              </w:rPr>
            </w:pPr>
            <w:r>
              <w:rPr>
                <w:color w:val="auto"/>
                <w:szCs w:val="21"/>
                <w:u w:val="none"/>
              </w:rPr>
              <w:t>排放浓度及排放量</w:t>
            </w:r>
          </w:p>
          <w:p>
            <w:pPr>
              <w:spacing w:line="240" w:lineRule="auto"/>
              <w:jc w:val="center"/>
              <w:rPr>
                <w:color w:val="auto"/>
                <w:szCs w:val="21"/>
                <w:u w:val="none"/>
              </w:rPr>
            </w:pPr>
            <w:r>
              <w:rPr>
                <w:color w:val="auto"/>
                <w:szCs w:val="21"/>
                <w:u w:val="none"/>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093" w:type="dxa"/>
            <w:vMerge w:val="restart"/>
            <w:tcBorders>
              <w:tl2br w:val="nil"/>
              <w:tr2bl w:val="nil"/>
            </w:tcBorders>
            <w:vAlign w:val="center"/>
          </w:tcPr>
          <w:p>
            <w:pPr>
              <w:spacing w:line="240" w:lineRule="auto"/>
              <w:jc w:val="center"/>
              <w:rPr>
                <w:color w:val="auto"/>
                <w:szCs w:val="21"/>
                <w:u w:val="none"/>
              </w:rPr>
            </w:pPr>
            <w:r>
              <w:rPr>
                <w:color w:val="auto"/>
                <w:szCs w:val="21"/>
                <w:u w:val="none"/>
              </w:rPr>
              <w:t>大</w:t>
            </w:r>
          </w:p>
          <w:p>
            <w:pPr>
              <w:spacing w:line="240" w:lineRule="auto"/>
              <w:jc w:val="center"/>
              <w:rPr>
                <w:color w:val="auto"/>
                <w:szCs w:val="21"/>
                <w:u w:val="none"/>
              </w:rPr>
            </w:pPr>
            <w:r>
              <w:rPr>
                <w:color w:val="auto"/>
                <w:szCs w:val="21"/>
                <w:u w:val="none"/>
              </w:rPr>
              <w:t>气</w:t>
            </w:r>
          </w:p>
          <w:p>
            <w:pPr>
              <w:spacing w:line="240" w:lineRule="auto"/>
              <w:jc w:val="center"/>
              <w:rPr>
                <w:color w:val="auto"/>
                <w:szCs w:val="21"/>
                <w:u w:val="none"/>
              </w:rPr>
            </w:pPr>
            <w:r>
              <w:rPr>
                <w:color w:val="auto"/>
                <w:szCs w:val="21"/>
                <w:u w:val="none"/>
              </w:rPr>
              <w:t>污</w:t>
            </w:r>
          </w:p>
          <w:p>
            <w:pPr>
              <w:spacing w:line="240" w:lineRule="auto"/>
              <w:jc w:val="center"/>
              <w:rPr>
                <w:color w:val="auto"/>
                <w:szCs w:val="21"/>
                <w:u w:val="none"/>
              </w:rPr>
            </w:pPr>
            <w:r>
              <w:rPr>
                <w:color w:val="auto"/>
                <w:szCs w:val="21"/>
                <w:u w:val="none"/>
              </w:rPr>
              <w:t>染</w:t>
            </w:r>
          </w:p>
          <w:p>
            <w:pPr>
              <w:spacing w:line="240" w:lineRule="auto"/>
              <w:jc w:val="center"/>
              <w:rPr>
                <w:color w:val="auto"/>
                <w:szCs w:val="21"/>
                <w:u w:val="none"/>
              </w:rPr>
            </w:pPr>
            <w:r>
              <w:rPr>
                <w:color w:val="auto"/>
                <w:szCs w:val="21"/>
                <w:u w:val="none"/>
              </w:rPr>
              <w:t>物</w:t>
            </w:r>
          </w:p>
        </w:tc>
        <w:tc>
          <w:tcPr>
            <w:tcW w:w="888" w:type="dxa"/>
            <w:tcBorders>
              <w:tl2br w:val="nil"/>
              <w:tr2bl w:val="nil"/>
            </w:tcBorders>
            <w:vAlign w:val="center"/>
          </w:tcPr>
          <w:p>
            <w:pPr>
              <w:spacing w:line="240" w:lineRule="auto"/>
              <w:jc w:val="center"/>
              <w:rPr>
                <w:color w:val="auto"/>
                <w:spacing w:val="4"/>
                <w:szCs w:val="21"/>
                <w:u w:val="none"/>
              </w:rPr>
            </w:pPr>
            <w:r>
              <w:rPr>
                <w:color w:val="auto"/>
                <w:spacing w:val="4"/>
                <w:szCs w:val="21"/>
                <w:u w:val="none"/>
              </w:rPr>
              <w:t>施工期</w:t>
            </w:r>
          </w:p>
        </w:tc>
        <w:tc>
          <w:tcPr>
            <w:tcW w:w="1140" w:type="dxa"/>
            <w:tcBorders>
              <w:tl2br w:val="nil"/>
              <w:tr2bl w:val="nil"/>
            </w:tcBorders>
            <w:vAlign w:val="center"/>
          </w:tcPr>
          <w:p>
            <w:pPr>
              <w:spacing w:line="240" w:lineRule="auto"/>
              <w:jc w:val="center"/>
              <w:rPr>
                <w:color w:val="auto"/>
                <w:spacing w:val="4"/>
                <w:szCs w:val="21"/>
                <w:u w:val="none"/>
              </w:rPr>
            </w:pPr>
            <w:r>
              <w:rPr>
                <w:rFonts w:hint="eastAsia"/>
                <w:color w:val="auto"/>
                <w:spacing w:val="4"/>
                <w:szCs w:val="21"/>
                <w:u w:val="none"/>
              </w:rPr>
              <w:t>施工场地</w:t>
            </w:r>
          </w:p>
        </w:tc>
        <w:tc>
          <w:tcPr>
            <w:tcW w:w="1695" w:type="dxa"/>
            <w:tcBorders>
              <w:tl2br w:val="nil"/>
              <w:tr2bl w:val="nil"/>
            </w:tcBorders>
            <w:vAlign w:val="center"/>
          </w:tcPr>
          <w:p>
            <w:pPr>
              <w:spacing w:line="240" w:lineRule="auto"/>
              <w:jc w:val="center"/>
              <w:rPr>
                <w:color w:val="auto"/>
                <w:spacing w:val="4"/>
                <w:szCs w:val="21"/>
                <w:u w:val="none"/>
              </w:rPr>
            </w:pPr>
            <w:r>
              <w:rPr>
                <w:color w:val="auto"/>
                <w:spacing w:val="4"/>
                <w:szCs w:val="21"/>
                <w:u w:val="none"/>
              </w:rPr>
              <w:t>扬尘、汽车尾气、装修废气</w:t>
            </w:r>
          </w:p>
        </w:tc>
        <w:tc>
          <w:tcPr>
            <w:tcW w:w="2010" w:type="dxa"/>
            <w:tcBorders>
              <w:tl2br w:val="nil"/>
              <w:tr2bl w:val="nil"/>
            </w:tcBorders>
            <w:vAlign w:val="center"/>
          </w:tcPr>
          <w:p>
            <w:pPr>
              <w:spacing w:line="240" w:lineRule="auto"/>
              <w:jc w:val="center"/>
              <w:rPr>
                <w:color w:val="auto"/>
                <w:szCs w:val="21"/>
                <w:u w:val="none"/>
              </w:rPr>
            </w:pPr>
            <w:r>
              <w:rPr>
                <w:color w:val="auto"/>
                <w:szCs w:val="21"/>
                <w:u w:val="none"/>
              </w:rPr>
              <w:t>无组织排放</w:t>
            </w:r>
          </w:p>
        </w:tc>
        <w:tc>
          <w:tcPr>
            <w:tcW w:w="2688" w:type="dxa"/>
            <w:tcBorders>
              <w:tl2br w:val="nil"/>
              <w:tr2bl w:val="nil"/>
            </w:tcBorders>
            <w:vAlign w:val="center"/>
          </w:tcPr>
          <w:p>
            <w:pPr>
              <w:spacing w:line="240" w:lineRule="auto"/>
              <w:jc w:val="center"/>
              <w:rPr>
                <w:color w:val="auto"/>
                <w:szCs w:val="21"/>
                <w:u w:val="none"/>
              </w:rPr>
            </w:pPr>
            <w:r>
              <w:rPr>
                <w:color w:val="auto"/>
                <w:szCs w:val="21"/>
                <w:u w:val="none"/>
              </w:rPr>
              <w:t>无组织排放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93" w:type="dxa"/>
            <w:vMerge w:val="continue"/>
            <w:tcBorders>
              <w:tl2br w:val="nil"/>
              <w:tr2bl w:val="nil"/>
            </w:tcBorders>
            <w:vAlign w:val="center"/>
          </w:tcPr>
          <w:p>
            <w:pPr>
              <w:spacing w:line="240" w:lineRule="auto"/>
              <w:jc w:val="center"/>
              <w:rPr>
                <w:color w:val="auto"/>
                <w:szCs w:val="21"/>
                <w:u w:val="none"/>
              </w:rPr>
            </w:pPr>
          </w:p>
        </w:tc>
        <w:tc>
          <w:tcPr>
            <w:tcW w:w="888" w:type="dxa"/>
            <w:vMerge w:val="restart"/>
            <w:tcBorders>
              <w:tl2br w:val="nil"/>
              <w:tr2bl w:val="nil"/>
            </w:tcBorders>
            <w:vAlign w:val="center"/>
          </w:tcPr>
          <w:p>
            <w:pPr>
              <w:spacing w:line="240" w:lineRule="auto"/>
              <w:jc w:val="center"/>
              <w:rPr>
                <w:color w:val="auto"/>
                <w:spacing w:val="4"/>
                <w:szCs w:val="21"/>
                <w:u w:val="none"/>
              </w:rPr>
            </w:pPr>
            <w:r>
              <w:rPr>
                <w:rFonts w:hint="eastAsia"/>
                <w:color w:val="auto"/>
                <w:spacing w:val="4"/>
                <w:szCs w:val="21"/>
                <w:u w:val="none"/>
              </w:rPr>
              <w:t>运营期</w:t>
            </w:r>
          </w:p>
        </w:tc>
        <w:tc>
          <w:tcPr>
            <w:tcW w:w="1140" w:type="dxa"/>
            <w:vMerge w:val="restart"/>
            <w:tcBorders>
              <w:tl2br w:val="nil"/>
              <w:tr2bl w:val="nil"/>
            </w:tcBorders>
            <w:vAlign w:val="center"/>
          </w:tcPr>
          <w:p>
            <w:pPr>
              <w:spacing w:line="240" w:lineRule="auto"/>
              <w:jc w:val="center"/>
              <w:rPr>
                <w:color w:val="auto"/>
                <w:spacing w:val="4"/>
                <w:szCs w:val="21"/>
                <w:u w:val="none"/>
              </w:rPr>
            </w:pPr>
            <w:r>
              <w:rPr>
                <w:rFonts w:hint="eastAsia"/>
                <w:color w:val="auto"/>
                <w:spacing w:val="4"/>
                <w:szCs w:val="21"/>
                <w:u w:val="none"/>
              </w:rPr>
              <w:t>厂区</w:t>
            </w:r>
          </w:p>
        </w:tc>
        <w:tc>
          <w:tcPr>
            <w:tcW w:w="1695" w:type="dxa"/>
            <w:tcBorders>
              <w:tl2br w:val="nil"/>
              <w:tr2bl w:val="nil"/>
            </w:tcBorders>
            <w:vAlign w:val="center"/>
          </w:tcPr>
          <w:p>
            <w:pPr>
              <w:spacing w:line="240" w:lineRule="auto"/>
              <w:jc w:val="center"/>
              <w:rPr>
                <w:color w:val="auto"/>
                <w:spacing w:val="4"/>
                <w:szCs w:val="21"/>
                <w:u w:val="none"/>
              </w:rPr>
            </w:pPr>
            <w:r>
              <w:rPr>
                <w:rFonts w:hint="eastAsia"/>
                <w:color w:val="auto"/>
                <w:spacing w:val="4"/>
                <w:szCs w:val="21"/>
                <w:u w:val="none"/>
              </w:rPr>
              <w:t>硫化氢</w:t>
            </w:r>
          </w:p>
        </w:tc>
        <w:tc>
          <w:tcPr>
            <w:tcW w:w="2010" w:type="dxa"/>
            <w:tcBorders>
              <w:tl2br w:val="nil"/>
              <w:tr2bl w:val="nil"/>
            </w:tcBorders>
            <w:vAlign w:val="center"/>
          </w:tcPr>
          <w:p>
            <w:pPr>
              <w:spacing w:line="240" w:lineRule="auto"/>
              <w:jc w:val="center"/>
              <w:rPr>
                <w:rFonts w:hint="eastAsia" w:eastAsia="宋体"/>
                <w:color w:val="auto"/>
                <w:szCs w:val="21"/>
                <w:u w:val="none"/>
                <w:lang w:val="en-US" w:eastAsia="zh-CN"/>
              </w:rPr>
            </w:pPr>
            <w:r>
              <w:rPr>
                <w:rFonts w:hint="eastAsia"/>
                <w:color w:val="auto"/>
                <w:szCs w:val="21"/>
                <w:u w:val="none"/>
                <w:lang w:val="en-US" w:eastAsia="zh-CN"/>
              </w:rPr>
              <w:t>101.835</w:t>
            </w:r>
            <w:r>
              <w:rPr>
                <w:rFonts w:hint="eastAsia"/>
                <w:color w:val="auto"/>
                <w:szCs w:val="21"/>
                <w:u w:val="none"/>
              </w:rPr>
              <w:t>kg/</w:t>
            </w:r>
            <w:r>
              <w:rPr>
                <w:rFonts w:hint="eastAsia"/>
                <w:color w:val="auto"/>
                <w:szCs w:val="21"/>
                <w:u w:val="none"/>
                <w:lang w:val="en-US" w:eastAsia="zh-CN"/>
              </w:rPr>
              <w:t>a</w:t>
            </w:r>
          </w:p>
        </w:tc>
        <w:tc>
          <w:tcPr>
            <w:tcW w:w="2688" w:type="dxa"/>
            <w:tcBorders>
              <w:tl2br w:val="nil"/>
              <w:tr2bl w:val="nil"/>
            </w:tcBorders>
            <w:vAlign w:val="center"/>
          </w:tcPr>
          <w:p>
            <w:pPr>
              <w:spacing w:line="240" w:lineRule="auto"/>
              <w:jc w:val="center"/>
              <w:rPr>
                <w:rFonts w:hint="eastAsia" w:eastAsia="宋体"/>
                <w:color w:val="auto"/>
                <w:szCs w:val="21"/>
                <w:u w:val="none"/>
                <w:lang w:val="en-US" w:eastAsia="zh-CN"/>
              </w:rPr>
            </w:pPr>
            <w:r>
              <w:rPr>
                <w:rFonts w:hint="eastAsia"/>
                <w:color w:val="auto"/>
                <w:szCs w:val="21"/>
                <w:u w:val="none"/>
                <w:lang w:val="en-US" w:eastAsia="zh-CN"/>
              </w:rPr>
              <w:t>71.285</w:t>
            </w:r>
            <w:r>
              <w:rPr>
                <w:rFonts w:hint="eastAsia"/>
                <w:color w:val="auto"/>
                <w:szCs w:val="21"/>
                <w:u w:val="none"/>
              </w:rPr>
              <w:t>kg/</w:t>
            </w:r>
            <w:r>
              <w:rPr>
                <w:rFonts w:hint="eastAsia"/>
                <w:color w:val="auto"/>
                <w:szCs w:val="21"/>
                <w:u w:val="none"/>
                <w:lang w:val="en-US" w:eastAsia="zh-CN"/>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1093" w:type="dxa"/>
            <w:vMerge w:val="continue"/>
            <w:tcBorders>
              <w:tl2br w:val="nil"/>
              <w:tr2bl w:val="nil"/>
            </w:tcBorders>
            <w:vAlign w:val="center"/>
          </w:tcPr>
          <w:p>
            <w:pPr>
              <w:spacing w:line="240" w:lineRule="auto"/>
              <w:jc w:val="center"/>
              <w:rPr>
                <w:color w:val="auto"/>
                <w:szCs w:val="21"/>
                <w:u w:val="none"/>
              </w:rPr>
            </w:pPr>
          </w:p>
        </w:tc>
        <w:tc>
          <w:tcPr>
            <w:tcW w:w="888" w:type="dxa"/>
            <w:vMerge w:val="continue"/>
            <w:tcBorders>
              <w:tl2br w:val="nil"/>
              <w:tr2bl w:val="nil"/>
            </w:tcBorders>
            <w:vAlign w:val="center"/>
          </w:tcPr>
          <w:p>
            <w:pPr>
              <w:spacing w:line="240" w:lineRule="auto"/>
              <w:jc w:val="center"/>
              <w:rPr>
                <w:color w:val="auto"/>
                <w:spacing w:val="4"/>
                <w:szCs w:val="21"/>
                <w:u w:val="none"/>
              </w:rPr>
            </w:pPr>
          </w:p>
        </w:tc>
        <w:tc>
          <w:tcPr>
            <w:tcW w:w="1140" w:type="dxa"/>
            <w:vMerge w:val="continue"/>
            <w:tcBorders>
              <w:tl2br w:val="nil"/>
              <w:tr2bl w:val="nil"/>
            </w:tcBorders>
            <w:vAlign w:val="center"/>
          </w:tcPr>
          <w:p>
            <w:pPr>
              <w:spacing w:line="240" w:lineRule="auto"/>
              <w:jc w:val="center"/>
              <w:rPr>
                <w:color w:val="auto"/>
                <w:spacing w:val="4"/>
                <w:szCs w:val="21"/>
                <w:u w:val="none"/>
              </w:rPr>
            </w:pPr>
          </w:p>
        </w:tc>
        <w:tc>
          <w:tcPr>
            <w:tcW w:w="1695" w:type="dxa"/>
            <w:tcBorders>
              <w:tl2br w:val="nil"/>
              <w:tr2bl w:val="nil"/>
            </w:tcBorders>
            <w:vAlign w:val="center"/>
          </w:tcPr>
          <w:p>
            <w:pPr>
              <w:spacing w:line="240" w:lineRule="auto"/>
              <w:jc w:val="center"/>
              <w:rPr>
                <w:color w:val="auto"/>
                <w:spacing w:val="4"/>
                <w:szCs w:val="21"/>
                <w:u w:val="none"/>
              </w:rPr>
            </w:pPr>
            <w:r>
              <w:rPr>
                <w:rFonts w:hint="eastAsia"/>
                <w:color w:val="auto"/>
                <w:spacing w:val="4"/>
                <w:szCs w:val="21"/>
                <w:u w:val="none"/>
              </w:rPr>
              <w:t>氨</w:t>
            </w:r>
          </w:p>
        </w:tc>
        <w:tc>
          <w:tcPr>
            <w:tcW w:w="2010" w:type="dxa"/>
            <w:tcBorders>
              <w:tl2br w:val="nil"/>
              <w:tr2bl w:val="nil"/>
            </w:tcBorders>
            <w:vAlign w:val="center"/>
          </w:tcPr>
          <w:p>
            <w:pPr>
              <w:spacing w:line="240" w:lineRule="auto"/>
              <w:jc w:val="center"/>
              <w:rPr>
                <w:rFonts w:hint="eastAsia" w:eastAsia="宋体"/>
                <w:color w:val="auto"/>
                <w:szCs w:val="21"/>
                <w:u w:val="none"/>
                <w:lang w:val="en-US" w:eastAsia="zh-CN"/>
              </w:rPr>
            </w:pPr>
            <w:r>
              <w:rPr>
                <w:rFonts w:hint="eastAsia"/>
                <w:color w:val="auto"/>
                <w:szCs w:val="21"/>
                <w:u w:val="none"/>
                <w:lang w:val="en-US" w:eastAsia="zh-CN"/>
              </w:rPr>
              <w:t>3.942</w:t>
            </w:r>
            <w:r>
              <w:rPr>
                <w:rFonts w:hint="eastAsia"/>
                <w:color w:val="auto"/>
                <w:szCs w:val="21"/>
                <w:u w:val="none"/>
              </w:rPr>
              <w:t>kg/</w:t>
            </w:r>
            <w:r>
              <w:rPr>
                <w:rFonts w:hint="eastAsia"/>
                <w:color w:val="auto"/>
                <w:szCs w:val="21"/>
                <w:u w:val="none"/>
                <w:lang w:val="en-US" w:eastAsia="zh-CN"/>
              </w:rPr>
              <w:t>a</w:t>
            </w:r>
          </w:p>
        </w:tc>
        <w:tc>
          <w:tcPr>
            <w:tcW w:w="2688" w:type="dxa"/>
            <w:tcBorders>
              <w:tl2br w:val="nil"/>
              <w:tr2bl w:val="nil"/>
            </w:tcBorders>
            <w:vAlign w:val="center"/>
          </w:tcPr>
          <w:p>
            <w:pPr>
              <w:spacing w:line="240" w:lineRule="auto"/>
              <w:jc w:val="center"/>
              <w:rPr>
                <w:rFonts w:hint="eastAsia" w:eastAsia="宋体"/>
                <w:color w:val="auto"/>
                <w:szCs w:val="21"/>
                <w:u w:val="none"/>
                <w:lang w:val="en-US" w:eastAsia="zh-CN"/>
              </w:rPr>
            </w:pPr>
            <w:r>
              <w:rPr>
                <w:rFonts w:hint="eastAsia"/>
                <w:color w:val="auto"/>
                <w:szCs w:val="21"/>
                <w:u w:val="none"/>
                <w:lang w:val="en-US" w:eastAsia="zh-CN"/>
              </w:rPr>
              <w:t>2.759</w:t>
            </w:r>
            <w:r>
              <w:rPr>
                <w:rFonts w:hint="eastAsia"/>
                <w:color w:val="auto"/>
                <w:szCs w:val="21"/>
                <w:u w:val="none"/>
              </w:rPr>
              <w:t>kg/</w:t>
            </w:r>
            <w:r>
              <w:rPr>
                <w:rFonts w:hint="eastAsia"/>
                <w:color w:val="auto"/>
                <w:szCs w:val="21"/>
                <w:u w:val="none"/>
                <w:lang w:val="en-US" w:eastAsia="zh-CN"/>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093" w:type="dxa"/>
            <w:vMerge w:val="restart"/>
            <w:tcBorders>
              <w:tl2br w:val="nil"/>
              <w:tr2bl w:val="nil"/>
            </w:tcBorders>
            <w:vAlign w:val="center"/>
          </w:tcPr>
          <w:p>
            <w:pPr>
              <w:spacing w:line="240" w:lineRule="auto"/>
              <w:jc w:val="center"/>
              <w:rPr>
                <w:color w:val="auto"/>
                <w:szCs w:val="21"/>
                <w:u w:val="none"/>
              </w:rPr>
            </w:pPr>
            <w:r>
              <w:rPr>
                <w:color w:val="auto"/>
                <w:szCs w:val="21"/>
                <w:u w:val="none"/>
              </w:rPr>
              <w:t>水</w:t>
            </w:r>
          </w:p>
          <w:p>
            <w:pPr>
              <w:spacing w:line="240" w:lineRule="auto"/>
              <w:jc w:val="center"/>
              <w:rPr>
                <w:color w:val="auto"/>
                <w:szCs w:val="21"/>
                <w:u w:val="none"/>
              </w:rPr>
            </w:pPr>
            <w:r>
              <w:rPr>
                <w:color w:val="auto"/>
                <w:szCs w:val="21"/>
                <w:u w:val="none"/>
              </w:rPr>
              <w:t>污</w:t>
            </w:r>
          </w:p>
          <w:p>
            <w:pPr>
              <w:spacing w:line="240" w:lineRule="auto"/>
              <w:jc w:val="center"/>
              <w:rPr>
                <w:color w:val="auto"/>
                <w:szCs w:val="21"/>
                <w:u w:val="none"/>
              </w:rPr>
            </w:pPr>
            <w:r>
              <w:rPr>
                <w:color w:val="auto"/>
                <w:szCs w:val="21"/>
                <w:u w:val="none"/>
              </w:rPr>
              <w:t>染</w:t>
            </w:r>
          </w:p>
          <w:p>
            <w:pPr>
              <w:spacing w:line="240" w:lineRule="auto"/>
              <w:jc w:val="center"/>
              <w:rPr>
                <w:color w:val="auto"/>
                <w:szCs w:val="21"/>
                <w:u w:val="none"/>
              </w:rPr>
            </w:pPr>
            <w:r>
              <w:rPr>
                <w:color w:val="auto"/>
                <w:szCs w:val="21"/>
                <w:u w:val="none"/>
              </w:rPr>
              <w:t>物</w:t>
            </w:r>
          </w:p>
        </w:tc>
        <w:tc>
          <w:tcPr>
            <w:tcW w:w="888" w:type="dxa"/>
            <w:vMerge w:val="restart"/>
            <w:tcBorders>
              <w:tl2br w:val="nil"/>
              <w:tr2bl w:val="nil"/>
            </w:tcBorders>
            <w:vAlign w:val="center"/>
          </w:tcPr>
          <w:p>
            <w:pPr>
              <w:spacing w:line="240" w:lineRule="auto"/>
              <w:jc w:val="center"/>
              <w:rPr>
                <w:color w:val="auto"/>
                <w:spacing w:val="4"/>
                <w:szCs w:val="21"/>
                <w:u w:val="none"/>
              </w:rPr>
            </w:pPr>
            <w:r>
              <w:rPr>
                <w:rFonts w:hint="eastAsia"/>
                <w:color w:val="auto"/>
                <w:spacing w:val="4"/>
                <w:szCs w:val="21"/>
                <w:u w:val="none"/>
              </w:rPr>
              <w:t>施工期</w:t>
            </w:r>
          </w:p>
        </w:tc>
        <w:tc>
          <w:tcPr>
            <w:tcW w:w="1140" w:type="dxa"/>
            <w:tcBorders>
              <w:tl2br w:val="nil"/>
              <w:tr2bl w:val="nil"/>
            </w:tcBorders>
            <w:vAlign w:val="center"/>
          </w:tcPr>
          <w:p>
            <w:pPr>
              <w:spacing w:line="240" w:lineRule="auto"/>
              <w:jc w:val="center"/>
              <w:rPr>
                <w:color w:val="auto"/>
                <w:spacing w:val="4"/>
                <w:szCs w:val="21"/>
                <w:u w:val="none"/>
              </w:rPr>
            </w:pPr>
            <w:r>
              <w:rPr>
                <w:rFonts w:hint="eastAsia"/>
                <w:color w:val="auto"/>
                <w:spacing w:val="4"/>
                <w:szCs w:val="21"/>
                <w:u w:val="none"/>
                <w:lang w:val="zh-CN"/>
              </w:rPr>
              <w:t>施工废水</w:t>
            </w:r>
          </w:p>
        </w:tc>
        <w:tc>
          <w:tcPr>
            <w:tcW w:w="1695" w:type="dxa"/>
            <w:tcBorders>
              <w:tl2br w:val="nil"/>
              <w:tr2bl w:val="nil"/>
            </w:tcBorders>
            <w:vAlign w:val="center"/>
          </w:tcPr>
          <w:p>
            <w:pPr>
              <w:spacing w:line="240" w:lineRule="auto"/>
              <w:jc w:val="center"/>
              <w:rPr>
                <w:color w:val="auto"/>
                <w:spacing w:val="4"/>
                <w:szCs w:val="21"/>
                <w:u w:val="none"/>
              </w:rPr>
            </w:pPr>
            <w:r>
              <w:rPr>
                <w:rFonts w:hint="eastAsia"/>
                <w:color w:val="auto"/>
                <w:spacing w:val="4"/>
                <w:szCs w:val="21"/>
                <w:u w:val="none"/>
                <w:lang w:val="zh-CN"/>
              </w:rPr>
              <w:t>SS、石油类</w:t>
            </w:r>
          </w:p>
        </w:tc>
        <w:tc>
          <w:tcPr>
            <w:tcW w:w="4698" w:type="dxa"/>
            <w:gridSpan w:val="2"/>
            <w:tcBorders>
              <w:tl2br w:val="nil"/>
              <w:tr2bl w:val="nil"/>
            </w:tcBorders>
            <w:vAlign w:val="center"/>
          </w:tcPr>
          <w:p>
            <w:pPr>
              <w:spacing w:line="240" w:lineRule="auto"/>
              <w:jc w:val="center"/>
              <w:rPr>
                <w:color w:val="auto"/>
                <w:spacing w:val="4"/>
                <w:szCs w:val="21"/>
                <w:u w:val="none"/>
              </w:rPr>
            </w:pPr>
            <w:r>
              <w:rPr>
                <w:rFonts w:hint="eastAsia"/>
                <w:color w:val="auto"/>
                <w:spacing w:val="4"/>
                <w:szCs w:val="21"/>
                <w:u w:val="none"/>
                <w:lang w:val="zh-CN"/>
              </w:rPr>
              <w:t>排放周期短且量少，经沉淀池沉淀处理后</w:t>
            </w:r>
            <w:r>
              <w:rPr>
                <w:rFonts w:hint="eastAsia"/>
                <w:color w:val="auto"/>
                <w:spacing w:val="4"/>
                <w:szCs w:val="21"/>
                <w:u w:val="none"/>
              </w:rPr>
              <w:t>回用。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93" w:type="dxa"/>
            <w:vMerge w:val="continue"/>
            <w:tcBorders>
              <w:tl2br w:val="nil"/>
              <w:tr2bl w:val="nil"/>
            </w:tcBorders>
            <w:vAlign w:val="center"/>
          </w:tcPr>
          <w:p>
            <w:pPr>
              <w:spacing w:line="240" w:lineRule="auto"/>
              <w:jc w:val="center"/>
              <w:rPr>
                <w:color w:val="auto"/>
                <w:szCs w:val="21"/>
                <w:u w:val="none"/>
              </w:rPr>
            </w:pPr>
          </w:p>
        </w:tc>
        <w:tc>
          <w:tcPr>
            <w:tcW w:w="888" w:type="dxa"/>
            <w:vMerge w:val="continue"/>
            <w:tcBorders>
              <w:tl2br w:val="nil"/>
              <w:tr2bl w:val="nil"/>
            </w:tcBorders>
            <w:vAlign w:val="center"/>
          </w:tcPr>
          <w:p>
            <w:pPr>
              <w:spacing w:line="240" w:lineRule="auto"/>
              <w:jc w:val="center"/>
              <w:rPr>
                <w:color w:val="auto"/>
                <w:spacing w:val="4"/>
                <w:szCs w:val="21"/>
                <w:u w:val="none"/>
              </w:rPr>
            </w:pPr>
          </w:p>
        </w:tc>
        <w:tc>
          <w:tcPr>
            <w:tcW w:w="1140" w:type="dxa"/>
            <w:vMerge w:val="restart"/>
            <w:tcBorders>
              <w:tl2br w:val="nil"/>
              <w:tr2bl w:val="nil"/>
            </w:tcBorders>
            <w:vAlign w:val="center"/>
          </w:tcPr>
          <w:p>
            <w:pPr>
              <w:spacing w:line="240" w:lineRule="auto"/>
              <w:jc w:val="center"/>
              <w:rPr>
                <w:color w:val="auto"/>
                <w:spacing w:val="4"/>
                <w:szCs w:val="21"/>
                <w:u w:val="none"/>
              </w:rPr>
            </w:pPr>
            <w:r>
              <w:rPr>
                <w:rFonts w:hint="eastAsia"/>
                <w:color w:val="auto"/>
                <w:spacing w:val="4"/>
                <w:szCs w:val="21"/>
                <w:u w:val="none"/>
                <w:lang w:val="zh-CN"/>
              </w:rPr>
              <w:t>生活污水</w:t>
            </w:r>
          </w:p>
        </w:tc>
        <w:tc>
          <w:tcPr>
            <w:tcW w:w="1695" w:type="dxa"/>
            <w:tcBorders>
              <w:tl2br w:val="nil"/>
              <w:tr2bl w:val="nil"/>
            </w:tcBorders>
            <w:vAlign w:val="center"/>
          </w:tcPr>
          <w:p>
            <w:pPr>
              <w:spacing w:line="240" w:lineRule="auto"/>
              <w:jc w:val="center"/>
              <w:rPr>
                <w:color w:val="auto"/>
                <w:spacing w:val="4"/>
                <w:szCs w:val="21"/>
                <w:u w:val="none"/>
              </w:rPr>
            </w:pPr>
            <w:r>
              <w:rPr>
                <w:rFonts w:hint="eastAsia"/>
                <w:color w:val="auto"/>
                <w:spacing w:val="4"/>
                <w:szCs w:val="21"/>
                <w:u w:val="none"/>
              </w:rPr>
              <w:t>废水量</w:t>
            </w:r>
          </w:p>
        </w:tc>
        <w:tc>
          <w:tcPr>
            <w:tcW w:w="4698" w:type="dxa"/>
            <w:gridSpan w:val="2"/>
            <w:tcBorders>
              <w:tl2br w:val="nil"/>
              <w:tr2bl w:val="nil"/>
            </w:tcBorders>
            <w:vAlign w:val="center"/>
          </w:tcPr>
          <w:p>
            <w:pPr>
              <w:spacing w:line="240" w:lineRule="auto"/>
              <w:jc w:val="center"/>
              <w:rPr>
                <w:color w:val="auto"/>
                <w:spacing w:val="4"/>
                <w:szCs w:val="21"/>
                <w:u w:val="none"/>
              </w:rPr>
            </w:pPr>
            <w:r>
              <w:rPr>
                <w:rFonts w:hint="eastAsia"/>
                <w:color w:val="auto"/>
                <w:spacing w:val="4"/>
                <w:szCs w:val="21"/>
                <w:u w:val="none"/>
              </w:rPr>
              <w:t>64.8</w:t>
            </w:r>
            <w:r>
              <w:rPr>
                <w:rFonts w:hint="eastAsia"/>
                <w:color w:val="auto"/>
                <w:szCs w:val="21"/>
                <w:u w:val="none"/>
              </w:rPr>
              <w:t>m</w:t>
            </w:r>
            <w:r>
              <w:rPr>
                <w:rFonts w:hint="eastAsia"/>
                <w:color w:val="auto"/>
                <w:szCs w:val="21"/>
                <w:u w:val="none"/>
                <w:vertAlign w:val="superscript"/>
              </w:rPr>
              <w:t>3</w:t>
            </w:r>
            <w:r>
              <w:rPr>
                <w:rFonts w:hint="eastAsia"/>
                <w:color w:val="auto"/>
                <w:szCs w:val="21"/>
                <w:u w:val="none"/>
              </w:rPr>
              <w:t>/施工期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093" w:type="dxa"/>
            <w:vMerge w:val="continue"/>
            <w:tcBorders>
              <w:tl2br w:val="nil"/>
              <w:tr2bl w:val="nil"/>
            </w:tcBorders>
            <w:vAlign w:val="center"/>
          </w:tcPr>
          <w:p>
            <w:pPr>
              <w:spacing w:line="240" w:lineRule="auto"/>
              <w:jc w:val="center"/>
              <w:rPr>
                <w:color w:val="auto"/>
                <w:szCs w:val="21"/>
                <w:u w:val="none"/>
              </w:rPr>
            </w:pPr>
          </w:p>
        </w:tc>
        <w:tc>
          <w:tcPr>
            <w:tcW w:w="888" w:type="dxa"/>
            <w:vMerge w:val="continue"/>
            <w:tcBorders>
              <w:tl2br w:val="nil"/>
              <w:tr2bl w:val="nil"/>
            </w:tcBorders>
            <w:vAlign w:val="center"/>
          </w:tcPr>
          <w:p>
            <w:pPr>
              <w:spacing w:line="240" w:lineRule="auto"/>
              <w:jc w:val="center"/>
              <w:rPr>
                <w:color w:val="auto"/>
                <w:spacing w:val="4"/>
                <w:szCs w:val="21"/>
                <w:u w:val="none"/>
              </w:rPr>
            </w:pPr>
          </w:p>
        </w:tc>
        <w:tc>
          <w:tcPr>
            <w:tcW w:w="1140" w:type="dxa"/>
            <w:vMerge w:val="continue"/>
            <w:tcBorders>
              <w:tl2br w:val="nil"/>
              <w:tr2bl w:val="nil"/>
            </w:tcBorders>
            <w:vAlign w:val="center"/>
          </w:tcPr>
          <w:p>
            <w:pPr>
              <w:spacing w:line="240" w:lineRule="auto"/>
              <w:jc w:val="center"/>
              <w:rPr>
                <w:color w:val="auto"/>
                <w:spacing w:val="4"/>
                <w:szCs w:val="21"/>
                <w:u w:val="none"/>
                <w:lang w:val="zh-CN"/>
              </w:rPr>
            </w:pPr>
          </w:p>
        </w:tc>
        <w:tc>
          <w:tcPr>
            <w:tcW w:w="1695" w:type="dxa"/>
            <w:tcBorders>
              <w:tl2br w:val="nil"/>
              <w:tr2bl w:val="nil"/>
            </w:tcBorders>
            <w:vAlign w:val="center"/>
          </w:tcPr>
          <w:p>
            <w:pPr>
              <w:spacing w:line="240" w:lineRule="auto"/>
              <w:jc w:val="center"/>
              <w:rPr>
                <w:color w:val="auto"/>
                <w:spacing w:val="4"/>
                <w:szCs w:val="21"/>
                <w:u w:val="none"/>
              </w:rPr>
            </w:pPr>
            <w:r>
              <w:rPr>
                <w:rFonts w:hint="eastAsia"/>
                <w:color w:val="auto"/>
                <w:spacing w:val="4"/>
                <w:szCs w:val="21"/>
                <w:u w:val="none"/>
              </w:rPr>
              <w:t>COD</w:t>
            </w:r>
            <w:r>
              <w:rPr>
                <w:rFonts w:hint="eastAsia"/>
                <w:color w:val="auto"/>
                <w:spacing w:val="4"/>
                <w:szCs w:val="21"/>
                <w:u w:val="none"/>
                <w:lang w:val="zh-CN"/>
              </w:rPr>
              <w:t>、</w:t>
            </w:r>
            <w:r>
              <w:rPr>
                <w:rFonts w:hint="eastAsia"/>
                <w:color w:val="auto"/>
                <w:spacing w:val="4"/>
                <w:szCs w:val="21"/>
                <w:u w:val="none"/>
              </w:rPr>
              <w:t>NH</w:t>
            </w:r>
            <w:r>
              <w:rPr>
                <w:rFonts w:hint="eastAsia"/>
                <w:color w:val="auto"/>
                <w:spacing w:val="4"/>
                <w:szCs w:val="21"/>
                <w:u w:val="none"/>
                <w:vertAlign w:val="subscript"/>
              </w:rPr>
              <w:t>3</w:t>
            </w:r>
            <w:r>
              <w:rPr>
                <w:rFonts w:hint="eastAsia"/>
                <w:color w:val="auto"/>
                <w:spacing w:val="4"/>
                <w:szCs w:val="21"/>
                <w:u w:val="none"/>
              </w:rPr>
              <w:t>-N</w:t>
            </w:r>
            <w:r>
              <w:rPr>
                <w:rFonts w:hint="eastAsia"/>
                <w:color w:val="auto"/>
                <w:spacing w:val="4"/>
                <w:szCs w:val="21"/>
                <w:u w:val="none"/>
                <w:lang w:val="zh-CN"/>
              </w:rPr>
              <w:t>、</w:t>
            </w:r>
            <w:r>
              <w:rPr>
                <w:rFonts w:hint="eastAsia"/>
                <w:color w:val="auto"/>
                <w:spacing w:val="4"/>
                <w:szCs w:val="21"/>
                <w:u w:val="none"/>
              </w:rPr>
              <w:t>BOD</w:t>
            </w:r>
            <w:r>
              <w:rPr>
                <w:rFonts w:hint="eastAsia"/>
                <w:color w:val="auto"/>
                <w:spacing w:val="4"/>
                <w:szCs w:val="21"/>
                <w:u w:val="none"/>
                <w:vertAlign w:val="subscript"/>
              </w:rPr>
              <w:t>5</w:t>
            </w:r>
            <w:r>
              <w:rPr>
                <w:rFonts w:hint="eastAsia"/>
                <w:color w:val="auto"/>
                <w:spacing w:val="4"/>
                <w:szCs w:val="21"/>
                <w:u w:val="none"/>
                <w:lang w:val="zh-CN"/>
              </w:rPr>
              <w:t>、</w:t>
            </w:r>
            <w:r>
              <w:rPr>
                <w:rFonts w:hint="eastAsia"/>
                <w:color w:val="auto"/>
                <w:spacing w:val="4"/>
                <w:szCs w:val="21"/>
                <w:u w:val="none"/>
              </w:rPr>
              <w:t>SS</w:t>
            </w:r>
          </w:p>
        </w:tc>
        <w:tc>
          <w:tcPr>
            <w:tcW w:w="4698" w:type="dxa"/>
            <w:gridSpan w:val="2"/>
            <w:tcBorders>
              <w:tl2br w:val="nil"/>
              <w:tr2bl w:val="nil"/>
            </w:tcBorders>
            <w:vAlign w:val="center"/>
          </w:tcPr>
          <w:p>
            <w:pPr>
              <w:spacing w:line="240" w:lineRule="auto"/>
              <w:jc w:val="center"/>
              <w:rPr>
                <w:color w:val="auto"/>
                <w:spacing w:val="4"/>
                <w:szCs w:val="21"/>
                <w:u w:val="none"/>
                <w:lang w:val="zh-CN"/>
              </w:rPr>
            </w:pPr>
            <w:r>
              <w:rPr>
                <w:rFonts w:hint="eastAsia"/>
                <w:color w:val="auto"/>
                <w:spacing w:val="4"/>
                <w:szCs w:val="21"/>
                <w:u w:val="none"/>
                <w:lang w:val="zh-CN"/>
              </w:rPr>
              <w:t>旱厕进行收集处理后用于农田施肥，不外排。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1093" w:type="dxa"/>
            <w:vMerge w:val="continue"/>
            <w:tcBorders>
              <w:tl2br w:val="nil"/>
              <w:tr2bl w:val="nil"/>
            </w:tcBorders>
            <w:vAlign w:val="center"/>
          </w:tcPr>
          <w:p>
            <w:pPr>
              <w:spacing w:line="240" w:lineRule="auto"/>
              <w:jc w:val="center"/>
              <w:rPr>
                <w:color w:val="auto"/>
                <w:szCs w:val="21"/>
                <w:highlight w:val="yellow"/>
                <w:u w:val="none"/>
              </w:rPr>
            </w:pPr>
          </w:p>
        </w:tc>
        <w:tc>
          <w:tcPr>
            <w:tcW w:w="888" w:type="dxa"/>
            <w:vMerge w:val="restart"/>
            <w:tcBorders>
              <w:tl2br w:val="nil"/>
              <w:tr2bl w:val="nil"/>
            </w:tcBorders>
            <w:vAlign w:val="center"/>
          </w:tcPr>
          <w:p>
            <w:pPr>
              <w:spacing w:line="240" w:lineRule="auto"/>
              <w:jc w:val="center"/>
              <w:rPr>
                <w:color w:val="auto"/>
                <w:spacing w:val="4"/>
                <w:szCs w:val="21"/>
                <w:u w:val="none"/>
              </w:rPr>
            </w:pPr>
            <w:r>
              <w:rPr>
                <w:rFonts w:hint="eastAsia"/>
                <w:color w:val="auto"/>
                <w:spacing w:val="4"/>
                <w:szCs w:val="21"/>
                <w:u w:val="none"/>
              </w:rPr>
              <w:t>运营期</w:t>
            </w:r>
          </w:p>
        </w:tc>
        <w:tc>
          <w:tcPr>
            <w:tcW w:w="1140"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pacing w:val="4"/>
                <w:szCs w:val="21"/>
                <w:u w:val="none"/>
              </w:rPr>
            </w:pPr>
            <w:r>
              <w:rPr>
                <w:rFonts w:hint="default" w:ascii="Times New Roman" w:hAnsi="Times New Roman" w:eastAsia="宋体" w:cs="Times New Roman"/>
                <w:color w:val="auto"/>
                <w:spacing w:val="4"/>
                <w:szCs w:val="21"/>
                <w:u w:val="none"/>
              </w:rPr>
              <w:t>污水处理厂进水</w:t>
            </w:r>
          </w:p>
        </w:tc>
        <w:tc>
          <w:tcPr>
            <w:tcW w:w="1695" w:type="dxa"/>
            <w:tcBorders>
              <w:tl2br w:val="nil"/>
              <w:tr2bl w:val="nil"/>
            </w:tcBorders>
            <w:vAlign w:val="center"/>
          </w:tcPr>
          <w:p>
            <w:pPr>
              <w:pStyle w:val="6"/>
              <w:spacing w:line="240" w:lineRule="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rPr>
              <w:t>废水量</w:t>
            </w:r>
          </w:p>
        </w:tc>
        <w:tc>
          <w:tcPr>
            <w:tcW w:w="4698" w:type="dxa"/>
            <w:gridSpan w:val="2"/>
            <w:tcBorders>
              <w:tl2br w:val="nil"/>
              <w:tr2bl w:val="nil"/>
            </w:tcBorders>
            <w:vAlign w:val="center"/>
          </w:tcPr>
          <w:p>
            <w:pPr>
              <w:pStyle w:val="6"/>
              <w:spacing w:line="240" w:lineRule="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1</w:t>
            </w:r>
            <w:r>
              <w:rPr>
                <w:rFonts w:hint="default" w:ascii="Times New Roman" w:hAnsi="Times New Roman" w:eastAsia="宋体" w:cs="Times New Roman"/>
                <w:color w:val="auto"/>
                <w:sz w:val="21"/>
                <w:u w:val="none"/>
              </w:rPr>
              <w:t>000m</w:t>
            </w:r>
            <w:r>
              <w:rPr>
                <w:rFonts w:hint="default" w:ascii="Times New Roman" w:hAnsi="Times New Roman" w:eastAsia="宋体" w:cs="Times New Roman"/>
                <w:color w:val="auto"/>
                <w:sz w:val="21"/>
                <w:u w:val="none"/>
                <w:vertAlign w:val="superscript"/>
              </w:rPr>
              <w:t>3</w:t>
            </w:r>
            <w:r>
              <w:rPr>
                <w:rFonts w:hint="default" w:ascii="Times New Roman" w:hAnsi="Times New Roman" w:eastAsia="宋体" w:cs="Times New Roman"/>
                <w:color w:val="auto"/>
                <w:sz w:val="21"/>
                <w:u w:val="none"/>
              </w:rPr>
              <w:t>/d（</w:t>
            </w:r>
            <w:r>
              <w:rPr>
                <w:rFonts w:hint="default" w:ascii="Times New Roman" w:hAnsi="Times New Roman" w:eastAsia="宋体" w:cs="Times New Roman"/>
                <w:color w:val="auto"/>
                <w:sz w:val="21"/>
                <w:u w:val="none"/>
                <w:lang w:val="en-US" w:eastAsia="zh-CN"/>
              </w:rPr>
              <w:t>365</w:t>
            </w:r>
            <w:r>
              <w:rPr>
                <w:rFonts w:hint="default" w:ascii="Times New Roman" w:hAnsi="Times New Roman" w:eastAsia="宋体" w:cs="Times New Roman"/>
                <w:color w:val="auto"/>
                <w:sz w:val="21"/>
                <w:u w:val="none"/>
              </w:rPr>
              <w:t>000m</w:t>
            </w:r>
            <w:r>
              <w:rPr>
                <w:rFonts w:hint="default" w:ascii="Times New Roman" w:hAnsi="Times New Roman" w:eastAsia="宋体" w:cs="Times New Roman"/>
                <w:color w:val="auto"/>
                <w:sz w:val="21"/>
                <w:u w:val="none"/>
                <w:vertAlign w:val="superscript"/>
              </w:rPr>
              <w:t>3</w:t>
            </w:r>
            <w:r>
              <w:rPr>
                <w:rFonts w:hint="default" w:ascii="Times New Roman" w:hAnsi="Times New Roman" w:eastAsia="宋体" w:cs="Times New Roman"/>
                <w:color w:val="auto"/>
                <w:sz w:val="21"/>
                <w:u w:val="none"/>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1093" w:type="dxa"/>
            <w:vMerge w:val="continue"/>
            <w:tcBorders>
              <w:tl2br w:val="nil"/>
              <w:tr2bl w:val="nil"/>
            </w:tcBorders>
            <w:vAlign w:val="center"/>
          </w:tcPr>
          <w:p>
            <w:pPr>
              <w:spacing w:line="240" w:lineRule="auto"/>
              <w:jc w:val="center"/>
              <w:rPr>
                <w:color w:val="auto"/>
                <w:szCs w:val="21"/>
                <w:highlight w:val="yellow"/>
                <w:u w:val="none"/>
              </w:rPr>
            </w:pPr>
          </w:p>
        </w:tc>
        <w:tc>
          <w:tcPr>
            <w:tcW w:w="888" w:type="dxa"/>
            <w:vMerge w:val="continue"/>
            <w:tcBorders>
              <w:tl2br w:val="nil"/>
              <w:tr2bl w:val="nil"/>
            </w:tcBorders>
            <w:vAlign w:val="center"/>
          </w:tcPr>
          <w:p>
            <w:pPr>
              <w:spacing w:line="240" w:lineRule="auto"/>
              <w:jc w:val="center"/>
              <w:rPr>
                <w:color w:val="auto"/>
                <w:spacing w:val="4"/>
                <w:szCs w:val="21"/>
                <w:u w:val="none"/>
              </w:rPr>
            </w:pPr>
          </w:p>
        </w:tc>
        <w:tc>
          <w:tcPr>
            <w:tcW w:w="1140"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pacing w:val="4"/>
                <w:szCs w:val="21"/>
                <w:u w:val="none"/>
              </w:rPr>
            </w:pPr>
          </w:p>
        </w:tc>
        <w:tc>
          <w:tcPr>
            <w:tcW w:w="1695" w:type="dxa"/>
            <w:tcBorders>
              <w:tl2br w:val="nil"/>
              <w:tr2bl w:val="nil"/>
            </w:tcBorders>
            <w:vAlign w:val="center"/>
          </w:tcPr>
          <w:p>
            <w:pPr>
              <w:pStyle w:val="6"/>
              <w:spacing w:line="240" w:lineRule="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rPr>
              <w:t>COD</w:t>
            </w:r>
          </w:p>
        </w:tc>
        <w:tc>
          <w:tcPr>
            <w:tcW w:w="2010" w:type="dxa"/>
            <w:tcBorders>
              <w:tl2br w:val="nil"/>
              <w:tr2bl w:val="nil"/>
            </w:tcBorders>
            <w:vAlign w:val="center"/>
          </w:tcPr>
          <w:p>
            <w:pPr>
              <w:pStyle w:val="6"/>
              <w:spacing w:line="240" w:lineRule="auto"/>
              <w:rPr>
                <w:rFonts w:hint="default" w:ascii="Times New Roman" w:hAnsi="Times New Roman" w:eastAsia="宋体" w:cs="Times New Roman"/>
                <w:color w:val="auto"/>
                <w:sz w:val="21"/>
                <w:u w:val="none"/>
              </w:rPr>
            </w:pPr>
            <w:r>
              <w:rPr>
                <w:rFonts w:hint="eastAsia" w:eastAsia="宋体" w:cs="Times New Roman"/>
                <w:color w:val="auto"/>
                <w:sz w:val="21"/>
                <w:u w:val="none"/>
                <w:lang w:val="en-US" w:eastAsia="zh-CN"/>
              </w:rPr>
              <w:t>240</w:t>
            </w:r>
            <w:r>
              <w:rPr>
                <w:rFonts w:hint="default" w:ascii="Times New Roman" w:hAnsi="Times New Roman" w:eastAsia="宋体" w:cs="Times New Roman"/>
                <w:color w:val="auto"/>
                <w:sz w:val="21"/>
                <w:u w:val="none"/>
              </w:rPr>
              <w:t>mg/L；</w:t>
            </w:r>
            <w:r>
              <w:rPr>
                <w:rFonts w:hint="eastAsia" w:eastAsia="宋体" w:cs="Times New Roman"/>
                <w:color w:val="auto"/>
                <w:sz w:val="21"/>
                <w:u w:val="none"/>
                <w:lang w:val="en-US" w:eastAsia="zh-CN"/>
              </w:rPr>
              <w:t>87.60</w:t>
            </w:r>
            <w:r>
              <w:rPr>
                <w:rFonts w:hint="default" w:ascii="Times New Roman" w:hAnsi="Times New Roman" w:eastAsia="宋体" w:cs="Times New Roman"/>
                <w:color w:val="auto"/>
                <w:sz w:val="21"/>
                <w:u w:val="none"/>
              </w:rPr>
              <w:t>t/a</w:t>
            </w:r>
          </w:p>
        </w:tc>
        <w:tc>
          <w:tcPr>
            <w:tcW w:w="2688" w:type="dxa"/>
            <w:tcBorders>
              <w:tl2br w:val="nil"/>
              <w:tr2bl w:val="nil"/>
            </w:tcBorders>
            <w:vAlign w:val="center"/>
          </w:tcPr>
          <w:p>
            <w:pPr>
              <w:pStyle w:val="6"/>
              <w:spacing w:line="240" w:lineRule="auto"/>
              <w:rPr>
                <w:rFonts w:hint="default" w:ascii="Times New Roman" w:hAnsi="Times New Roman" w:eastAsia="宋体" w:cs="Times New Roman"/>
                <w:color w:val="auto"/>
                <w:sz w:val="21"/>
                <w:u w:val="none"/>
              </w:rPr>
            </w:pPr>
            <w:r>
              <w:rPr>
                <w:rFonts w:hint="eastAsia" w:eastAsia="宋体" w:cs="Times New Roman"/>
                <w:color w:val="auto"/>
                <w:sz w:val="21"/>
                <w:u w:val="none"/>
                <w:lang w:val="en-US" w:eastAsia="zh-CN"/>
              </w:rPr>
              <w:t>60</w:t>
            </w:r>
            <w:r>
              <w:rPr>
                <w:rFonts w:hint="default" w:ascii="Times New Roman" w:hAnsi="Times New Roman" w:eastAsia="宋体" w:cs="Times New Roman"/>
                <w:color w:val="auto"/>
                <w:sz w:val="21"/>
                <w:u w:val="none"/>
              </w:rPr>
              <w:t>mg/L；</w:t>
            </w:r>
            <w:r>
              <w:rPr>
                <w:rFonts w:hint="eastAsia" w:eastAsia="宋体" w:cs="Times New Roman"/>
                <w:color w:val="auto"/>
                <w:sz w:val="21"/>
                <w:u w:val="none"/>
                <w:lang w:val="en-US" w:eastAsia="zh-CN"/>
              </w:rPr>
              <w:t>21.90</w:t>
            </w:r>
            <w:r>
              <w:rPr>
                <w:rFonts w:hint="default" w:ascii="Times New Roman" w:hAnsi="Times New Roman" w:eastAsia="宋体" w:cs="Times New Roman"/>
                <w:color w:val="auto"/>
                <w:sz w:val="21"/>
                <w:u w:val="none"/>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1093" w:type="dxa"/>
            <w:vMerge w:val="continue"/>
            <w:tcBorders>
              <w:tl2br w:val="nil"/>
              <w:tr2bl w:val="nil"/>
            </w:tcBorders>
            <w:vAlign w:val="center"/>
          </w:tcPr>
          <w:p>
            <w:pPr>
              <w:spacing w:line="240" w:lineRule="auto"/>
              <w:jc w:val="center"/>
              <w:rPr>
                <w:color w:val="auto"/>
                <w:szCs w:val="21"/>
                <w:highlight w:val="yellow"/>
                <w:u w:val="none"/>
              </w:rPr>
            </w:pPr>
          </w:p>
        </w:tc>
        <w:tc>
          <w:tcPr>
            <w:tcW w:w="888" w:type="dxa"/>
            <w:vMerge w:val="continue"/>
            <w:tcBorders>
              <w:tl2br w:val="nil"/>
              <w:tr2bl w:val="nil"/>
            </w:tcBorders>
            <w:vAlign w:val="center"/>
          </w:tcPr>
          <w:p>
            <w:pPr>
              <w:pStyle w:val="6"/>
              <w:spacing w:line="240" w:lineRule="auto"/>
              <w:rPr>
                <w:color w:val="auto"/>
                <w:sz w:val="21"/>
                <w:u w:val="none"/>
              </w:rPr>
            </w:pPr>
          </w:p>
        </w:tc>
        <w:tc>
          <w:tcPr>
            <w:tcW w:w="1140"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pacing w:val="4"/>
                <w:szCs w:val="21"/>
                <w:u w:val="none"/>
              </w:rPr>
            </w:pPr>
          </w:p>
        </w:tc>
        <w:tc>
          <w:tcPr>
            <w:tcW w:w="1695" w:type="dxa"/>
            <w:tcBorders>
              <w:tl2br w:val="nil"/>
              <w:tr2bl w:val="nil"/>
            </w:tcBorders>
            <w:vAlign w:val="center"/>
          </w:tcPr>
          <w:p>
            <w:pPr>
              <w:pStyle w:val="6"/>
              <w:spacing w:line="240" w:lineRule="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rPr>
              <w:t>SS</w:t>
            </w:r>
          </w:p>
        </w:tc>
        <w:tc>
          <w:tcPr>
            <w:tcW w:w="2010" w:type="dxa"/>
            <w:tcBorders>
              <w:tl2br w:val="nil"/>
              <w:tr2bl w:val="nil"/>
            </w:tcBorders>
            <w:vAlign w:val="center"/>
          </w:tcPr>
          <w:p>
            <w:pPr>
              <w:pStyle w:val="6"/>
              <w:spacing w:line="240" w:lineRule="auto"/>
              <w:rPr>
                <w:rFonts w:hint="default" w:ascii="Times New Roman" w:hAnsi="Times New Roman" w:eastAsia="宋体" w:cs="Times New Roman"/>
                <w:color w:val="auto"/>
                <w:sz w:val="21"/>
                <w:u w:val="none"/>
              </w:rPr>
            </w:pPr>
            <w:r>
              <w:rPr>
                <w:rFonts w:hint="eastAsia" w:eastAsia="宋体" w:cs="Times New Roman"/>
                <w:color w:val="auto"/>
                <w:sz w:val="21"/>
                <w:u w:val="none"/>
                <w:lang w:val="en-US" w:eastAsia="zh-CN"/>
              </w:rPr>
              <w:t>200</w:t>
            </w:r>
            <w:r>
              <w:rPr>
                <w:rFonts w:hint="default" w:ascii="Times New Roman" w:hAnsi="Times New Roman" w:eastAsia="宋体" w:cs="Times New Roman"/>
                <w:color w:val="auto"/>
                <w:sz w:val="21"/>
                <w:u w:val="none"/>
              </w:rPr>
              <w:t>mg/L；</w:t>
            </w:r>
            <w:r>
              <w:rPr>
                <w:rFonts w:hint="eastAsia" w:eastAsia="宋体" w:cs="Times New Roman"/>
                <w:color w:val="auto"/>
                <w:sz w:val="21"/>
                <w:u w:val="none"/>
                <w:lang w:val="en-US" w:eastAsia="zh-CN"/>
              </w:rPr>
              <w:t>73.0</w:t>
            </w:r>
            <w:r>
              <w:rPr>
                <w:rFonts w:hint="default" w:ascii="Times New Roman" w:hAnsi="Times New Roman" w:eastAsia="宋体" w:cs="Times New Roman"/>
                <w:color w:val="auto"/>
                <w:sz w:val="21"/>
                <w:u w:val="none"/>
              </w:rPr>
              <w:t>t/a</w:t>
            </w:r>
          </w:p>
        </w:tc>
        <w:tc>
          <w:tcPr>
            <w:tcW w:w="2688" w:type="dxa"/>
            <w:tcBorders>
              <w:tl2br w:val="nil"/>
              <w:tr2bl w:val="nil"/>
            </w:tcBorders>
            <w:vAlign w:val="center"/>
          </w:tcPr>
          <w:p>
            <w:pPr>
              <w:pStyle w:val="6"/>
              <w:spacing w:line="240" w:lineRule="auto"/>
              <w:rPr>
                <w:rFonts w:hint="default" w:ascii="Times New Roman" w:hAnsi="Times New Roman" w:eastAsia="宋体" w:cs="Times New Roman"/>
                <w:color w:val="auto"/>
                <w:sz w:val="21"/>
                <w:u w:val="none"/>
              </w:rPr>
            </w:pPr>
            <w:r>
              <w:rPr>
                <w:rFonts w:hint="eastAsia" w:eastAsia="宋体" w:cs="Times New Roman"/>
                <w:color w:val="auto"/>
                <w:sz w:val="21"/>
                <w:u w:val="none"/>
                <w:lang w:val="en-US" w:eastAsia="zh-CN"/>
              </w:rPr>
              <w:t>20</w:t>
            </w:r>
            <w:r>
              <w:rPr>
                <w:rFonts w:hint="default" w:ascii="Times New Roman" w:hAnsi="Times New Roman" w:eastAsia="宋体" w:cs="Times New Roman"/>
                <w:color w:val="auto"/>
                <w:sz w:val="21"/>
                <w:u w:val="none"/>
              </w:rPr>
              <w:t>mg/L；</w:t>
            </w:r>
            <w:r>
              <w:rPr>
                <w:rFonts w:hint="eastAsia" w:eastAsia="宋体" w:cs="Times New Roman"/>
                <w:color w:val="auto"/>
                <w:sz w:val="21"/>
                <w:u w:val="none"/>
                <w:lang w:val="en-US" w:eastAsia="zh-CN"/>
              </w:rPr>
              <w:t>7.30t</w:t>
            </w:r>
            <w:r>
              <w:rPr>
                <w:rFonts w:hint="default" w:ascii="Times New Roman" w:hAnsi="Times New Roman" w:eastAsia="宋体" w:cs="Times New Roman"/>
                <w:color w:val="auto"/>
                <w:sz w:val="21"/>
                <w:u w:val="none"/>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1093" w:type="dxa"/>
            <w:vMerge w:val="continue"/>
            <w:tcBorders>
              <w:tl2br w:val="nil"/>
              <w:tr2bl w:val="nil"/>
            </w:tcBorders>
            <w:vAlign w:val="center"/>
          </w:tcPr>
          <w:p>
            <w:pPr>
              <w:spacing w:line="240" w:lineRule="auto"/>
              <w:jc w:val="center"/>
              <w:rPr>
                <w:color w:val="auto"/>
                <w:szCs w:val="21"/>
                <w:highlight w:val="yellow"/>
                <w:u w:val="none"/>
              </w:rPr>
            </w:pPr>
          </w:p>
        </w:tc>
        <w:tc>
          <w:tcPr>
            <w:tcW w:w="888" w:type="dxa"/>
            <w:vMerge w:val="continue"/>
            <w:tcBorders>
              <w:tl2br w:val="nil"/>
              <w:tr2bl w:val="nil"/>
            </w:tcBorders>
            <w:vAlign w:val="center"/>
          </w:tcPr>
          <w:p>
            <w:pPr>
              <w:pStyle w:val="6"/>
              <w:spacing w:line="240" w:lineRule="auto"/>
              <w:rPr>
                <w:color w:val="auto"/>
                <w:sz w:val="21"/>
                <w:u w:val="none"/>
              </w:rPr>
            </w:pPr>
          </w:p>
        </w:tc>
        <w:tc>
          <w:tcPr>
            <w:tcW w:w="1140"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pacing w:val="4"/>
                <w:szCs w:val="21"/>
                <w:u w:val="none"/>
              </w:rPr>
            </w:pPr>
          </w:p>
        </w:tc>
        <w:tc>
          <w:tcPr>
            <w:tcW w:w="1695" w:type="dxa"/>
            <w:tcBorders>
              <w:tl2br w:val="nil"/>
              <w:tr2bl w:val="nil"/>
            </w:tcBorders>
            <w:vAlign w:val="center"/>
          </w:tcPr>
          <w:p>
            <w:pPr>
              <w:pStyle w:val="6"/>
              <w:spacing w:line="240" w:lineRule="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rPr>
              <w:t>氨氮</w:t>
            </w:r>
          </w:p>
        </w:tc>
        <w:tc>
          <w:tcPr>
            <w:tcW w:w="2010" w:type="dxa"/>
            <w:tcBorders>
              <w:tl2br w:val="nil"/>
              <w:tr2bl w:val="nil"/>
            </w:tcBorders>
            <w:vAlign w:val="center"/>
          </w:tcPr>
          <w:p>
            <w:pPr>
              <w:pStyle w:val="6"/>
              <w:spacing w:line="240" w:lineRule="auto"/>
              <w:rPr>
                <w:rFonts w:hint="default" w:ascii="Times New Roman" w:hAnsi="Times New Roman" w:eastAsia="宋体" w:cs="Times New Roman"/>
                <w:color w:val="auto"/>
                <w:sz w:val="21"/>
                <w:u w:val="none"/>
              </w:rPr>
            </w:pPr>
            <w:r>
              <w:rPr>
                <w:rFonts w:hint="eastAsia" w:eastAsia="宋体" w:cs="Times New Roman"/>
                <w:color w:val="auto"/>
                <w:sz w:val="21"/>
                <w:u w:val="none"/>
                <w:lang w:val="en-US" w:eastAsia="zh-CN"/>
              </w:rPr>
              <w:t>30</w:t>
            </w:r>
            <w:r>
              <w:rPr>
                <w:rFonts w:hint="default" w:ascii="Times New Roman" w:hAnsi="Times New Roman" w:eastAsia="宋体" w:cs="Times New Roman"/>
                <w:color w:val="auto"/>
                <w:sz w:val="21"/>
                <w:u w:val="none"/>
              </w:rPr>
              <w:t>mg/L；</w:t>
            </w:r>
            <w:r>
              <w:rPr>
                <w:rFonts w:hint="eastAsia" w:eastAsia="宋体" w:cs="Times New Roman"/>
                <w:color w:val="auto"/>
                <w:sz w:val="21"/>
                <w:u w:val="none"/>
                <w:lang w:val="en-US" w:eastAsia="zh-CN"/>
              </w:rPr>
              <w:t>10.95</w:t>
            </w:r>
            <w:r>
              <w:rPr>
                <w:rFonts w:hint="default" w:ascii="Times New Roman" w:hAnsi="Times New Roman" w:eastAsia="宋体" w:cs="Times New Roman"/>
                <w:color w:val="auto"/>
                <w:sz w:val="21"/>
                <w:u w:val="none"/>
              </w:rPr>
              <w:t>t/a</w:t>
            </w:r>
          </w:p>
        </w:tc>
        <w:tc>
          <w:tcPr>
            <w:tcW w:w="2688" w:type="dxa"/>
            <w:tcBorders>
              <w:tl2br w:val="nil"/>
              <w:tr2bl w:val="nil"/>
            </w:tcBorders>
            <w:vAlign w:val="center"/>
          </w:tcPr>
          <w:p>
            <w:pPr>
              <w:pStyle w:val="6"/>
              <w:spacing w:line="240" w:lineRule="auto"/>
              <w:rPr>
                <w:rFonts w:hint="default" w:ascii="Times New Roman" w:hAnsi="Times New Roman" w:eastAsia="宋体" w:cs="Times New Roman"/>
                <w:color w:val="auto"/>
                <w:sz w:val="21"/>
                <w:u w:val="none"/>
              </w:rPr>
            </w:pPr>
            <w:r>
              <w:rPr>
                <w:rFonts w:hint="eastAsia" w:eastAsia="宋体" w:cs="Times New Roman"/>
                <w:color w:val="auto"/>
                <w:sz w:val="21"/>
                <w:u w:val="none"/>
                <w:lang w:val="en-US" w:eastAsia="zh-CN"/>
              </w:rPr>
              <w:t>8</w:t>
            </w:r>
            <w:r>
              <w:rPr>
                <w:rFonts w:hint="default" w:ascii="Times New Roman" w:hAnsi="Times New Roman" w:eastAsia="宋体" w:cs="Times New Roman"/>
                <w:color w:val="auto"/>
                <w:sz w:val="21"/>
                <w:u w:val="none"/>
              </w:rPr>
              <w:t>mg/L；</w:t>
            </w:r>
            <w:r>
              <w:rPr>
                <w:rFonts w:hint="eastAsia" w:eastAsia="宋体" w:cs="Times New Roman"/>
                <w:color w:val="auto"/>
                <w:sz w:val="21"/>
                <w:u w:val="none"/>
                <w:lang w:val="en-US" w:eastAsia="zh-CN"/>
              </w:rPr>
              <w:t>2.92</w:t>
            </w:r>
            <w:r>
              <w:rPr>
                <w:rFonts w:hint="default" w:ascii="Times New Roman" w:hAnsi="Times New Roman" w:eastAsia="宋体" w:cs="Times New Roman"/>
                <w:color w:val="auto"/>
                <w:sz w:val="21"/>
                <w:u w:val="none"/>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1093" w:type="dxa"/>
            <w:vMerge w:val="continue"/>
            <w:tcBorders>
              <w:tl2br w:val="nil"/>
              <w:tr2bl w:val="nil"/>
            </w:tcBorders>
            <w:vAlign w:val="center"/>
          </w:tcPr>
          <w:p>
            <w:pPr>
              <w:spacing w:line="240" w:lineRule="auto"/>
              <w:jc w:val="center"/>
              <w:rPr>
                <w:color w:val="auto"/>
                <w:szCs w:val="21"/>
                <w:highlight w:val="yellow"/>
                <w:u w:val="none"/>
              </w:rPr>
            </w:pPr>
          </w:p>
        </w:tc>
        <w:tc>
          <w:tcPr>
            <w:tcW w:w="888" w:type="dxa"/>
            <w:vMerge w:val="continue"/>
            <w:tcBorders>
              <w:tl2br w:val="nil"/>
              <w:tr2bl w:val="nil"/>
            </w:tcBorders>
            <w:vAlign w:val="center"/>
          </w:tcPr>
          <w:p>
            <w:pPr>
              <w:pStyle w:val="6"/>
              <w:spacing w:line="240" w:lineRule="auto"/>
              <w:rPr>
                <w:color w:val="auto"/>
                <w:sz w:val="21"/>
                <w:u w:val="none"/>
              </w:rPr>
            </w:pPr>
          </w:p>
        </w:tc>
        <w:tc>
          <w:tcPr>
            <w:tcW w:w="1140"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pacing w:val="4"/>
                <w:szCs w:val="21"/>
                <w:u w:val="none"/>
              </w:rPr>
            </w:pPr>
          </w:p>
        </w:tc>
        <w:tc>
          <w:tcPr>
            <w:tcW w:w="1695" w:type="dxa"/>
            <w:tcBorders>
              <w:tl2br w:val="nil"/>
              <w:tr2bl w:val="nil"/>
            </w:tcBorders>
            <w:vAlign w:val="center"/>
          </w:tcPr>
          <w:p>
            <w:pPr>
              <w:pStyle w:val="6"/>
              <w:spacing w:line="240" w:lineRule="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rPr>
              <w:t>BOD</w:t>
            </w:r>
            <w:r>
              <w:rPr>
                <w:rFonts w:hint="default" w:ascii="Times New Roman" w:hAnsi="Times New Roman" w:eastAsia="宋体" w:cs="Times New Roman"/>
                <w:color w:val="auto"/>
                <w:sz w:val="21"/>
                <w:u w:val="none"/>
                <w:vertAlign w:val="subscript"/>
              </w:rPr>
              <w:t>5</w:t>
            </w:r>
          </w:p>
        </w:tc>
        <w:tc>
          <w:tcPr>
            <w:tcW w:w="2010" w:type="dxa"/>
            <w:tcBorders>
              <w:tl2br w:val="nil"/>
              <w:tr2bl w:val="nil"/>
            </w:tcBorders>
            <w:vAlign w:val="center"/>
          </w:tcPr>
          <w:p>
            <w:pPr>
              <w:pStyle w:val="6"/>
              <w:spacing w:line="240" w:lineRule="auto"/>
              <w:rPr>
                <w:rFonts w:hint="default" w:ascii="Times New Roman" w:hAnsi="Times New Roman" w:eastAsia="宋体" w:cs="Times New Roman"/>
                <w:color w:val="auto"/>
                <w:sz w:val="21"/>
                <w:u w:val="none"/>
              </w:rPr>
            </w:pPr>
            <w:r>
              <w:rPr>
                <w:rFonts w:hint="eastAsia" w:eastAsia="宋体" w:cs="Times New Roman"/>
                <w:color w:val="auto"/>
                <w:sz w:val="21"/>
                <w:u w:val="none"/>
                <w:lang w:val="en-US" w:eastAsia="zh-CN"/>
              </w:rPr>
              <w:t>110</w:t>
            </w:r>
            <w:r>
              <w:rPr>
                <w:rFonts w:hint="default" w:ascii="Times New Roman" w:hAnsi="Times New Roman" w:eastAsia="宋体" w:cs="Times New Roman"/>
                <w:color w:val="auto"/>
                <w:sz w:val="21"/>
                <w:u w:val="none"/>
              </w:rPr>
              <w:t>mg/L；</w:t>
            </w:r>
            <w:r>
              <w:rPr>
                <w:rFonts w:hint="eastAsia" w:eastAsia="宋体" w:cs="Times New Roman"/>
                <w:color w:val="auto"/>
                <w:sz w:val="21"/>
                <w:u w:val="none"/>
                <w:lang w:val="en-US" w:eastAsia="zh-CN"/>
              </w:rPr>
              <w:t>40.15</w:t>
            </w:r>
            <w:r>
              <w:rPr>
                <w:rFonts w:hint="default" w:ascii="Times New Roman" w:hAnsi="Times New Roman" w:eastAsia="宋体" w:cs="Times New Roman"/>
                <w:color w:val="auto"/>
                <w:sz w:val="21"/>
                <w:u w:val="none"/>
              </w:rPr>
              <w:t>t/a</w:t>
            </w:r>
          </w:p>
        </w:tc>
        <w:tc>
          <w:tcPr>
            <w:tcW w:w="2688" w:type="dxa"/>
            <w:tcBorders>
              <w:tl2br w:val="nil"/>
              <w:tr2bl w:val="nil"/>
            </w:tcBorders>
            <w:vAlign w:val="center"/>
          </w:tcPr>
          <w:p>
            <w:pPr>
              <w:pStyle w:val="6"/>
              <w:spacing w:line="240" w:lineRule="auto"/>
              <w:rPr>
                <w:rFonts w:hint="default" w:ascii="Times New Roman" w:hAnsi="Times New Roman" w:eastAsia="宋体" w:cs="Times New Roman"/>
                <w:color w:val="auto"/>
                <w:sz w:val="21"/>
                <w:u w:val="none"/>
              </w:rPr>
            </w:pPr>
            <w:r>
              <w:rPr>
                <w:rFonts w:hint="eastAsia" w:eastAsia="宋体" w:cs="Times New Roman"/>
                <w:color w:val="auto"/>
                <w:sz w:val="21"/>
                <w:u w:val="none"/>
                <w:lang w:val="en-US" w:eastAsia="zh-CN"/>
              </w:rPr>
              <w:t>20</w:t>
            </w:r>
            <w:r>
              <w:rPr>
                <w:rFonts w:hint="default" w:ascii="Times New Roman" w:hAnsi="Times New Roman" w:eastAsia="宋体" w:cs="Times New Roman"/>
                <w:color w:val="auto"/>
                <w:sz w:val="21"/>
                <w:u w:val="none"/>
              </w:rPr>
              <w:t>mg/L；</w:t>
            </w:r>
            <w:r>
              <w:rPr>
                <w:rFonts w:hint="eastAsia" w:eastAsia="宋体" w:cs="Times New Roman"/>
                <w:color w:val="auto"/>
                <w:sz w:val="21"/>
                <w:u w:val="none"/>
                <w:lang w:val="en-US" w:eastAsia="zh-CN"/>
              </w:rPr>
              <w:t>7.30</w:t>
            </w:r>
            <w:r>
              <w:rPr>
                <w:rFonts w:hint="default" w:ascii="Times New Roman" w:hAnsi="Times New Roman" w:eastAsia="宋体" w:cs="Times New Roman"/>
                <w:color w:val="auto"/>
                <w:sz w:val="21"/>
                <w:u w:val="none"/>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093" w:type="dxa"/>
            <w:vMerge w:val="continue"/>
            <w:tcBorders>
              <w:tl2br w:val="nil"/>
              <w:tr2bl w:val="nil"/>
            </w:tcBorders>
            <w:vAlign w:val="center"/>
          </w:tcPr>
          <w:p>
            <w:pPr>
              <w:spacing w:line="240" w:lineRule="auto"/>
              <w:jc w:val="center"/>
              <w:rPr>
                <w:color w:val="auto"/>
                <w:szCs w:val="21"/>
                <w:highlight w:val="yellow"/>
                <w:u w:val="none"/>
              </w:rPr>
            </w:pPr>
          </w:p>
        </w:tc>
        <w:tc>
          <w:tcPr>
            <w:tcW w:w="888" w:type="dxa"/>
            <w:vMerge w:val="continue"/>
            <w:tcBorders>
              <w:tl2br w:val="nil"/>
              <w:tr2bl w:val="nil"/>
            </w:tcBorders>
            <w:vAlign w:val="center"/>
          </w:tcPr>
          <w:p>
            <w:pPr>
              <w:pStyle w:val="6"/>
              <w:spacing w:line="240" w:lineRule="auto"/>
              <w:rPr>
                <w:color w:val="auto"/>
                <w:sz w:val="21"/>
                <w:u w:val="none"/>
              </w:rPr>
            </w:pPr>
          </w:p>
        </w:tc>
        <w:tc>
          <w:tcPr>
            <w:tcW w:w="1140"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pacing w:val="4"/>
                <w:szCs w:val="21"/>
                <w:u w:val="none"/>
              </w:rPr>
            </w:pPr>
          </w:p>
        </w:tc>
        <w:tc>
          <w:tcPr>
            <w:tcW w:w="1695" w:type="dxa"/>
            <w:tcBorders>
              <w:tl2br w:val="nil"/>
              <w:tr2bl w:val="nil"/>
            </w:tcBorders>
            <w:vAlign w:val="center"/>
          </w:tcPr>
          <w:p>
            <w:pPr>
              <w:pStyle w:val="6"/>
              <w:spacing w:line="240" w:lineRule="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rPr>
              <w:t>总磷</w:t>
            </w:r>
          </w:p>
        </w:tc>
        <w:tc>
          <w:tcPr>
            <w:tcW w:w="2010" w:type="dxa"/>
            <w:tcBorders>
              <w:tl2br w:val="nil"/>
              <w:tr2bl w:val="nil"/>
            </w:tcBorders>
            <w:vAlign w:val="center"/>
          </w:tcPr>
          <w:p>
            <w:pPr>
              <w:pStyle w:val="6"/>
              <w:spacing w:line="240" w:lineRule="auto"/>
              <w:rPr>
                <w:rFonts w:hint="default" w:ascii="Times New Roman" w:hAnsi="Times New Roman" w:eastAsia="宋体" w:cs="Times New Roman"/>
                <w:color w:val="auto"/>
                <w:sz w:val="21"/>
                <w:u w:val="none"/>
              </w:rPr>
            </w:pPr>
            <w:r>
              <w:rPr>
                <w:rFonts w:hint="eastAsia" w:eastAsia="宋体" w:cs="Times New Roman"/>
                <w:color w:val="auto"/>
                <w:sz w:val="21"/>
                <w:u w:val="none"/>
                <w:lang w:val="en-US" w:eastAsia="zh-CN"/>
              </w:rPr>
              <w:t>2.5</w:t>
            </w:r>
            <w:r>
              <w:rPr>
                <w:rFonts w:hint="default" w:ascii="Times New Roman" w:hAnsi="Times New Roman" w:eastAsia="宋体" w:cs="Times New Roman"/>
                <w:color w:val="auto"/>
                <w:sz w:val="21"/>
                <w:u w:val="none"/>
              </w:rPr>
              <w:t>mg/L；</w:t>
            </w:r>
            <w:r>
              <w:rPr>
                <w:rFonts w:hint="eastAsia" w:eastAsia="宋体" w:cs="Times New Roman"/>
                <w:color w:val="auto"/>
                <w:sz w:val="21"/>
                <w:u w:val="none"/>
                <w:lang w:val="en-US" w:eastAsia="zh-CN"/>
              </w:rPr>
              <w:t>0.92</w:t>
            </w:r>
            <w:r>
              <w:rPr>
                <w:rFonts w:hint="default" w:ascii="Times New Roman" w:hAnsi="Times New Roman" w:eastAsia="宋体" w:cs="Times New Roman"/>
                <w:color w:val="auto"/>
                <w:sz w:val="21"/>
                <w:u w:val="none"/>
              </w:rPr>
              <w:t>t/a</w:t>
            </w:r>
          </w:p>
        </w:tc>
        <w:tc>
          <w:tcPr>
            <w:tcW w:w="2688" w:type="dxa"/>
            <w:tcBorders>
              <w:tl2br w:val="nil"/>
              <w:tr2bl w:val="nil"/>
            </w:tcBorders>
            <w:vAlign w:val="center"/>
          </w:tcPr>
          <w:p>
            <w:pPr>
              <w:pStyle w:val="6"/>
              <w:spacing w:line="240" w:lineRule="auto"/>
              <w:rPr>
                <w:rFonts w:hint="default" w:ascii="Times New Roman" w:hAnsi="Times New Roman" w:eastAsia="宋体" w:cs="Times New Roman"/>
                <w:color w:val="auto"/>
                <w:sz w:val="21"/>
                <w:u w:val="none"/>
              </w:rPr>
            </w:pPr>
            <w:r>
              <w:rPr>
                <w:rFonts w:hint="eastAsia" w:eastAsia="宋体" w:cs="Times New Roman"/>
                <w:color w:val="auto"/>
                <w:sz w:val="21"/>
                <w:u w:val="none"/>
                <w:lang w:val="en-US" w:eastAsia="zh-CN"/>
              </w:rPr>
              <w:t>1</w:t>
            </w:r>
            <w:r>
              <w:rPr>
                <w:rFonts w:hint="default" w:ascii="Times New Roman" w:hAnsi="Times New Roman" w:eastAsia="宋体" w:cs="Times New Roman"/>
                <w:color w:val="auto"/>
                <w:sz w:val="21"/>
                <w:u w:val="none"/>
              </w:rPr>
              <w:t>mg/L；</w:t>
            </w:r>
            <w:r>
              <w:rPr>
                <w:rFonts w:hint="eastAsia" w:eastAsia="宋体" w:cs="Times New Roman"/>
                <w:color w:val="auto"/>
                <w:sz w:val="21"/>
                <w:u w:val="none"/>
                <w:lang w:val="en-US" w:eastAsia="zh-CN"/>
              </w:rPr>
              <w:t>0.37</w:t>
            </w:r>
            <w:r>
              <w:rPr>
                <w:rFonts w:hint="default" w:ascii="Times New Roman" w:hAnsi="Times New Roman" w:eastAsia="宋体" w:cs="Times New Roman"/>
                <w:color w:val="auto"/>
                <w:sz w:val="21"/>
                <w:u w:val="none"/>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1093" w:type="dxa"/>
            <w:vMerge w:val="continue"/>
            <w:tcBorders>
              <w:tl2br w:val="nil"/>
              <w:tr2bl w:val="nil"/>
            </w:tcBorders>
            <w:vAlign w:val="center"/>
          </w:tcPr>
          <w:p>
            <w:pPr>
              <w:spacing w:line="240" w:lineRule="auto"/>
              <w:jc w:val="center"/>
              <w:rPr>
                <w:color w:val="auto"/>
                <w:szCs w:val="21"/>
                <w:highlight w:val="yellow"/>
                <w:u w:val="none"/>
              </w:rPr>
            </w:pPr>
          </w:p>
        </w:tc>
        <w:tc>
          <w:tcPr>
            <w:tcW w:w="888" w:type="dxa"/>
            <w:vMerge w:val="continue"/>
            <w:tcBorders>
              <w:tl2br w:val="nil"/>
              <w:tr2bl w:val="nil"/>
            </w:tcBorders>
            <w:vAlign w:val="center"/>
          </w:tcPr>
          <w:p>
            <w:pPr>
              <w:pStyle w:val="6"/>
              <w:spacing w:line="240" w:lineRule="auto"/>
              <w:rPr>
                <w:color w:val="auto"/>
                <w:sz w:val="21"/>
                <w:u w:val="none"/>
              </w:rPr>
            </w:pPr>
          </w:p>
        </w:tc>
        <w:tc>
          <w:tcPr>
            <w:tcW w:w="1140" w:type="dxa"/>
            <w:vMerge w:val="continue"/>
            <w:tcBorders>
              <w:tl2br w:val="nil"/>
              <w:tr2bl w:val="nil"/>
            </w:tcBorders>
            <w:vAlign w:val="center"/>
          </w:tcPr>
          <w:p>
            <w:pPr>
              <w:spacing w:line="240" w:lineRule="auto"/>
              <w:jc w:val="center"/>
              <w:rPr>
                <w:rFonts w:hint="default" w:ascii="Times New Roman" w:hAnsi="Times New Roman" w:eastAsia="宋体" w:cs="Times New Roman"/>
                <w:color w:val="auto"/>
                <w:spacing w:val="4"/>
                <w:szCs w:val="21"/>
                <w:u w:val="none"/>
              </w:rPr>
            </w:pPr>
          </w:p>
        </w:tc>
        <w:tc>
          <w:tcPr>
            <w:tcW w:w="1695" w:type="dxa"/>
            <w:tcBorders>
              <w:tl2br w:val="nil"/>
              <w:tr2bl w:val="nil"/>
            </w:tcBorders>
            <w:vAlign w:val="center"/>
          </w:tcPr>
          <w:p>
            <w:pPr>
              <w:pStyle w:val="6"/>
              <w:spacing w:line="240" w:lineRule="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rPr>
              <w:t>总氮</w:t>
            </w:r>
          </w:p>
        </w:tc>
        <w:tc>
          <w:tcPr>
            <w:tcW w:w="2010" w:type="dxa"/>
            <w:tcBorders>
              <w:tl2br w:val="nil"/>
              <w:tr2bl w:val="nil"/>
            </w:tcBorders>
            <w:vAlign w:val="center"/>
          </w:tcPr>
          <w:p>
            <w:pPr>
              <w:pStyle w:val="6"/>
              <w:spacing w:line="240" w:lineRule="auto"/>
              <w:rPr>
                <w:rFonts w:hint="default" w:ascii="Times New Roman" w:hAnsi="Times New Roman" w:eastAsia="宋体" w:cs="Times New Roman"/>
                <w:color w:val="auto"/>
                <w:sz w:val="21"/>
                <w:u w:val="none"/>
              </w:rPr>
            </w:pPr>
            <w:r>
              <w:rPr>
                <w:rFonts w:hint="eastAsia" w:eastAsia="宋体" w:cs="Times New Roman"/>
                <w:color w:val="auto"/>
                <w:sz w:val="21"/>
                <w:u w:val="none"/>
                <w:lang w:val="en-US" w:eastAsia="zh-CN"/>
              </w:rPr>
              <w:t>35</w:t>
            </w:r>
            <w:r>
              <w:rPr>
                <w:rFonts w:hint="default" w:ascii="Times New Roman" w:hAnsi="Times New Roman" w:eastAsia="宋体" w:cs="Times New Roman"/>
                <w:color w:val="auto"/>
                <w:sz w:val="21"/>
                <w:u w:val="none"/>
              </w:rPr>
              <w:t>mg/L；</w:t>
            </w:r>
            <w:r>
              <w:rPr>
                <w:rFonts w:hint="default" w:ascii="Times New Roman" w:hAnsi="Times New Roman" w:eastAsia="宋体" w:cs="Times New Roman"/>
                <w:color w:val="auto"/>
                <w:sz w:val="21"/>
                <w:u w:val="none"/>
                <w:lang w:val="en-US" w:eastAsia="zh-CN"/>
              </w:rPr>
              <w:t>12.78</w:t>
            </w:r>
            <w:r>
              <w:rPr>
                <w:rFonts w:hint="default" w:ascii="Times New Roman" w:hAnsi="Times New Roman" w:eastAsia="宋体" w:cs="Times New Roman"/>
                <w:color w:val="auto"/>
                <w:sz w:val="21"/>
                <w:u w:val="none"/>
              </w:rPr>
              <w:t>t/a</w:t>
            </w:r>
          </w:p>
        </w:tc>
        <w:tc>
          <w:tcPr>
            <w:tcW w:w="2688" w:type="dxa"/>
            <w:tcBorders>
              <w:tl2br w:val="nil"/>
              <w:tr2bl w:val="nil"/>
            </w:tcBorders>
            <w:vAlign w:val="center"/>
          </w:tcPr>
          <w:p>
            <w:pPr>
              <w:pStyle w:val="6"/>
              <w:spacing w:line="240" w:lineRule="auto"/>
              <w:rPr>
                <w:rFonts w:hint="default" w:ascii="Times New Roman" w:hAnsi="Times New Roman" w:eastAsia="宋体" w:cs="Times New Roman"/>
                <w:color w:val="auto"/>
                <w:sz w:val="21"/>
                <w:u w:val="none"/>
              </w:rPr>
            </w:pPr>
            <w:r>
              <w:rPr>
                <w:rFonts w:hint="eastAsia" w:eastAsia="宋体" w:cs="Times New Roman"/>
                <w:color w:val="auto"/>
                <w:sz w:val="21"/>
                <w:u w:val="none"/>
                <w:lang w:val="en-US" w:eastAsia="zh-CN"/>
              </w:rPr>
              <w:t>20</w:t>
            </w:r>
            <w:r>
              <w:rPr>
                <w:rFonts w:hint="default" w:ascii="Times New Roman" w:hAnsi="Times New Roman" w:eastAsia="宋体" w:cs="Times New Roman"/>
                <w:color w:val="auto"/>
                <w:sz w:val="21"/>
                <w:u w:val="none"/>
              </w:rPr>
              <w:t>mg/L；</w:t>
            </w:r>
            <w:r>
              <w:rPr>
                <w:rFonts w:hint="eastAsia" w:eastAsia="宋体" w:cs="Times New Roman"/>
                <w:color w:val="auto"/>
                <w:sz w:val="21"/>
                <w:u w:val="none"/>
                <w:lang w:val="en-US" w:eastAsia="zh-CN"/>
              </w:rPr>
              <w:t>7.30</w:t>
            </w:r>
            <w:r>
              <w:rPr>
                <w:rFonts w:hint="default" w:ascii="Times New Roman" w:hAnsi="Times New Roman" w:eastAsia="宋体" w:cs="Times New Roman"/>
                <w:color w:val="auto"/>
                <w:sz w:val="21"/>
                <w:u w:val="none"/>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093" w:type="dxa"/>
            <w:vMerge w:val="restart"/>
            <w:tcBorders>
              <w:tl2br w:val="nil"/>
              <w:tr2bl w:val="nil"/>
            </w:tcBorders>
            <w:vAlign w:val="center"/>
          </w:tcPr>
          <w:p>
            <w:pPr>
              <w:spacing w:line="240" w:lineRule="auto"/>
              <w:jc w:val="center"/>
              <w:rPr>
                <w:color w:val="auto"/>
                <w:szCs w:val="21"/>
                <w:u w:val="none"/>
              </w:rPr>
            </w:pPr>
            <w:r>
              <w:rPr>
                <w:color w:val="auto"/>
                <w:szCs w:val="21"/>
                <w:u w:val="none"/>
              </w:rPr>
              <w:t>固体</w:t>
            </w:r>
          </w:p>
          <w:p>
            <w:pPr>
              <w:spacing w:line="240" w:lineRule="auto"/>
              <w:jc w:val="center"/>
              <w:rPr>
                <w:color w:val="auto"/>
                <w:szCs w:val="21"/>
                <w:u w:val="none"/>
              </w:rPr>
            </w:pPr>
            <w:r>
              <w:rPr>
                <w:color w:val="auto"/>
                <w:szCs w:val="21"/>
                <w:u w:val="none"/>
              </w:rPr>
              <w:t>废</w:t>
            </w:r>
            <w:r>
              <w:rPr>
                <w:rFonts w:hint="eastAsia"/>
                <w:color w:val="auto"/>
                <w:szCs w:val="21"/>
                <w:u w:val="none"/>
                <w:lang w:eastAsia="zh-CN"/>
              </w:rPr>
              <w:t>弃</w:t>
            </w:r>
            <w:r>
              <w:rPr>
                <w:color w:val="auto"/>
                <w:szCs w:val="21"/>
                <w:u w:val="none"/>
              </w:rPr>
              <w:t>物</w:t>
            </w:r>
          </w:p>
        </w:tc>
        <w:tc>
          <w:tcPr>
            <w:tcW w:w="888" w:type="dxa"/>
            <w:vMerge w:val="restart"/>
            <w:tcBorders>
              <w:tl2br w:val="nil"/>
              <w:tr2bl w:val="nil"/>
            </w:tcBorders>
            <w:vAlign w:val="center"/>
          </w:tcPr>
          <w:p>
            <w:pPr>
              <w:spacing w:line="240" w:lineRule="auto"/>
              <w:jc w:val="center"/>
              <w:rPr>
                <w:color w:val="auto"/>
                <w:spacing w:val="4"/>
                <w:szCs w:val="21"/>
                <w:u w:val="none"/>
              </w:rPr>
            </w:pPr>
            <w:r>
              <w:rPr>
                <w:color w:val="auto"/>
                <w:spacing w:val="4"/>
                <w:szCs w:val="21"/>
                <w:u w:val="none"/>
              </w:rPr>
              <w:t>施工期</w:t>
            </w:r>
          </w:p>
        </w:tc>
        <w:tc>
          <w:tcPr>
            <w:tcW w:w="1140"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pacing w:val="4"/>
                <w:szCs w:val="21"/>
                <w:u w:val="none"/>
              </w:rPr>
            </w:pPr>
            <w:r>
              <w:rPr>
                <w:rFonts w:hint="default" w:ascii="Times New Roman" w:hAnsi="Times New Roman" w:eastAsia="宋体" w:cs="Times New Roman"/>
                <w:color w:val="auto"/>
                <w:spacing w:val="4"/>
                <w:szCs w:val="21"/>
                <w:u w:val="none"/>
              </w:rPr>
              <w:t>施工场地</w:t>
            </w:r>
          </w:p>
        </w:tc>
        <w:tc>
          <w:tcPr>
            <w:tcW w:w="1695" w:type="dxa"/>
            <w:tcBorders>
              <w:tl2br w:val="nil"/>
              <w:tr2bl w:val="nil"/>
            </w:tcBorders>
            <w:vAlign w:val="center"/>
          </w:tcPr>
          <w:p>
            <w:pPr>
              <w:spacing w:line="240" w:lineRule="auto"/>
              <w:jc w:val="center"/>
              <w:rPr>
                <w:rFonts w:hint="default" w:ascii="Times New Roman" w:hAnsi="Times New Roman" w:eastAsia="宋体" w:cs="Times New Roman"/>
                <w:color w:val="auto"/>
                <w:spacing w:val="4"/>
                <w:szCs w:val="21"/>
                <w:u w:val="none"/>
              </w:rPr>
            </w:pPr>
            <w:r>
              <w:rPr>
                <w:rFonts w:hint="default" w:ascii="Times New Roman" w:hAnsi="Times New Roman" w:eastAsia="宋体" w:cs="Times New Roman"/>
                <w:color w:val="auto"/>
                <w:spacing w:val="4"/>
                <w:szCs w:val="21"/>
                <w:u w:val="none"/>
              </w:rPr>
              <w:t>建筑垃圾</w:t>
            </w:r>
          </w:p>
        </w:tc>
        <w:tc>
          <w:tcPr>
            <w:tcW w:w="2010" w:type="dxa"/>
            <w:tcBorders>
              <w:tl2br w:val="nil"/>
              <w:tr2bl w:val="nil"/>
            </w:tcBorders>
            <w:vAlign w:val="center"/>
          </w:tcPr>
          <w:p>
            <w:pPr>
              <w:snapToGrid w:val="0"/>
              <w:spacing w:line="240" w:lineRule="auto"/>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lang w:eastAsia="zh-CN"/>
              </w:rPr>
              <w:t>0.53</w:t>
            </w:r>
            <w:r>
              <w:rPr>
                <w:rFonts w:hint="default" w:ascii="Times New Roman" w:hAnsi="Times New Roman" w:eastAsia="宋体" w:cs="Times New Roman"/>
                <w:color w:val="auto"/>
                <w:szCs w:val="21"/>
                <w:u w:val="none"/>
              </w:rPr>
              <w:t>t</w:t>
            </w:r>
          </w:p>
        </w:tc>
        <w:tc>
          <w:tcPr>
            <w:tcW w:w="2688" w:type="dxa"/>
            <w:vMerge w:val="restart"/>
            <w:tcBorders>
              <w:tl2br w:val="nil"/>
              <w:tr2bl w:val="nil"/>
            </w:tcBorders>
            <w:vAlign w:val="center"/>
          </w:tcPr>
          <w:p>
            <w:pPr>
              <w:spacing w:line="240" w:lineRule="auto"/>
              <w:jc w:val="center"/>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送当地政府指定建筑垃圾处理场所处置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093" w:type="dxa"/>
            <w:vMerge w:val="continue"/>
            <w:tcBorders>
              <w:tl2br w:val="nil"/>
              <w:tr2bl w:val="nil"/>
            </w:tcBorders>
            <w:vAlign w:val="center"/>
          </w:tcPr>
          <w:p>
            <w:pPr>
              <w:spacing w:line="240" w:lineRule="auto"/>
              <w:jc w:val="center"/>
              <w:rPr>
                <w:color w:val="auto"/>
                <w:szCs w:val="21"/>
                <w:u w:val="none"/>
              </w:rPr>
            </w:pPr>
          </w:p>
        </w:tc>
        <w:tc>
          <w:tcPr>
            <w:tcW w:w="888" w:type="dxa"/>
            <w:vMerge w:val="continue"/>
            <w:tcBorders>
              <w:tl2br w:val="nil"/>
              <w:tr2bl w:val="nil"/>
            </w:tcBorders>
            <w:vAlign w:val="center"/>
          </w:tcPr>
          <w:p>
            <w:pPr>
              <w:spacing w:line="240" w:lineRule="auto"/>
              <w:jc w:val="center"/>
              <w:rPr>
                <w:color w:val="auto"/>
                <w:szCs w:val="21"/>
                <w:u w:val="none"/>
              </w:rPr>
            </w:pPr>
          </w:p>
        </w:tc>
        <w:tc>
          <w:tcPr>
            <w:tcW w:w="1140" w:type="dxa"/>
            <w:vMerge w:val="continue"/>
            <w:tcBorders>
              <w:tl2br w:val="nil"/>
              <w:tr2bl w:val="nil"/>
            </w:tcBorders>
            <w:vAlign w:val="center"/>
          </w:tcPr>
          <w:p>
            <w:pPr>
              <w:spacing w:line="240" w:lineRule="auto"/>
              <w:jc w:val="center"/>
              <w:rPr>
                <w:color w:val="auto"/>
                <w:spacing w:val="4"/>
                <w:szCs w:val="21"/>
                <w:u w:val="none"/>
              </w:rPr>
            </w:pPr>
          </w:p>
        </w:tc>
        <w:tc>
          <w:tcPr>
            <w:tcW w:w="1695" w:type="dxa"/>
            <w:tcBorders>
              <w:tl2br w:val="nil"/>
              <w:tr2bl w:val="nil"/>
            </w:tcBorders>
            <w:vAlign w:val="center"/>
          </w:tcPr>
          <w:p>
            <w:pPr>
              <w:spacing w:line="240" w:lineRule="auto"/>
              <w:jc w:val="center"/>
              <w:rPr>
                <w:color w:val="auto"/>
                <w:spacing w:val="4"/>
                <w:szCs w:val="21"/>
                <w:u w:val="none"/>
              </w:rPr>
            </w:pPr>
            <w:r>
              <w:rPr>
                <w:color w:val="auto"/>
                <w:spacing w:val="4"/>
                <w:szCs w:val="21"/>
                <w:u w:val="none"/>
              </w:rPr>
              <w:t>废弃包装材料</w:t>
            </w:r>
          </w:p>
        </w:tc>
        <w:tc>
          <w:tcPr>
            <w:tcW w:w="2010" w:type="dxa"/>
            <w:tcBorders>
              <w:tl2br w:val="nil"/>
              <w:tr2bl w:val="nil"/>
            </w:tcBorders>
            <w:vAlign w:val="center"/>
          </w:tcPr>
          <w:p>
            <w:pPr>
              <w:snapToGrid w:val="0"/>
              <w:spacing w:line="240" w:lineRule="auto"/>
              <w:jc w:val="center"/>
              <w:rPr>
                <w:rFonts w:hint="eastAsia" w:eastAsia="宋体"/>
                <w:color w:val="auto"/>
                <w:szCs w:val="21"/>
                <w:u w:val="none"/>
                <w:lang w:eastAsia="zh-CN"/>
              </w:rPr>
            </w:pPr>
            <w:r>
              <w:rPr>
                <w:rFonts w:hint="eastAsia"/>
                <w:color w:val="auto"/>
                <w:szCs w:val="21"/>
                <w:u w:val="none"/>
                <w:lang w:eastAsia="zh-CN"/>
              </w:rPr>
              <w:t>75kg</w:t>
            </w:r>
          </w:p>
        </w:tc>
        <w:tc>
          <w:tcPr>
            <w:tcW w:w="2688" w:type="dxa"/>
            <w:vMerge w:val="continue"/>
            <w:tcBorders>
              <w:tl2br w:val="nil"/>
              <w:tr2bl w:val="nil"/>
            </w:tcBorders>
            <w:vAlign w:val="center"/>
          </w:tcPr>
          <w:p>
            <w:pPr>
              <w:spacing w:line="240" w:lineRule="auto"/>
              <w:jc w:val="center"/>
              <w:rPr>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1093" w:type="dxa"/>
            <w:vMerge w:val="continue"/>
            <w:tcBorders>
              <w:tl2br w:val="nil"/>
              <w:tr2bl w:val="nil"/>
            </w:tcBorders>
            <w:vAlign w:val="center"/>
          </w:tcPr>
          <w:p>
            <w:pPr>
              <w:spacing w:line="240" w:lineRule="auto"/>
              <w:jc w:val="center"/>
              <w:rPr>
                <w:color w:val="auto"/>
                <w:szCs w:val="21"/>
                <w:u w:val="none"/>
              </w:rPr>
            </w:pPr>
          </w:p>
        </w:tc>
        <w:tc>
          <w:tcPr>
            <w:tcW w:w="888" w:type="dxa"/>
            <w:vMerge w:val="continue"/>
            <w:tcBorders>
              <w:tl2br w:val="nil"/>
              <w:tr2bl w:val="nil"/>
            </w:tcBorders>
            <w:vAlign w:val="center"/>
          </w:tcPr>
          <w:p>
            <w:pPr>
              <w:spacing w:line="240" w:lineRule="auto"/>
              <w:jc w:val="center"/>
              <w:rPr>
                <w:color w:val="auto"/>
                <w:szCs w:val="21"/>
                <w:u w:val="none"/>
              </w:rPr>
            </w:pPr>
          </w:p>
        </w:tc>
        <w:tc>
          <w:tcPr>
            <w:tcW w:w="1140" w:type="dxa"/>
            <w:vMerge w:val="continue"/>
            <w:tcBorders>
              <w:tl2br w:val="nil"/>
              <w:tr2bl w:val="nil"/>
            </w:tcBorders>
            <w:vAlign w:val="center"/>
          </w:tcPr>
          <w:p>
            <w:pPr>
              <w:spacing w:line="240" w:lineRule="auto"/>
              <w:jc w:val="center"/>
              <w:rPr>
                <w:color w:val="auto"/>
                <w:spacing w:val="4"/>
                <w:szCs w:val="21"/>
                <w:u w:val="none"/>
              </w:rPr>
            </w:pPr>
          </w:p>
        </w:tc>
        <w:tc>
          <w:tcPr>
            <w:tcW w:w="1695" w:type="dxa"/>
            <w:tcBorders>
              <w:tl2br w:val="nil"/>
              <w:tr2bl w:val="nil"/>
            </w:tcBorders>
            <w:vAlign w:val="center"/>
          </w:tcPr>
          <w:p>
            <w:pPr>
              <w:spacing w:line="240" w:lineRule="auto"/>
              <w:jc w:val="center"/>
              <w:rPr>
                <w:color w:val="auto"/>
                <w:spacing w:val="4"/>
                <w:szCs w:val="21"/>
                <w:u w:val="none"/>
              </w:rPr>
            </w:pPr>
            <w:r>
              <w:rPr>
                <w:rFonts w:hint="eastAsia"/>
                <w:color w:val="auto"/>
                <w:spacing w:val="4"/>
                <w:szCs w:val="21"/>
                <w:u w:val="none"/>
              </w:rPr>
              <w:t>废弃土方</w:t>
            </w:r>
          </w:p>
        </w:tc>
        <w:tc>
          <w:tcPr>
            <w:tcW w:w="2010" w:type="dxa"/>
            <w:tcBorders>
              <w:tl2br w:val="nil"/>
              <w:tr2bl w:val="nil"/>
            </w:tcBorders>
            <w:vAlign w:val="center"/>
          </w:tcPr>
          <w:p>
            <w:pPr>
              <w:snapToGrid w:val="0"/>
              <w:spacing w:line="240" w:lineRule="auto"/>
              <w:jc w:val="center"/>
              <w:rPr>
                <w:color w:val="auto"/>
                <w:szCs w:val="21"/>
                <w:u w:val="none"/>
              </w:rPr>
            </w:pPr>
            <w:r>
              <w:rPr>
                <w:rFonts w:hint="eastAsia"/>
                <w:color w:val="auto"/>
                <w:szCs w:val="21"/>
                <w:u w:val="none"/>
              </w:rPr>
              <w:t>604.39m</w:t>
            </w:r>
            <w:r>
              <w:rPr>
                <w:rFonts w:hint="eastAsia"/>
                <w:color w:val="auto"/>
                <w:szCs w:val="21"/>
                <w:u w:val="none"/>
                <w:vertAlign w:val="superscript"/>
              </w:rPr>
              <w:t>3</w:t>
            </w:r>
          </w:p>
        </w:tc>
        <w:tc>
          <w:tcPr>
            <w:tcW w:w="2688" w:type="dxa"/>
            <w:tcBorders>
              <w:tl2br w:val="nil"/>
              <w:tr2bl w:val="nil"/>
            </w:tcBorders>
            <w:vAlign w:val="center"/>
          </w:tcPr>
          <w:p>
            <w:pPr>
              <w:spacing w:line="240" w:lineRule="auto"/>
              <w:jc w:val="center"/>
              <w:rPr>
                <w:color w:val="auto"/>
                <w:szCs w:val="21"/>
                <w:u w:val="none"/>
              </w:rPr>
            </w:pPr>
            <w:r>
              <w:rPr>
                <w:rFonts w:hint="eastAsia"/>
                <w:color w:val="auto"/>
                <w:szCs w:val="21"/>
                <w:u w:val="none"/>
              </w:rPr>
              <w:t>厂内回填及修建道路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93" w:type="dxa"/>
            <w:vMerge w:val="continue"/>
            <w:tcBorders>
              <w:tl2br w:val="nil"/>
              <w:tr2bl w:val="nil"/>
            </w:tcBorders>
            <w:vAlign w:val="center"/>
          </w:tcPr>
          <w:p>
            <w:pPr>
              <w:spacing w:line="240" w:lineRule="auto"/>
              <w:jc w:val="center"/>
              <w:rPr>
                <w:color w:val="auto"/>
                <w:szCs w:val="21"/>
                <w:u w:val="none"/>
              </w:rPr>
            </w:pPr>
          </w:p>
        </w:tc>
        <w:tc>
          <w:tcPr>
            <w:tcW w:w="888" w:type="dxa"/>
            <w:vMerge w:val="continue"/>
            <w:tcBorders>
              <w:tl2br w:val="nil"/>
              <w:tr2bl w:val="nil"/>
            </w:tcBorders>
            <w:vAlign w:val="center"/>
          </w:tcPr>
          <w:p>
            <w:pPr>
              <w:spacing w:line="240" w:lineRule="auto"/>
              <w:jc w:val="center"/>
              <w:rPr>
                <w:color w:val="auto"/>
                <w:szCs w:val="21"/>
                <w:u w:val="none"/>
              </w:rPr>
            </w:pPr>
          </w:p>
        </w:tc>
        <w:tc>
          <w:tcPr>
            <w:tcW w:w="1140" w:type="dxa"/>
            <w:vMerge w:val="continue"/>
            <w:tcBorders>
              <w:tl2br w:val="nil"/>
              <w:tr2bl w:val="nil"/>
            </w:tcBorders>
            <w:vAlign w:val="center"/>
          </w:tcPr>
          <w:p>
            <w:pPr>
              <w:spacing w:line="240" w:lineRule="auto"/>
              <w:jc w:val="center"/>
              <w:rPr>
                <w:color w:val="auto"/>
                <w:spacing w:val="4"/>
                <w:szCs w:val="21"/>
                <w:u w:val="none"/>
              </w:rPr>
            </w:pPr>
          </w:p>
        </w:tc>
        <w:tc>
          <w:tcPr>
            <w:tcW w:w="1695" w:type="dxa"/>
            <w:tcBorders>
              <w:tl2br w:val="nil"/>
              <w:tr2bl w:val="nil"/>
            </w:tcBorders>
            <w:vAlign w:val="center"/>
          </w:tcPr>
          <w:p>
            <w:pPr>
              <w:spacing w:line="240" w:lineRule="auto"/>
              <w:jc w:val="center"/>
              <w:rPr>
                <w:color w:val="auto"/>
                <w:spacing w:val="4"/>
                <w:szCs w:val="21"/>
                <w:u w:val="none"/>
              </w:rPr>
            </w:pPr>
            <w:r>
              <w:rPr>
                <w:color w:val="auto"/>
                <w:spacing w:val="4"/>
                <w:szCs w:val="21"/>
                <w:u w:val="none"/>
              </w:rPr>
              <w:t>生活垃圾</w:t>
            </w:r>
          </w:p>
        </w:tc>
        <w:tc>
          <w:tcPr>
            <w:tcW w:w="2010" w:type="dxa"/>
            <w:tcBorders>
              <w:tl2br w:val="nil"/>
              <w:tr2bl w:val="nil"/>
            </w:tcBorders>
            <w:vAlign w:val="center"/>
          </w:tcPr>
          <w:p>
            <w:pPr>
              <w:snapToGrid w:val="0"/>
              <w:spacing w:line="240" w:lineRule="auto"/>
              <w:jc w:val="center"/>
              <w:rPr>
                <w:color w:val="auto"/>
                <w:szCs w:val="21"/>
                <w:u w:val="none"/>
              </w:rPr>
            </w:pPr>
            <w:r>
              <w:rPr>
                <w:rFonts w:hint="eastAsia"/>
                <w:color w:val="auto"/>
                <w:szCs w:val="21"/>
                <w:u w:val="none"/>
              </w:rPr>
              <w:t>0.9t/a</w:t>
            </w:r>
          </w:p>
        </w:tc>
        <w:tc>
          <w:tcPr>
            <w:tcW w:w="2688" w:type="dxa"/>
            <w:tcBorders>
              <w:tl2br w:val="nil"/>
              <w:tr2bl w:val="nil"/>
            </w:tcBorders>
            <w:vAlign w:val="center"/>
          </w:tcPr>
          <w:p>
            <w:pPr>
              <w:spacing w:line="240" w:lineRule="auto"/>
              <w:jc w:val="center"/>
              <w:rPr>
                <w:color w:val="auto"/>
                <w:szCs w:val="21"/>
                <w:u w:val="none"/>
              </w:rPr>
            </w:pPr>
            <w:r>
              <w:rPr>
                <w:color w:val="auto"/>
                <w:szCs w:val="21"/>
                <w:u w:val="none"/>
              </w:rPr>
              <w:t>由环卫部门统一处置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1093" w:type="dxa"/>
            <w:vMerge w:val="continue"/>
            <w:tcBorders>
              <w:tl2br w:val="nil"/>
              <w:tr2bl w:val="nil"/>
            </w:tcBorders>
            <w:vAlign w:val="center"/>
          </w:tcPr>
          <w:p>
            <w:pPr>
              <w:spacing w:line="240" w:lineRule="auto"/>
              <w:jc w:val="center"/>
              <w:rPr>
                <w:color w:val="auto"/>
                <w:szCs w:val="21"/>
                <w:u w:val="none"/>
              </w:rPr>
            </w:pPr>
          </w:p>
        </w:tc>
        <w:tc>
          <w:tcPr>
            <w:tcW w:w="888" w:type="dxa"/>
            <w:vMerge w:val="restart"/>
            <w:tcBorders>
              <w:tl2br w:val="nil"/>
              <w:tr2bl w:val="nil"/>
            </w:tcBorders>
            <w:vAlign w:val="center"/>
          </w:tcPr>
          <w:p>
            <w:pPr>
              <w:spacing w:line="240" w:lineRule="auto"/>
              <w:jc w:val="center"/>
              <w:rPr>
                <w:color w:val="auto"/>
                <w:spacing w:val="4"/>
                <w:szCs w:val="21"/>
                <w:u w:val="none"/>
              </w:rPr>
            </w:pPr>
            <w:r>
              <w:rPr>
                <w:rFonts w:hint="eastAsia"/>
                <w:color w:val="auto"/>
                <w:spacing w:val="4"/>
                <w:szCs w:val="21"/>
                <w:u w:val="none"/>
              </w:rPr>
              <w:t>运营期</w:t>
            </w:r>
          </w:p>
        </w:tc>
        <w:tc>
          <w:tcPr>
            <w:tcW w:w="1140" w:type="dxa"/>
            <w:tcBorders>
              <w:tl2br w:val="nil"/>
              <w:tr2bl w:val="nil"/>
            </w:tcBorders>
            <w:vAlign w:val="center"/>
          </w:tcPr>
          <w:p>
            <w:pPr>
              <w:spacing w:line="240" w:lineRule="auto"/>
              <w:jc w:val="center"/>
              <w:rPr>
                <w:color w:val="auto"/>
                <w:spacing w:val="4"/>
                <w:szCs w:val="21"/>
                <w:u w:val="none"/>
              </w:rPr>
            </w:pPr>
            <w:r>
              <w:rPr>
                <w:rFonts w:hint="eastAsia"/>
                <w:color w:val="auto"/>
                <w:spacing w:val="4"/>
                <w:szCs w:val="21"/>
                <w:u w:val="none"/>
              </w:rPr>
              <w:t>格栅井</w:t>
            </w:r>
          </w:p>
        </w:tc>
        <w:tc>
          <w:tcPr>
            <w:tcW w:w="1695" w:type="dxa"/>
            <w:tcBorders>
              <w:tl2br w:val="nil"/>
              <w:tr2bl w:val="nil"/>
            </w:tcBorders>
            <w:vAlign w:val="center"/>
          </w:tcPr>
          <w:p>
            <w:pPr>
              <w:pStyle w:val="39"/>
              <w:spacing w:line="240" w:lineRule="auto"/>
              <w:rPr>
                <w:rFonts w:eastAsia="宋体"/>
                <w:color w:val="auto"/>
                <w:spacing w:val="4"/>
                <w:u w:val="none"/>
              </w:rPr>
            </w:pPr>
            <w:r>
              <w:rPr>
                <w:rFonts w:hint="eastAsia" w:ascii="Times New Roman" w:hAnsi="Times New Roman" w:eastAsia="宋体"/>
                <w:bCs/>
                <w:color w:val="auto"/>
                <w:u w:val="none"/>
              </w:rPr>
              <w:t>栅渣</w:t>
            </w:r>
          </w:p>
        </w:tc>
        <w:tc>
          <w:tcPr>
            <w:tcW w:w="2010" w:type="dxa"/>
            <w:tcBorders>
              <w:tl2br w:val="nil"/>
              <w:tr2bl w:val="nil"/>
            </w:tcBorders>
            <w:vAlign w:val="center"/>
          </w:tcPr>
          <w:p>
            <w:pPr>
              <w:pStyle w:val="39"/>
              <w:spacing w:line="240" w:lineRule="auto"/>
              <w:rPr>
                <w:color w:val="auto"/>
                <w:u w:val="none"/>
              </w:rPr>
            </w:pPr>
            <w:r>
              <w:rPr>
                <w:rFonts w:hint="eastAsia" w:ascii="Times New Roman" w:hAnsi="Times New Roman" w:eastAsia="宋体"/>
                <w:bCs/>
                <w:color w:val="auto"/>
                <w:u w:val="none"/>
                <w:lang w:eastAsia="zh-CN"/>
              </w:rPr>
              <w:t>10.52</w:t>
            </w:r>
            <w:r>
              <w:rPr>
                <w:rFonts w:hint="eastAsia" w:ascii="Times New Roman" w:hAnsi="Times New Roman" w:eastAsia="宋体"/>
                <w:bCs/>
                <w:color w:val="auto"/>
                <w:u w:val="none"/>
              </w:rPr>
              <w:t>t/a</w:t>
            </w:r>
          </w:p>
        </w:tc>
        <w:tc>
          <w:tcPr>
            <w:tcW w:w="2688" w:type="dxa"/>
            <w:tcBorders>
              <w:tl2br w:val="nil"/>
              <w:tr2bl w:val="nil"/>
            </w:tcBorders>
            <w:vAlign w:val="center"/>
          </w:tcPr>
          <w:p>
            <w:pPr>
              <w:pStyle w:val="39"/>
              <w:spacing w:line="240" w:lineRule="auto"/>
              <w:rPr>
                <w:color w:val="auto"/>
                <w:u w:val="none"/>
              </w:rPr>
            </w:pPr>
            <w:r>
              <w:rPr>
                <w:rFonts w:hint="eastAsia" w:ascii="Times New Roman" w:hAnsi="Times New Roman" w:eastAsia="宋体"/>
                <w:bCs/>
                <w:color w:val="auto"/>
                <w:u w:val="none"/>
              </w:rPr>
              <w:t>交由环卫部门处理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1093" w:type="dxa"/>
            <w:vMerge w:val="continue"/>
            <w:tcBorders>
              <w:tl2br w:val="nil"/>
              <w:tr2bl w:val="nil"/>
            </w:tcBorders>
            <w:vAlign w:val="center"/>
          </w:tcPr>
          <w:p>
            <w:pPr>
              <w:spacing w:line="240" w:lineRule="auto"/>
              <w:jc w:val="center"/>
              <w:rPr>
                <w:color w:val="auto"/>
                <w:szCs w:val="21"/>
                <w:u w:val="none"/>
              </w:rPr>
            </w:pPr>
          </w:p>
        </w:tc>
        <w:tc>
          <w:tcPr>
            <w:tcW w:w="888" w:type="dxa"/>
            <w:vMerge w:val="continue"/>
            <w:tcBorders>
              <w:tl2br w:val="nil"/>
              <w:tr2bl w:val="nil"/>
            </w:tcBorders>
            <w:vAlign w:val="center"/>
          </w:tcPr>
          <w:p>
            <w:pPr>
              <w:spacing w:line="240" w:lineRule="auto"/>
              <w:jc w:val="center"/>
              <w:rPr>
                <w:color w:val="auto"/>
                <w:spacing w:val="4"/>
                <w:szCs w:val="21"/>
                <w:u w:val="none"/>
              </w:rPr>
            </w:pPr>
          </w:p>
        </w:tc>
        <w:tc>
          <w:tcPr>
            <w:tcW w:w="1140" w:type="dxa"/>
            <w:tcBorders>
              <w:tl2br w:val="nil"/>
              <w:tr2bl w:val="nil"/>
            </w:tcBorders>
            <w:vAlign w:val="center"/>
          </w:tcPr>
          <w:p>
            <w:pPr>
              <w:spacing w:line="240" w:lineRule="auto"/>
              <w:jc w:val="center"/>
              <w:rPr>
                <w:rFonts w:hint="eastAsia" w:eastAsia="宋体"/>
                <w:color w:val="auto"/>
                <w:spacing w:val="4"/>
                <w:szCs w:val="21"/>
                <w:u w:val="none"/>
                <w:lang w:eastAsia="zh-CN"/>
              </w:rPr>
            </w:pPr>
            <w:r>
              <w:rPr>
                <w:rFonts w:hint="eastAsia"/>
                <w:color w:val="auto"/>
                <w:spacing w:val="4"/>
                <w:szCs w:val="21"/>
                <w:u w:val="none"/>
                <w:lang w:eastAsia="zh-CN"/>
              </w:rPr>
              <w:t>调节池</w:t>
            </w:r>
          </w:p>
        </w:tc>
        <w:tc>
          <w:tcPr>
            <w:tcW w:w="1695" w:type="dxa"/>
            <w:tcBorders>
              <w:tl2br w:val="nil"/>
              <w:tr2bl w:val="nil"/>
            </w:tcBorders>
            <w:vAlign w:val="center"/>
          </w:tcPr>
          <w:p>
            <w:pPr>
              <w:pStyle w:val="39"/>
              <w:spacing w:line="240" w:lineRule="auto"/>
              <w:rPr>
                <w:color w:val="auto"/>
                <w:spacing w:val="4"/>
                <w:u w:val="none"/>
              </w:rPr>
            </w:pPr>
            <w:r>
              <w:rPr>
                <w:rFonts w:hint="eastAsia" w:ascii="Times New Roman" w:hAnsi="Times New Roman" w:eastAsia="宋体"/>
                <w:bCs/>
                <w:color w:val="auto"/>
                <w:u w:val="none"/>
              </w:rPr>
              <w:t>污泥</w:t>
            </w:r>
          </w:p>
        </w:tc>
        <w:tc>
          <w:tcPr>
            <w:tcW w:w="2010" w:type="dxa"/>
            <w:tcBorders>
              <w:tl2br w:val="nil"/>
              <w:tr2bl w:val="nil"/>
            </w:tcBorders>
            <w:vAlign w:val="center"/>
          </w:tcPr>
          <w:p>
            <w:pPr>
              <w:pStyle w:val="39"/>
              <w:spacing w:line="240" w:lineRule="auto"/>
              <w:rPr>
                <w:color w:val="auto"/>
                <w:u w:val="none"/>
              </w:rPr>
            </w:pPr>
            <w:r>
              <w:rPr>
                <w:rFonts w:hint="eastAsia" w:ascii="Times New Roman" w:hAnsi="Times New Roman" w:eastAsia="宋体"/>
                <w:bCs/>
                <w:color w:val="auto"/>
                <w:u w:val="none"/>
                <w:lang w:val="en-US" w:eastAsia="zh-CN"/>
              </w:rPr>
              <w:t>75.19</w:t>
            </w:r>
            <w:r>
              <w:rPr>
                <w:rFonts w:hint="eastAsia" w:ascii="Times New Roman" w:hAnsi="Times New Roman" w:eastAsia="宋体"/>
                <w:bCs/>
                <w:color w:val="auto"/>
                <w:u w:val="none"/>
              </w:rPr>
              <w:t>t/a</w:t>
            </w:r>
          </w:p>
        </w:tc>
        <w:tc>
          <w:tcPr>
            <w:tcW w:w="2688" w:type="dxa"/>
            <w:tcBorders>
              <w:tl2br w:val="nil"/>
              <w:tr2bl w:val="nil"/>
            </w:tcBorders>
            <w:vAlign w:val="center"/>
          </w:tcPr>
          <w:p>
            <w:pPr>
              <w:widowControl/>
              <w:spacing w:line="240" w:lineRule="auto"/>
              <w:jc w:val="both"/>
              <w:rPr>
                <w:rFonts w:hint="eastAsia" w:eastAsia="宋体"/>
                <w:color w:val="auto"/>
                <w:szCs w:val="21"/>
                <w:u w:val="none"/>
                <w:lang w:eastAsia="zh-CN"/>
              </w:rPr>
            </w:pPr>
            <w:r>
              <w:rPr>
                <w:rFonts w:hint="eastAsia"/>
                <w:bCs/>
                <w:color w:val="auto"/>
                <w:szCs w:val="21"/>
                <w:u w:val="none"/>
                <w:lang w:eastAsia="zh-CN"/>
              </w:rPr>
              <w:t>送邵阳市污泥处理中心处理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 w:hRule="atLeast"/>
          <w:jc w:val="center"/>
        </w:trPr>
        <w:tc>
          <w:tcPr>
            <w:tcW w:w="1093" w:type="dxa"/>
            <w:vMerge w:val="continue"/>
            <w:tcBorders>
              <w:tl2br w:val="nil"/>
              <w:tr2bl w:val="nil"/>
            </w:tcBorders>
            <w:vAlign w:val="center"/>
          </w:tcPr>
          <w:p>
            <w:pPr>
              <w:spacing w:line="240" w:lineRule="auto"/>
              <w:jc w:val="center"/>
              <w:rPr>
                <w:color w:val="auto"/>
                <w:szCs w:val="21"/>
                <w:u w:val="none"/>
              </w:rPr>
            </w:pPr>
          </w:p>
        </w:tc>
        <w:tc>
          <w:tcPr>
            <w:tcW w:w="888" w:type="dxa"/>
            <w:vMerge w:val="continue"/>
            <w:tcBorders>
              <w:tl2br w:val="nil"/>
              <w:tr2bl w:val="nil"/>
            </w:tcBorders>
            <w:vAlign w:val="center"/>
          </w:tcPr>
          <w:p>
            <w:pPr>
              <w:spacing w:line="240" w:lineRule="auto"/>
              <w:jc w:val="center"/>
              <w:rPr>
                <w:color w:val="auto"/>
                <w:spacing w:val="4"/>
                <w:szCs w:val="21"/>
                <w:u w:val="none"/>
              </w:rPr>
            </w:pPr>
          </w:p>
        </w:tc>
        <w:tc>
          <w:tcPr>
            <w:tcW w:w="1140" w:type="dxa"/>
            <w:tcBorders>
              <w:tl2br w:val="nil"/>
              <w:tr2bl w:val="nil"/>
            </w:tcBorders>
            <w:vAlign w:val="center"/>
          </w:tcPr>
          <w:p>
            <w:pPr>
              <w:spacing w:line="240" w:lineRule="auto"/>
              <w:jc w:val="center"/>
              <w:rPr>
                <w:color w:val="auto"/>
                <w:spacing w:val="4"/>
                <w:szCs w:val="21"/>
                <w:u w:val="none"/>
              </w:rPr>
            </w:pPr>
            <w:r>
              <w:rPr>
                <w:rFonts w:hint="eastAsia"/>
                <w:color w:val="auto"/>
                <w:spacing w:val="4"/>
                <w:szCs w:val="21"/>
                <w:u w:val="none"/>
              </w:rPr>
              <w:t>厂区</w:t>
            </w:r>
          </w:p>
        </w:tc>
        <w:tc>
          <w:tcPr>
            <w:tcW w:w="1695" w:type="dxa"/>
            <w:tcBorders>
              <w:tl2br w:val="nil"/>
              <w:tr2bl w:val="nil"/>
            </w:tcBorders>
            <w:vAlign w:val="center"/>
          </w:tcPr>
          <w:p>
            <w:pPr>
              <w:pStyle w:val="39"/>
              <w:spacing w:line="240" w:lineRule="auto"/>
              <w:rPr>
                <w:color w:val="auto"/>
                <w:spacing w:val="4"/>
                <w:u w:val="none"/>
              </w:rPr>
            </w:pPr>
            <w:r>
              <w:rPr>
                <w:rFonts w:ascii="Times New Roman" w:hAnsi="Times New Roman" w:eastAsia="宋体"/>
                <w:bCs/>
                <w:color w:val="auto"/>
                <w:u w:val="none"/>
              </w:rPr>
              <w:t>生活垃圾</w:t>
            </w:r>
          </w:p>
        </w:tc>
        <w:tc>
          <w:tcPr>
            <w:tcW w:w="2010" w:type="dxa"/>
            <w:tcBorders>
              <w:tl2br w:val="nil"/>
              <w:tr2bl w:val="nil"/>
            </w:tcBorders>
            <w:vAlign w:val="center"/>
          </w:tcPr>
          <w:p>
            <w:pPr>
              <w:pStyle w:val="39"/>
              <w:spacing w:line="240" w:lineRule="auto"/>
              <w:rPr>
                <w:color w:val="auto"/>
                <w:u w:val="none"/>
              </w:rPr>
            </w:pPr>
            <w:r>
              <w:rPr>
                <w:rFonts w:hint="eastAsia" w:ascii="Times New Roman" w:hAnsi="Times New Roman" w:eastAsia="宋体"/>
                <w:bCs/>
                <w:color w:val="auto"/>
                <w:u w:val="none"/>
              </w:rPr>
              <w:t>1.83t/a</w:t>
            </w:r>
          </w:p>
        </w:tc>
        <w:tc>
          <w:tcPr>
            <w:tcW w:w="2688" w:type="dxa"/>
            <w:tcBorders>
              <w:tl2br w:val="nil"/>
              <w:tr2bl w:val="nil"/>
            </w:tcBorders>
            <w:vAlign w:val="center"/>
          </w:tcPr>
          <w:p>
            <w:pPr>
              <w:pStyle w:val="39"/>
              <w:spacing w:line="240" w:lineRule="auto"/>
              <w:rPr>
                <w:color w:val="auto"/>
                <w:u w:val="none"/>
              </w:rPr>
            </w:pPr>
            <w:r>
              <w:rPr>
                <w:rFonts w:ascii="Times New Roman" w:hAnsi="Times New Roman" w:eastAsia="宋体"/>
                <w:bCs/>
                <w:color w:val="auto"/>
                <w:u w:val="none"/>
              </w:rPr>
              <w:t>由环卫部门收集处理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1093" w:type="dxa"/>
            <w:vMerge w:val="continue"/>
            <w:tcBorders>
              <w:tl2br w:val="nil"/>
              <w:tr2bl w:val="nil"/>
            </w:tcBorders>
            <w:vAlign w:val="center"/>
          </w:tcPr>
          <w:p>
            <w:pPr>
              <w:spacing w:line="240" w:lineRule="auto"/>
              <w:jc w:val="center"/>
              <w:rPr>
                <w:color w:val="auto"/>
                <w:szCs w:val="21"/>
                <w:u w:val="none"/>
              </w:rPr>
            </w:pPr>
          </w:p>
        </w:tc>
        <w:tc>
          <w:tcPr>
            <w:tcW w:w="888" w:type="dxa"/>
            <w:vMerge w:val="continue"/>
            <w:tcBorders>
              <w:tl2br w:val="nil"/>
              <w:tr2bl w:val="nil"/>
            </w:tcBorders>
            <w:vAlign w:val="center"/>
          </w:tcPr>
          <w:p>
            <w:pPr>
              <w:spacing w:line="240" w:lineRule="auto"/>
              <w:jc w:val="center"/>
              <w:rPr>
                <w:color w:val="auto"/>
                <w:spacing w:val="4"/>
                <w:szCs w:val="21"/>
                <w:u w:val="none"/>
              </w:rPr>
            </w:pPr>
          </w:p>
        </w:tc>
        <w:tc>
          <w:tcPr>
            <w:tcW w:w="1140" w:type="dxa"/>
            <w:tcBorders>
              <w:tl2br w:val="nil"/>
              <w:tr2bl w:val="nil"/>
            </w:tcBorders>
            <w:vAlign w:val="center"/>
          </w:tcPr>
          <w:p>
            <w:pPr>
              <w:spacing w:line="240" w:lineRule="auto"/>
              <w:jc w:val="center"/>
              <w:rPr>
                <w:color w:val="auto"/>
                <w:spacing w:val="4"/>
                <w:szCs w:val="21"/>
                <w:u w:val="none"/>
              </w:rPr>
            </w:pPr>
            <w:r>
              <w:rPr>
                <w:rFonts w:hint="eastAsia"/>
                <w:color w:val="auto"/>
                <w:spacing w:val="4"/>
                <w:szCs w:val="21"/>
                <w:u w:val="none"/>
              </w:rPr>
              <w:t>加药间</w:t>
            </w:r>
          </w:p>
        </w:tc>
        <w:tc>
          <w:tcPr>
            <w:tcW w:w="1695" w:type="dxa"/>
            <w:tcBorders>
              <w:tl2br w:val="nil"/>
              <w:tr2bl w:val="nil"/>
            </w:tcBorders>
            <w:vAlign w:val="center"/>
          </w:tcPr>
          <w:p>
            <w:pPr>
              <w:pStyle w:val="39"/>
              <w:spacing w:line="240" w:lineRule="auto"/>
              <w:rPr>
                <w:color w:val="auto"/>
                <w:spacing w:val="4"/>
                <w:u w:val="none"/>
              </w:rPr>
            </w:pPr>
            <w:r>
              <w:rPr>
                <w:rFonts w:hint="eastAsia" w:ascii="Times New Roman" w:hAnsi="Times New Roman" w:eastAsia="宋体"/>
                <w:bCs/>
                <w:color w:val="auto"/>
                <w:u w:val="none"/>
              </w:rPr>
              <w:t>废包装</w:t>
            </w:r>
          </w:p>
        </w:tc>
        <w:tc>
          <w:tcPr>
            <w:tcW w:w="2010" w:type="dxa"/>
            <w:tcBorders>
              <w:tl2br w:val="nil"/>
              <w:tr2bl w:val="nil"/>
            </w:tcBorders>
            <w:vAlign w:val="center"/>
          </w:tcPr>
          <w:p>
            <w:pPr>
              <w:pStyle w:val="39"/>
              <w:spacing w:line="240" w:lineRule="auto"/>
              <w:rPr>
                <w:color w:val="auto"/>
                <w:u w:val="none"/>
              </w:rPr>
            </w:pPr>
            <w:r>
              <w:rPr>
                <w:rFonts w:hint="eastAsia" w:ascii="Times New Roman" w:hAnsi="Times New Roman" w:eastAsia="宋体"/>
                <w:bCs/>
                <w:color w:val="auto"/>
                <w:u w:val="none"/>
              </w:rPr>
              <w:t>0.3t/a</w:t>
            </w:r>
          </w:p>
        </w:tc>
        <w:tc>
          <w:tcPr>
            <w:tcW w:w="2688" w:type="dxa"/>
            <w:tcBorders>
              <w:tl2br w:val="nil"/>
              <w:tr2bl w:val="nil"/>
            </w:tcBorders>
            <w:vAlign w:val="center"/>
          </w:tcPr>
          <w:p>
            <w:pPr>
              <w:pStyle w:val="39"/>
              <w:spacing w:line="240" w:lineRule="auto"/>
              <w:rPr>
                <w:color w:val="auto"/>
                <w:u w:val="none"/>
              </w:rPr>
            </w:pPr>
            <w:r>
              <w:rPr>
                <w:rFonts w:hint="eastAsia" w:ascii="Times New Roman" w:hAnsi="Times New Roman" w:eastAsia="宋体"/>
                <w:bCs/>
                <w:color w:val="auto"/>
                <w:u w:val="none"/>
              </w:rPr>
              <w:t>综合外售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1093" w:type="dxa"/>
            <w:vMerge w:val="continue"/>
            <w:tcBorders>
              <w:tl2br w:val="nil"/>
              <w:tr2bl w:val="nil"/>
            </w:tcBorders>
            <w:vAlign w:val="center"/>
          </w:tcPr>
          <w:p>
            <w:pPr>
              <w:spacing w:line="240" w:lineRule="auto"/>
              <w:jc w:val="center"/>
              <w:rPr>
                <w:color w:val="auto"/>
                <w:szCs w:val="21"/>
                <w:u w:val="none"/>
              </w:rPr>
            </w:pPr>
          </w:p>
        </w:tc>
        <w:tc>
          <w:tcPr>
            <w:tcW w:w="888" w:type="dxa"/>
            <w:vMerge w:val="continue"/>
            <w:tcBorders>
              <w:tl2br w:val="nil"/>
              <w:tr2bl w:val="nil"/>
            </w:tcBorders>
            <w:vAlign w:val="center"/>
          </w:tcPr>
          <w:p>
            <w:pPr>
              <w:spacing w:line="240" w:lineRule="auto"/>
              <w:jc w:val="center"/>
              <w:rPr>
                <w:color w:val="auto"/>
                <w:spacing w:val="4"/>
                <w:szCs w:val="21"/>
                <w:u w:val="none"/>
              </w:rPr>
            </w:pPr>
          </w:p>
        </w:tc>
        <w:tc>
          <w:tcPr>
            <w:tcW w:w="1140" w:type="dxa"/>
            <w:tcBorders>
              <w:tl2br w:val="nil"/>
              <w:tr2bl w:val="nil"/>
            </w:tcBorders>
            <w:vAlign w:val="center"/>
          </w:tcPr>
          <w:p>
            <w:pPr>
              <w:spacing w:line="240" w:lineRule="auto"/>
              <w:jc w:val="center"/>
              <w:rPr>
                <w:rFonts w:hint="eastAsia" w:eastAsia="宋体"/>
                <w:color w:val="auto"/>
                <w:spacing w:val="4"/>
                <w:szCs w:val="21"/>
                <w:u w:val="none"/>
                <w:lang w:eastAsia="zh-CN"/>
              </w:rPr>
            </w:pPr>
            <w:r>
              <w:rPr>
                <w:rFonts w:hint="eastAsia"/>
                <w:color w:val="auto"/>
                <w:spacing w:val="4"/>
                <w:szCs w:val="21"/>
                <w:u w:val="none"/>
                <w:lang w:eastAsia="zh-CN"/>
              </w:rPr>
              <w:t>消毒系统</w:t>
            </w:r>
          </w:p>
        </w:tc>
        <w:tc>
          <w:tcPr>
            <w:tcW w:w="1695" w:type="dxa"/>
            <w:tcBorders>
              <w:tl2br w:val="nil"/>
              <w:tr2bl w:val="nil"/>
            </w:tcBorders>
            <w:vAlign w:val="center"/>
          </w:tcPr>
          <w:p>
            <w:pPr>
              <w:pStyle w:val="39"/>
              <w:spacing w:line="240" w:lineRule="auto"/>
              <w:rPr>
                <w:rFonts w:hint="eastAsia" w:ascii="Times New Roman" w:hAnsi="Times New Roman" w:eastAsia="宋体"/>
                <w:bCs/>
                <w:color w:val="auto"/>
                <w:u w:val="none"/>
              </w:rPr>
            </w:pPr>
            <w:r>
              <w:rPr>
                <w:rFonts w:hint="eastAsia" w:ascii="Times New Roman" w:hAnsi="Times New Roman" w:eastAsia="宋体"/>
                <w:bCs/>
                <w:color w:val="auto"/>
                <w:u w:val="none"/>
                <w:lang w:val="en-US" w:eastAsia="zh-CN"/>
              </w:rPr>
              <w:t>废紫外灯管</w:t>
            </w:r>
          </w:p>
        </w:tc>
        <w:tc>
          <w:tcPr>
            <w:tcW w:w="2010" w:type="dxa"/>
            <w:tcBorders>
              <w:tl2br w:val="nil"/>
              <w:tr2bl w:val="nil"/>
            </w:tcBorders>
            <w:vAlign w:val="center"/>
          </w:tcPr>
          <w:p>
            <w:pPr>
              <w:pStyle w:val="39"/>
              <w:spacing w:line="240" w:lineRule="auto"/>
              <w:rPr>
                <w:rFonts w:hint="default" w:ascii="Times New Roman" w:hAnsi="Times New Roman" w:eastAsia="宋体"/>
                <w:bCs/>
                <w:color w:val="auto"/>
                <w:u w:val="none"/>
                <w:lang w:val="en-US" w:eastAsia="zh-CN"/>
              </w:rPr>
            </w:pPr>
            <w:r>
              <w:rPr>
                <w:rFonts w:hint="eastAsia" w:ascii="Times New Roman" w:hAnsi="Times New Roman" w:eastAsia="宋体"/>
                <w:bCs/>
                <w:color w:val="auto"/>
                <w:u w:val="none"/>
                <w:lang w:val="en-US" w:eastAsia="zh-CN"/>
              </w:rPr>
              <w:t>2.4kg/a</w:t>
            </w:r>
          </w:p>
        </w:tc>
        <w:tc>
          <w:tcPr>
            <w:tcW w:w="2688" w:type="dxa"/>
            <w:tcBorders>
              <w:tl2br w:val="nil"/>
              <w:tr2bl w:val="nil"/>
            </w:tcBorders>
            <w:vAlign w:val="center"/>
          </w:tcPr>
          <w:p>
            <w:pPr>
              <w:pStyle w:val="39"/>
              <w:spacing w:line="240" w:lineRule="auto"/>
              <w:rPr>
                <w:rFonts w:hint="eastAsia" w:ascii="Times New Roman" w:hAnsi="Times New Roman" w:eastAsia="宋体"/>
                <w:bCs/>
                <w:color w:val="auto"/>
                <w:u w:val="none"/>
              </w:rPr>
            </w:pPr>
            <w:r>
              <w:rPr>
                <w:rFonts w:hint="eastAsia" w:ascii="Times New Roman" w:hAnsi="Times New Roman" w:eastAsia="宋体"/>
                <w:bCs/>
                <w:color w:val="auto"/>
                <w:u w:val="none"/>
              </w:rPr>
              <w:t>收集于危废暂存间后交由有资质单位处理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093" w:type="dxa"/>
            <w:vMerge w:val="restart"/>
            <w:tcBorders>
              <w:tl2br w:val="nil"/>
              <w:tr2bl w:val="nil"/>
            </w:tcBorders>
            <w:vAlign w:val="center"/>
          </w:tcPr>
          <w:p>
            <w:pPr>
              <w:spacing w:line="240" w:lineRule="auto"/>
              <w:jc w:val="center"/>
              <w:rPr>
                <w:color w:val="auto"/>
                <w:szCs w:val="21"/>
                <w:u w:val="none"/>
              </w:rPr>
            </w:pPr>
            <w:r>
              <w:rPr>
                <w:color w:val="auto"/>
                <w:szCs w:val="21"/>
                <w:u w:val="none"/>
              </w:rPr>
              <w:t>噪</w:t>
            </w:r>
          </w:p>
          <w:p>
            <w:pPr>
              <w:spacing w:line="240" w:lineRule="auto"/>
              <w:jc w:val="center"/>
              <w:rPr>
                <w:color w:val="auto"/>
                <w:szCs w:val="21"/>
                <w:u w:val="none"/>
              </w:rPr>
            </w:pPr>
            <w:r>
              <w:rPr>
                <w:color w:val="auto"/>
                <w:szCs w:val="21"/>
                <w:u w:val="none"/>
              </w:rPr>
              <w:t>声</w:t>
            </w:r>
          </w:p>
        </w:tc>
        <w:tc>
          <w:tcPr>
            <w:tcW w:w="888" w:type="dxa"/>
            <w:tcBorders>
              <w:tl2br w:val="nil"/>
              <w:tr2bl w:val="nil"/>
            </w:tcBorders>
            <w:vAlign w:val="center"/>
          </w:tcPr>
          <w:p>
            <w:pPr>
              <w:spacing w:line="240" w:lineRule="auto"/>
              <w:jc w:val="center"/>
              <w:rPr>
                <w:color w:val="auto"/>
                <w:szCs w:val="21"/>
                <w:u w:val="none"/>
              </w:rPr>
            </w:pPr>
            <w:r>
              <w:rPr>
                <w:color w:val="auto"/>
                <w:szCs w:val="21"/>
                <w:u w:val="none"/>
              </w:rPr>
              <w:t>施</w:t>
            </w:r>
            <w:r>
              <w:rPr>
                <w:rFonts w:hint="eastAsia"/>
                <w:color w:val="auto"/>
                <w:szCs w:val="21"/>
                <w:u w:val="none"/>
              </w:rPr>
              <w:t>工期</w:t>
            </w:r>
          </w:p>
        </w:tc>
        <w:tc>
          <w:tcPr>
            <w:tcW w:w="1140" w:type="dxa"/>
            <w:tcBorders>
              <w:tl2br w:val="nil"/>
              <w:tr2bl w:val="nil"/>
            </w:tcBorders>
            <w:vAlign w:val="center"/>
          </w:tcPr>
          <w:p>
            <w:pPr>
              <w:spacing w:line="240" w:lineRule="auto"/>
              <w:jc w:val="center"/>
              <w:rPr>
                <w:rFonts w:eastAsiaTheme="minorEastAsia"/>
                <w:color w:val="auto"/>
                <w:szCs w:val="21"/>
                <w:u w:val="none"/>
              </w:rPr>
            </w:pPr>
            <w:r>
              <w:rPr>
                <w:rFonts w:eastAsiaTheme="minorEastAsia"/>
                <w:color w:val="auto"/>
                <w:szCs w:val="21"/>
                <w:u w:val="none"/>
              </w:rPr>
              <w:t>施工机械</w:t>
            </w:r>
          </w:p>
        </w:tc>
        <w:tc>
          <w:tcPr>
            <w:tcW w:w="1695" w:type="dxa"/>
            <w:tcBorders>
              <w:tl2br w:val="nil"/>
              <w:tr2bl w:val="nil"/>
            </w:tcBorders>
            <w:vAlign w:val="center"/>
          </w:tcPr>
          <w:p>
            <w:pPr>
              <w:spacing w:line="240" w:lineRule="auto"/>
              <w:jc w:val="center"/>
              <w:rPr>
                <w:rFonts w:eastAsiaTheme="minorEastAsia"/>
                <w:color w:val="auto"/>
                <w:szCs w:val="21"/>
                <w:u w:val="none"/>
              </w:rPr>
            </w:pPr>
            <w:r>
              <w:rPr>
                <w:rFonts w:eastAsiaTheme="minorEastAsia"/>
                <w:color w:val="auto"/>
                <w:szCs w:val="21"/>
                <w:u w:val="none"/>
              </w:rPr>
              <w:t>机械噪声</w:t>
            </w:r>
          </w:p>
        </w:tc>
        <w:tc>
          <w:tcPr>
            <w:tcW w:w="2010" w:type="dxa"/>
            <w:tcBorders>
              <w:tl2br w:val="nil"/>
              <w:tr2bl w:val="nil"/>
            </w:tcBorders>
            <w:vAlign w:val="center"/>
          </w:tcPr>
          <w:p>
            <w:pPr>
              <w:spacing w:line="240" w:lineRule="auto"/>
              <w:jc w:val="center"/>
              <w:rPr>
                <w:rFonts w:eastAsiaTheme="minorEastAsia"/>
                <w:color w:val="auto"/>
                <w:szCs w:val="21"/>
                <w:u w:val="none"/>
              </w:rPr>
            </w:pPr>
            <w:r>
              <w:rPr>
                <w:rFonts w:eastAsiaTheme="minorEastAsia"/>
                <w:color w:val="auto"/>
                <w:szCs w:val="21"/>
                <w:u w:val="none"/>
              </w:rPr>
              <w:t>7</w:t>
            </w:r>
            <w:r>
              <w:rPr>
                <w:rFonts w:hint="eastAsia" w:eastAsiaTheme="minorEastAsia"/>
                <w:color w:val="auto"/>
                <w:szCs w:val="21"/>
                <w:u w:val="none"/>
              </w:rPr>
              <w:t>0</w:t>
            </w:r>
            <w:r>
              <w:rPr>
                <w:rFonts w:eastAsiaTheme="minorEastAsia"/>
                <w:color w:val="auto"/>
                <w:szCs w:val="21"/>
                <w:u w:val="none"/>
              </w:rPr>
              <w:t>-10</w:t>
            </w:r>
            <w:r>
              <w:rPr>
                <w:rFonts w:hint="eastAsia" w:eastAsiaTheme="minorEastAsia"/>
                <w:color w:val="auto"/>
                <w:szCs w:val="21"/>
                <w:u w:val="none"/>
              </w:rPr>
              <w:t>0</w:t>
            </w:r>
            <w:r>
              <w:rPr>
                <w:rFonts w:eastAsiaTheme="minorEastAsia"/>
                <w:color w:val="auto"/>
                <w:szCs w:val="21"/>
                <w:u w:val="none"/>
              </w:rPr>
              <w:t>dB（A）</w:t>
            </w:r>
          </w:p>
        </w:tc>
        <w:tc>
          <w:tcPr>
            <w:tcW w:w="2688" w:type="dxa"/>
            <w:vMerge w:val="restart"/>
            <w:tcBorders>
              <w:tl2br w:val="nil"/>
              <w:tr2bl w:val="nil"/>
            </w:tcBorders>
            <w:vAlign w:val="center"/>
          </w:tcPr>
          <w:p>
            <w:pPr>
              <w:spacing w:line="240" w:lineRule="auto"/>
              <w:jc w:val="center"/>
              <w:rPr>
                <w:color w:val="auto"/>
                <w:szCs w:val="21"/>
                <w:u w:val="none"/>
              </w:rPr>
            </w:pPr>
            <w:r>
              <w:rPr>
                <w:rFonts w:hint="eastAsia"/>
                <w:color w:val="auto"/>
                <w:szCs w:val="21"/>
                <w:u w:val="none"/>
              </w:rPr>
              <w:t>场界噪声达标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3" w:type="dxa"/>
            <w:vMerge w:val="continue"/>
            <w:tcBorders>
              <w:tl2br w:val="nil"/>
              <w:tr2bl w:val="nil"/>
            </w:tcBorders>
            <w:vAlign w:val="center"/>
          </w:tcPr>
          <w:p>
            <w:pPr>
              <w:spacing w:line="240" w:lineRule="auto"/>
              <w:jc w:val="center"/>
              <w:rPr>
                <w:color w:val="auto"/>
                <w:szCs w:val="21"/>
                <w:u w:val="none"/>
              </w:rPr>
            </w:pPr>
          </w:p>
        </w:tc>
        <w:tc>
          <w:tcPr>
            <w:tcW w:w="888" w:type="dxa"/>
            <w:tcBorders>
              <w:tl2br w:val="nil"/>
              <w:tr2bl w:val="nil"/>
            </w:tcBorders>
            <w:vAlign w:val="center"/>
          </w:tcPr>
          <w:p>
            <w:pPr>
              <w:spacing w:line="240" w:lineRule="auto"/>
              <w:jc w:val="center"/>
              <w:rPr>
                <w:color w:val="auto"/>
                <w:szCs w:val="21"/>
                <w:u w:val="none"/>
              </w:rPr>
            </w:pPr>
            <w:r>
              <w:rPr>
                <w:rFonts w:hint="eastAsia"/>
                <w:color w:val="auto"/>
                <w:szCs w:val="21"/>
                <w:u w:val="none"/>
              </w:rPr>
              <w:t>运营期</w:t>
            </w:r>
          </w:p>
        </w:tc>
        <w:tc>
          <w:tcPr>
            <w:tcW w:w="1140" w:type="dxa"/>
            <w:tcBorders>
              <w:tl2br w:val="nil"/>
              <w:tr2bl w:val="nil"/>
            </w:tcBorders>
            <w:vAlign w:val="center"/>
          </w:tcPr>
          <w:p>
            <w:pPr>
              <w:spacing w:line="240" w:lineRule="auto"/>
              <w:jc w:val="center"/>
              <w:rPr>
                <w:color w:val="auto"/>
                <w:szCs w:val="21"/>
                <w:u w:val="none"/>
              </w:rPr>
            </w:pPr>
            <w:r>
              <w:rPr>
                <w:rFonts w:hint="eastAsia"/>
                <w:color w:val="auto"/>
                <w:szCs w:val="21"/>
                <w:u w:val="none"/>
              </w:rPr>
              <w:t>污水处理设备</w:t>
            </w:r>
          </w:p>
        </w:tc>
        <w:tc>
          <w:tcPr>
            <w:tcW w:w="1695" w:type="dxa"/>
            <w:tcBorders>
              <w:tl2br w:val="nil"/>
              <w:tr2bl w:val="nil"/>
            </w:tcBorders>
            <w:vAlign w:val="center"/>
          </w:tcPr>
          <w:p>
            <w:pPr>
              <w:spacing w:line="240" w:lineRule="auto"/>
              <w:jc w:val="center"/>
              <w:rPr>
                <w:color w:val="auto"/>
                <w:szCs w:val="21"/>
                <w:u w:val="none"/>
              </w:rPr>
            </w:pPr>
            <w:r>
              <w:rPr>
                <w:rFonts w:hint="eastAsia"/>
                <w:color w:val="auto"/>
                <w:szCs w:val="21"/>
                <w:u w:val="none"/>
              </w:rPr>
              <w:t>机械噪声</w:t>
            </w:r>
          </w:p>
        </w:tc>
        <w:tc>
          <w:tcPr>
            <w:tcW w:w="2010" w:type="dxa"/>
            <w:tcBorders>
              <w:tl2br w:val="nil"/>
              <w:tr2bl w:val="nil"/>
            </w:tcBorders>
            <w:vAlign w:val="center"/>
          </w:tcPr>
          <w:p>
            <w:pPr>
              <w:spacing w:line="240" w:lineRule="auto"/>
              <w:jc w:val="center"/>
              <w:rPr>
                <w:color w:val="auto"/>
                <w:szCs w:val="21"/>
                <w:u w:val="none"/>
              </w:rPr>
            </w:pPr>
            <w:r>
              <w:rPr>
                <w:rFonts w:hint="eastAsia"/>
                <w:color w:val="auto"/>
                <w:szCs w:val="21"/>
                <w:u w:val="none"/>
              </w:rPr>
              <w:t>70</w:t>
            </w:r>
            <w:r>
              <w:rPr>
                <w:color w:val="auto"/>
                <w:szCs w:val="21"/>
                <w:u w:val="none"/>
              </w:rPr>
              <w:t>~8</w:t>
            </w:r>
            <w:r>
              <w:rPr>
                <w:rFonts w:hint="eastAsia"/>
                <w:color w:val="auto"/>
                <w:szCs w:val="21"/>
                <w:u w:val="none"/>
              </w:rPr>
              <w:t>5</w:t>
            </w:r>
            <w:r>
              <w:rPr>
                <w:color w:val="auto"/>
                <w:szCs w:val="21"/>
                <w:u w:val="none"/>
              </w:rPr>
              <w:t>dB（A）</w:t>
            </w:r>
          </w:p>
        </w:tc>
        <w:tc>
          <w:tcPr>
            <w:tcW w:w="2688" w:type="dxa"/>
            <w:vMerge w:val="continue"/>
            <w:tcBorders>
              <w:tl2br w:val="nil"/>
              <w:tr2bl w:val="nil"/>
            </w:tcBorders>
            <w:vAlign w:val="center"/>
          </w:tcPr>
          <w:p>
            <w:pPr>
              <w:spacing w:line="240" w:lineRule="auto"/>
              <w:jc w:val="center"/>
              <w:rPr>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9514" w:type="dxa"/>
            <w:gridSpan w:val="6"/>
            <w:tcBorders>
              <w:tl2br w:val="nil"/>
              <w:tr2bl w:val="nil"/>
            </w:tcBorders>
          </w:tcPr>
          <w:p>
            <w:pPr>
              <w:spacing w:line="240" w:lineRule="auto"/>
              <w:rPr>
                <w:rFonts w:ascii="宋体" w:hAnsi="宋体"/>
                <w:b/>
                <w:bCs/>
                <w:color w:val="auto"/>
                <w:sz w:val="24"/>
                <w:u w:val="none"/>
              </w:rPr>
            </w:pPr>
            <w:r>
              <w:rPr>
                <w:rFonts w:hint="eastAsia" w:ascii="宋体" w:hAnsi="宋体"/>
                <w:b/>
                <w:bCs/>
                <w:color w:val="auto"/>
                <w:sz w:val="24"/>
                <w:u w:val="none"/>
              </w:rPr>
              <w:t>主要生态影响：</w:t>
            </w:r>
          </w:p>
          <w:p>
            <w:pPr>
              <w:adjustRightInd w:val="0"/>
              <w:snapToGrid w:val="0"/>
              <w:spacing w:line="240" w:lineRule="auto"/>
              <w:ind w:firstLine="402" w:firstLineChars="200"/>
              <w:rPr>
                <w:color w:val="auto"/>
                <w:u w:val="none"/>
              </w:rPr>
            </w:pPr>
            <w:r>
              <w:rPr>
                <w:color w:val="auto"/>
                <w:sz w:val="21"/>
                <w:szCs w:val="21"/>
                <w:u w:val="none"/>
              </w:rPr>
              <w:t>项目建设</w:t>
            </w:r>
            <w:r>
              <w:rPr>
                <w:rFonts w:hint="eastAsia"/>
                <w:color w:val="auto"/>
                <w:sz w:val="21"/>
                <w:szCs w:val="21"/>
                <w:u w:val="none"/>
                <w:lang w:eastAsia="zh-CN"/>
              </w:rPr>
              <w:t>（污水处理厂建设和管道建设）</w:t>
            </w:r>
            <w:r>
              <w:rPr>
                <w:color w:val="auto"/>
                <w:sz w:val="21"/>
                <w:szCs w:val="21"/>
                <w:u w:val="none"/>
              </w:rPr>
              <w:t>土地占用后，导致土地使用功能的彻底改变，不可避免对周围生态境产生一定的影响，施工过程中应对表层土采取措施堆存后进行绿化，并在施工后期积极组织对厂区进行合理绿化，促进环境的恢复。</w:t>
            </w:r>
          </w:p>
        </w:tc>
      </w:tr>
    </w:tbl>
    <w:p>
      <w:pPr>
        <w:snapToGrid w:val="0"/>
        <w:outlineLvl w:val="0"/>
        <w:rPr>
          <w:rFonts w:eastAsia="黑体"/>
          <w:sz w:val="32"/>
        </w:rPr>
      </w:pPr>
      <w:r>
        <w:rPr>
          <w:rFonts w:ascii="宋体" w:hAnsi="宋体"/>
          <w:sz w:val="24"/>
          <w:szCs w:val="24"/>
        </w:rPr>
        <w:br w:type="page"/>
      </w:r>
      <w:bookmarkStart w:id="9" w:name="_Toc27350"/>
      <w:r>
        <w:rPr>
          <w:rFonts w:hint="eastAsia" w:ascii="黑体" w:hAnsi="黑体" w:eastAsia="黑体"/>
          <w:sz w:val="32"/>
          <w:szCs w:val="32"/>
        </w:rPr>
        <w:t>七、环</w:t>
      </w:r>
      <w:r>
        <w:rPr>
          <w:rFonts w:ascii="黑体" w:hAnsi="黑体" w:eastAsia="黑体"/>
          <w:sz w:val="32"/>
          <w:szCs w:val="32"/>
        </w:rPr>
        <w:t>境影响分析</w:t>
      </w:r>
      <w:bookmarkEnd w:id="9"/>
    </w:p>
    <w:tbl>
      <w:tblPr>
        <w:tblStyle w:val="27"/>
        <w:tblW w:w="932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322"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bCs/>
                <w:color w:val="auto"/>
                <w:kern w:val="24"/>
                <w:sz w:val="28"/>
                <w:szCs w:val="28"/>
              </w:rPr>
            </w:pPr>
            <w:r>
              <w:rPr>
                <w:rFonts w:hint="eastAsia"/>
                <w:b/>
                <w:bCs/>
                <w:color w:val="auto"/>
                <w:kern w:val="24"/>
                <w:sz w:val="28"/>
                <w:szCs w:val="28"/>
              </w:rPr>
              <w:t>7.1施工期环境影响分析：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本项目施工期为</w:t>
            </w:r>
            <w:r>
              <w:rPr>
                <w:rFonts w:hint="eastAsia"/>
                <w:color w:val="auto"/>
                <w:sz w:val="24"/>
                <w:szCs w:val="24"/>
                <w:lang w:val="en-US" w:eastAsia="zh-CN"/>
              </w:rPr>
              <w:t>4</w:t>
            </w:r>
            <w:r>
              <w:rPr>
                <w:color w:val="auto"/>
                <w:sz w:val="24"/>
                <w:szCs w:val="24"/>
              </w:rPr>
              <w:t>个月</w:t>
            </w:r>
            <w:r>
              <w:rPr>
                <w:rFonts w:hint="eastAsia"/>
                <w:color w:val="auto"/>
                <w:sz w:val="24"/>
                <w:szCs w:val="24"/>
              </w:rPr>
              <w:t>，</w:t>
            </w:r>
            <w:r>
              <w:rPr>
                <w:color w:val="auto"/>
                <w:sz w:val="24"/>
                <w:szCs w:val="24"/>
              </w:rPr>
              <w:t>施工建设期间会对周围环境产生一定的影响，主要是建筑机械的扬尘、施工废水、施工噪声，其次是建筑垃圾、施工人员排放的</w:t>
            </w:r>
            <w:r>
              <w:rPr>
                <w:rFonts w:hint="eastAsia"/>
                <w:color w:val="auto"/>
                <w:sz w:val="24"/>
                <w:szCs w:val="24"/>
              </w:rPr>
              <w:t>生活污水</w:t>
            </w:r>
            <w:r>
              <w:rPr>
                <w:color w:val="auto"/>
                <w:sz w:val="24"/>
                <w:szCs w:val="24"/>
              </w:rPr>
              <w:t>和生活垃圾。</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b/>
                <w:bCs/>
                <w:color w:val="auto"/>
                <w:kern w:val="24"/>
                <w:sz w:val="24"/>
                <w:szCs w:val="22"/>
              </w:rPr>
            </w:pPr>
            <w:r>
              <w:rPr>
                <w:rFonts w:hint="eastAsia"/>
                <w:b/>
                <w:bCs/>
                <w:color w:val="auto"/>
                <w:kern w:val="24"/>
                <w:sz w:val="24"/>
                <w:szCs w:val="22"/>
              </w:rPr>
              <w:t>7.1.1</w:t>
            </w:r>
            <w:r>
              <w:rPr>
                <w:b/>
                <w:bCs/>
                <w:color w:val="auto"/>
                <w:kern w:val="24"/>
                <w:sz w:val="24"/>
                <w:szCs w:val="22"/>
              </w:rPr>
              <w:t>环境空气影响分析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rPr>
            </w:pPr>
            <w:r>
              <w:rPr>
                <w:color w:val="auto"/>
                <w:sz w:val="24"/>
                <w:szCs w:val="24"/>
                <w:u w:val="none"/>
              </w:rPr>
              <w:t>在施工阶段对环境空气的污染主要来自</w:t>
            </w:r>
            <w:r>
              <w:rPr>
                <w:rFonts w:hint="eastAsia"/>
                <w:color w:val="auto"/>
                <w:sz w:val="24"/>
                <w:szCs w:val="24"/>
                <w:u w:val="none"/>
              </w:rPr>
              <w:t>厂区</w:t>
            </w:r>
            <w:r>
              <w:rPr>
                <w:color w:val="auto"/>
                <w:sz w:val="24"/>
                <w:szCs w:val="24"/>
                <w:u w:val="none"/>
              </w:rPr>
              <w:t>施工工地扬尘、施工车辆尾气、装修废气</w:t>
            </w:r>
            <w:r>
              <w:rPr>
                <w:rFonts w:hint="eastAsia"/>
                <w:color w:val="auto"/>
                <w:sz w:val="24"/>
                <w:szCs w:val="24"/>
                <w:u w:val="none"/>
              </w:rPr>
              <w:t>等，管网工程施工对周边空气的影响主要是施工扬尘，</w:t>
            </w:r>
            <w:r>
              <w:rPr>
                <w:color w:val="auto"/>
                <w:sz w:val="24"/>
                <w:szCs w:val="24"/>
                <w:u w:val="none"/>
              </w:rPr>
              <w:t>施工扬尘可分为车辆行驶扬尘、堆场扬尘和搅拌扬尘。</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（1）</w:t>
            </w:r>
            <w:r>
              <w:rPr>
                <w:rFonts w:hint="eastAsia"/>
                <w:color w:val="auto"/>
                <w:sz w:val="24"/>
                <w:szCs w:val="24"/>
              </w:rPr>
              <w:t>施工</w:t>
            </w:r>
            <w:r>
              <w:rPr>
                <w:color w:val="auto"/>
                <w:sz w:val="24"/>
                <w:szCs w:val="24"/>
              </w:rPr>
              <w:t>扬尘</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车辆行驶产生的扬尘，在完全干燥情况下，可按下列经验公式计算：</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Q=0.0079×V×W0.85×P0.72</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式中：Q——汽车行驶的扬尘，kg/km·辆；</w:t>
            </w:r>
          </w:p>
          <w:p>
            <w:pPr>
              <w:keepNext w:val="0"/>
              <w:keepLines w:val="0"/>
              <w:pageBreakBefore w:val="0"/>
              <w:widowControl w:val="0"/>
              <w:kinsoku/>
              <w:wordWrap/>
              <w:overflowPunct/>
              <w:topLinePunct w:val="0"/>
              <w:autoSpaceDE/>
              <w:autoSpaceDN/>
              <w:bidi w:val="0"/>
              <w:adjustRightInd w:val="0"/>
              <w:snapToGrid w:val="0"/>
              <w:spacing w:line="360" w:lineRule="auto"/>
              <w:ind w:firstLine="693" w:firstLineChars="300"/>
              <w:textAlignment w:val="auto"/>
              <w:rPr>
                <w:color w:val="auto"/>
                <w:sz w:val="24"/>
                <w:szCs w:val="24"/>
              </w:rPr>
            </w:pPr>
            <w:r>
              <w:rPr>
                <w:color w:val="auto"/>
                <w:sz w:val="24"/>
                <w:szCs w:val="24"/>
              </w:rPr>
              <w:t xml:space="preserve">    V——汽车速度，km/hr；</w:t>
            </w:r>
          </w:p>
          <w:p>
            <w:pPr>
              <w:keepNext w:val="0"/>
              <w:keepLines w:val="0"/>
              <w:pageBreakBefore w:val="0"/>
              <w:widowControl w:val="0"/>
              <w:kinsoku/>
              <w:wordWrap/>
              <w:overflowPunct/>
              <w:topLinePunct w:val="0"/>
              <w:autoSpaceDE/>
              <w:autoSpaceDN/>
              <w:bidi w:val="0"/>
              <w:adjustRightInd w:val="0"/>
              <w:snapToGrid w:val="0"/>
              <w:spacing w:line="360" w:lineRule="auto"/>
              <w:ind w:firstLine="693" w:firstLineChars="300"/>
              <w:textAlignment w:val="auto"/>
              <w:rPr>
                <w:color w:val="auto"/>
                <w:sz w:val="24"/>
                <w:szCs w:val="24"/>
              </w:rPr>
            </w:pPr>
            <w:r>
              <w:rPr>
                <w:color w:val="auto"/>
                <w:sz w:val="24"/>
                <w:szCs w:val="24"/>
              </w:rPr>
              <w:t xml:space="preserve">    W——汽车载重量，t；</w:t>
            </w:r>
          </w:p>
          <w:p>
            <w:pPr>
              <w:keepNext w:val="0"/>
              <w:keepLines w:val="0"/>
              <w:pageBreakBefore w:val="0"/>
              <w:widowControl w:val="0"/>
              <w:kinsoku/>
              <w:wordWrap/>
              <w:overflowPunct/>
              <w:topLinePunct w:val="0"/>
              <w:autoSpaceDE/>
              <w:autoSpaceDN/>
              <w:bidi w:val="0"/>
              <w:adjustRightInd w:val="0"/>
              <w:snapToGrid w:val="0"/>
              <w:spacing w:line="360" w:lineRule="auto"/>
              <w:ind w:firstLine="1155" w:firstLineChars="500"/>
              <w:textAlignment w:val="auto"/>
              <w:rPr>
                <w:color w:val="auto"/>
                <w:sz w:val="24"/>
                <w:szCs w:val="24"/>
              </w:rPr>
            </w:pPr>
            <w:r>
              <w:rPr>
                <w:color w:val="auto"/>
                <w:sz w:val="24"/>
                <w:szCs w:val="24"/>
              </w:rPr>
              <w:t>P——道路表面粉尘量，kg/m</w:t>
            </w:r>
            <w:r>
              <w:rPr>
                <w:color w:val="auto"/>
                <w:sz w:val="24"/>
                <w:szCs w:val="24"/>
                <w:vertAlign w:val="superscript"/>
              </w:rPr>
              <w:t>2</w:t>
            </w:r>
            <w:r>
              <w:rPr>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下表为一辆10t卡车，通过一段长度为1km的路面时，不同路面清洁程度、不同行驶速度情况下的扬尘量。由此可见，在同样路面清洁程度条件下，车速越快，扬尘量越大；而在同样车速情况下，路面越脏，则扬尘量越大。因此限制车辆行驶速度及保持路面的清洁是减少汽车扬尘的最有效手段。</w:t>
            </w:r>
          </w:p>
          <w:p>
            <w:pPr>
              <w:jc w:val="center"/>
              <w:rPr>
                <w:b/>
                <w:bCs/>
                <w:color w:val="auto"/>
                <w:szCs w:val="21"/>
              </w:rPr>
            </w:pPr>
            <w:r>
              <w:rPr>
                <w:b/>
                <w:bCs/>
                <w:color w:val="auto"/>
                <w:szCs w:val="21"/>
              </w:rPr>
              <w:t>表7-1</w:t>
            </w:r>
            <w:r>
              <w:rPr>
                <w:rFonts w:hint="eastAsia"/>
                <w:b/>
                <w:bCs/>
                <w:color w:val="auto"/>
                <w:szCs w:val="21"/>
              </w:rPr>
              <w:t xml:space="preserve">   </w:t>
            </w:r>
            <w:r>
              <w:rPr>
                <w:b/>
                <w:bCs/>
                <w:color w:val="auto"/>
                <w:szCs w:val="21"/>
              </w:rPr>
              <w:t>不同路面清洁程度、不同行驶速度情况下的扬尘量统计表</w:t>
            </w:r>
          </w:p>
          <w:tbl>
            <w:tblPr>
              <w:tblStyle w:val="27"/>
              <w:tblW w:w="90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146"/>
              <w:gridCol w:w="1273"/>
              <w:gridCol w:w="1350"/>
              <w:gridCol w:w="1253"/>
              <w:gridCol w:w="1273"/>
              <w:gridCol w:w="12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tcBorders>
                    <w:tl2br w:val="nil"/>
                    <w:tr2bl w:val="nil"/>
                  </w:tcBorders>
                </w:tcPr>
                <w:p>
                  <w:pPr>
                    <w:autoSpaceDN w:val="0"/>
                    <w:adjustRightInd w:val="0"/>
                    <w:snapToGrid w:val="0"/>
                    <w:jc w:val="right"/>
                    <w:rPr>
                      <w:color w:val="auto"/>
                    </w:rPr>
                  </w:pPr>
                  <w:r>
                    <w:rPr>
                      <w:color w:val="auto"/>
                    </w:rPr>
                    <w:pict>
                      <v:line id="直线 67" o:spid="_x0000_s2127" o:spt="20" style="position:absolute;left:0pt;margin-left:-5.25pt;margin-top:1.25pt;height:30.85pt;width:73.1pt;z-index:251653120;mso-width-relative:page;mso-height-relative:page;" coordsize="21600,21600" o:gfxdata="UEsDBAoAAAAAAIdO4kAAAAAAAAAAAAAAAAAEAAAAZHJzL1BLAwQUAAAACACHTuJAJRBahtcAAAAI&#10;AQAADwAAAGRycy9kb3ducmV2LnhtbE2PvU7DQBCEeyTe4bRINFFyZ4cEZLxOAbijIRCl3diLbeHb&#10;c3yXH3h6LhVUo9WMZr7NV2fbqyOPvnOCkMwMKJbK1Z00CB/v5fQBlA8kNfVOGOGbPayK66ucstqd&#10;5I2P69CoWCI+I4Q2hCHT2lctW/IzN7BE79ONlkI8x0bXI51iue11asxSW+okLrQ08FPL1df6YBF8&#10;ueF9+TOpJmY7bxyn++fXF0K8vUnMI6jA5/AXhgt+RIciMu3cQWqveoRpYhYxipBGufjzxT2oHcLy&#10;LgVd5Pr/A8UvUEsDBBQAAAAIAIdO4kC8W5bM1wEAAKEDAAAOAAAAZHJzL2Uyb0RvYy54bWytU0uO&#10;EzEQ3SNxB8t70kmGJJNWOrOYMGwQRBo4QMV2d1vyTy5POjkL12DFhuPMNSg7IQwzG4TIwim7nl/X&#10;e/16dXOwhu1VRO1dwyejMWfKCS+16xr+5fPdm2vOMIGTYLxTDT8q5Dfr169WQ6jV1PfeSBUZkTis&#10;h9DwPqVQVxWKXlnAkQ/KUbP10UKibewqGWEgdmuq6Xg8rwYfZYheKEQ63ZyafF3421aJ9KltUSVm&#10;Gk6zpbLGsu7yWq1XUHcRQq/FeQz4hyksaEcPvVBtIAF7iPoFldUievRtGglvK9+2WqiigdRMxs/U&#10;3PcQVNFC5mC42IT/j1Z83G8j07Lhb+ecObD0jh6/fnv8/oPNF9mdIWBNoFu3jecdhm3MUg9ttPmf&#10;RLBDcfR4cVQdEhN0uJxeXy3Id0Gtq+VksZxlzur35RAxvVfeslw03GiXBUMN+w+YTtBfkHxsHBuI&#10;dTadESdQXloDiUobSAG6rtxFb7S808bkGxi73a2JbA85AeV3HuEPWH7IBrA/4Uorw6DuFch3TrJ0&#10;DGSNoxDzPIJVkjOjKPO5KsgE2vwNktQbl6lVyedZZ/b55Gyudl4e6b08hKi7nnyZlJlzh3JQDDxn&#10;Ngft6Z7qp1/W+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lEFqG1wAAAAgBAAAPAAAAAAAAAAEA&#10;IAAAACIAAABkcnMvZG93bnJldi54bWxQSwECFAAUAAAACACHTuJAvFuWzNcBAAChAwAADgAAAAAA&#10;AAABACAAAAAmAQAAZHJzL2Uyb0RvYy54bWxQSwUGAAAAAAYABgBZAQAAbwUAAAAA&#10;">
                        <v:path arrowok="t"/>
                        <v:fill focussize="0,0"/>
                        <v:stroke/>
                        <v:imagedata o:title=""/>
                        <o:lock v:ext="edit"/>
                      </v:line>
                    </w:pict>
                  </w:r>
                  <w:r>
                    <w:rPr>
                      <w:color w:val="auto"/>
                    </w:rPr>
                    <w:t>粉尘量</w:t>
                  </w:r>
                </w:p>
                <w:p>
                  <w:pPr>
                    <w:autoSpaceDN w:val="0"/>
                    <w:adjustRightInd w:val="0"/>
                    <w:snapToGrid w:val="0"/>
                    <w:jc w:val="left"/>
                    <w:rPr>
                      <w:color w:val="auto"/>
                    </w:rPr>
                  </w:pPr>
                  <w:r>
                    <w:rPr>
                      <w:color w:val="auto"/>
                    </w:rPr>
                    <w:t>车速</w:t>
                  </w:r>
                </w:p>
              </w:tc>
              <w:tc>
                <w:tcPr>
                  <w:tcW w:w="1146" w:type="dxa"/>
                  <w:tcBorders>
                    <w:tl2br w:val="nil"/>
                    <w:tr2bl w:val="nil"/>
                  </w:tcBorders>
                </w:tcPr>
                <w:p>
                  <w:pPr>
                    <w:jc w:val="center"/>
                    <w:rPr>
                      <w:color w:val="auto"/>
                    </w:rPr>
                  </w:pPr>
                  <w:r>
                    <w:rPr>
                      <w:color w:val="auto"/>
                    </w:rPr>
                    <w:t>0.1</w:t>
                  </w:r>
                </w:p>
                <w:p>
                  <w:pPr>
                    <w:jc w:val="center"/>
                    <w:rPr>
                      <w:color w:val="auto"/>
                    </w:rPr>
                  </w:pPr>
                  <w:r>
                    <w:rPr>
                      <w:color w:val="auto"/>
                    </w:rPr>
                    <w:t>(kg/m</w:t>
                  </w:r>
                  <w:r>
                    <w:rPr>
                      <w:color w:val="auto"/>
                      <w:vertAlign w:val="superscript"/>
                    </w:rPr>
                    <w:t>2</w:t>
                  </w:r>
                  <w:r>
                    <w:rPr>
                      <w:color w:val="auto"/>
                    </w:rPr>
                    <w:t>)</w:t>
                  </w:r>
                </w:p>
              </w:tc>
              <w:tc>
                <w:tcPr>
                  <w:tcW w:w="1273" w:type="dxa"/>
                  <w:tcBorders>
                    <w:tl2br w:val="nil"/>
                    <w:tr2bl w:val="nil"/>
                  </w:tcBorders>
                </w:tcPr>
                <w:p>
                  <w:pPr>
                    <w:jc w:val="center"/>
                    <w:rPr>
                      <w:color w:val="auto"/>
                    </w:rPr>
                  </w:pPr>
                  <w:r>
                    <w:rPr>
                      <w:color w:val="auto"/>
                    </w:rPr>
                    <w:t>0.2</w:t>
                  </w:r>
                </w:p>
                <w:p>
                  <w:pPr>
                    <w:jc w:val="center"/>
                    <w:rPr>
                      <w:color w:val="auto"/>
                    </w:rPr>
                  </w:pPr>
                  <w:r>
                    <w:rPr>
                      <w:color w:val="auto"/>
                    </w:rPr>
                    <w:t>(kg/m</w:t>
                  </w:r>
                  <w:r>
                    <w:rPr>
                      <w:color w:val="auto"/>
                      <w:vertAlign w:val="superscript"/>
                    </w:rPr>
                    <w:t>2</w:t>
                  </w:r>
                  <w:r>
                    <w:rPr>
                      <w:color w:val="auto"/>
                    </w:rPr>
                    <w:t>)</w:t>
                  </w:r>
                </w:p>
              </w:tc>
              <w:tc>
                <w:tcPr>
                  <w:tcW w:w="1350" w:type="dxa"/>
                  <w:tcBorders>
                    <w:tl2br w:val="nil"/>
                    <w:tr2bl w:val="nil"/>
                  </w:tcBorders>
                </w:tcPr>
                <w:p>
                  <w:pPr>
                    <w:jc w:val="center"/>
                    <w:rPr>
                      <w:color w:val="auto"/>
                    </w:rPr>
                  </w:pPr>
                  <w:r>
                    <w:rPr>
                      <w:color w:val="auto"/>
                    </w:rPr>
                    <w:t>0.3</w:t>
                  </w:r>
                </w:p>
                <w:p>
                  <w:pPr>
                    <w:jc w:val="center"/>
                    <w:rPr>
                      <w:color w:val="auto"/>
                    </w:rPr>
                  </w:pPr>
                  <w:r>
                    <w:rPr>
                      <w:color w:val="auto"/>
                    </w:rPr>
                    <w:t>(kg/m</w:t>
                  </w:r>
                  <w:r>
                    <w:rPr>
                      <w:color w:val="auto"/>
                      <w:vertAlign w:val="superscript"/>
                    </w:rPr>
                    <w:t>2</w:t>
                  </w:r>
                  <w:r>
                    <w:rPr>
                      <w:color w:val="auto"/>
                    </w:rPr>
                    <w:t>)</w:t>
                  </w:r>
                </w:p>
              </w:tc>
              <w:tc>
                <w:tcPr>
                  <w:tcW w:w="1253" w:type="dxa"/>
                  <w:tcBorders>
                    <w:tl2br w:val="nil"/>
                    <w:tr2bl w:val="nil"/>
                  </w:tcBorders>
                </w:tcPr>
                <w:p>
                  <w:pPr>
                    <w:jc w:val="center"/>
                    <w:rPr>
                      <w:color w:val="auto"/>
                    </w:rPr>
                  </w:pPr>
                  <w:r>
                    <w:rPr>
                      <w:color w:val="auto"/>
                    </w:rPr>
                    <w:t>0.4</w:t>
                  </w:r>
                </w:p>
                <w:p>
                  <w:pPr>
                    <w:jc w:val="center"/>
                    <w:rPr>
                      <w:color w:val="auto"/>
                    </w:rPr>
                  </w:pPr>
                  <w:r>
                    <w:rPr>
                      <w:color w:val="auto"/>
                    </w:rPr>
                    <w:t>(kg/m</w:t>
                  </w:r>
                  <w:r>
                    <w:rPr>
                      <w:color w:val="auto"/>
                      <w:vertAlign w:val="superscript"/>
                    </w:rPr>
                    <w:t>2</w:t>
                  </w:r>
                  <w:r>
                    <w:rPr>
                      <w:color w:val="auto"/>
                    </w:rPr>
                    <w:t>)</w:t>
                  </w:r>
                </w:p>
              </w:tc>
              <w:tc>
                <w:tcPr>
                  <w:tcW w:w="1273" w:type="dxa"/>
                  <w:tcBorders>
                    <w:tl2br w:val="nil"/>
                    <w:tr2bl w:val="nil"/>
                  </w:tcBorders>
                </w:tcPr>
                <w:p>
                  <w:pPr>
                    <w:jc w:val="center"/>
                    <w:rPr>
                      <w:color w:val="auto"/>
                    </w:rPr>
                  </w:pPr>
                  <w:r>
                    <w:rPr>
                      <w:color w:val="auto"/>
                    </w:rPr>
                    <w:t>0.5</w:t>
                  </w:r>
                </w:p>
                <w:p>
                  <w:pPr>
                    <w:jc w:val="center"/>
                    <w:rPr>
                      <w:color w:val="auto"/>
                    </w:rPr>
                  </w:pPr>
                  <w:r>
                    <w:rPr>
                      <w:color w:val="auto"/>
                    </w:rPr>
                    <w:t>(kg/m</w:t>
                  </w:r>
                  <w:r>
                    <w:rPr>
                      <w:color w:val="auto"/>
                      <w:vertAlign w:val="superscript"/>
                    </w:rPr>
                    <w:t>2</w:t>
                  </w:r>
                  <w:r>
                    <w:rPr>
                      <w:color w:val="auto"/>
                    </w:rPr>
                    <w:t>)</w:t>
                  </w:r>
                </w:p>
              </w:tc>
              <w:tc>
                <w:tcPr>
                  <w:tcW w:w="1283" w:type="dxa"/>
                  <w:tcBorders>
                    <w:tl2br w:val="nil"/>
                    <w:tr2bl w:val="nil"/>
                  </w:tcBorders>
                </w:tcPr>
                <w:p>
                  <w:pPr>
                    <w:jc w:val="center"/>
                    <w:rPr>
                      <w:color w:val="auto"/>
                    </w:rPr>
                  </w:pPr>
                  <w:r>
                    <w:rPr>
                      <w:color w:val="auto"/>
                    </w:rPr>
                    <w:t>1.0</w:t>
                  </w:r>
                </w:p>
                <w:p>
                  <w:pPr>
                    <w:jc w:val="center"/>
                    <w:rPr>
                      <w:color w:val="auto"/>
                    </w:rPr>
                  </w:pPr>
                  <w:r>
                    <w:rPr>
                      <w:color w:val="auto"/>
                    </w:rPr>
                    <w:t>(kg/m</w:t>
                  </w:r>
                  <w:r>
                    <w:rPr>
                      <w:color w:val="auto"/>
                      <w:vertAlign w:val="superscript"/>
                    </w:rPr>
                    <w:t>2</w:t>
                  </w:r>
                  <w:r>
                    <w:rPr>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98" w:type="dxa"/>
                  <w:tcBorders>
                    <w:tl2br w:val="nil"/>
                    <w:tr2bl w:val="nil"/>
                  </w:tcBorders>
                </w:tcPr>
                <w:p>
                  <w:pPr>
                    <w:jc w:val="center"/>
                    <w:rPr>
                      <w:color w:val="auto"/>
                    </w:rPr>
                  </w:pPr>
                  <w:r>
                    <w:rPr>
                      <w:color w:val="auto"/>
                    </w:rPr>
                    <w:t>5(km/h)</w:t>
                  </w:r>
                </w:p>
              </w:tc>
              <w:tc>
                <w:tcPr>
                  <w:tcW w:w="1146" w:type="dxa"/>
                  <w:tcBorders>
                    <w:tl2br w:val="nil"/>
                    <w:tr2bl w:val="nil"/>
                  </w:tcBorders>
                </w:tcPr>
                <w:p>
                  <w:pPr>
                    <w:jc w:val="center"/>
                    <w:rPr>
                      <w:color w:val="auto"/>
                    </w:rPr>
                  </w:pPr>
                  <w:r>
                    <w:rPr>
                      <w:color w:val="auto"/>
                    </w:rPr>
                    <w:t>0.053</w:t>
                  </w:r>
                </w:p>
              </w:tc>
              <w:tc>
                <w:tcPr>
                  <w:tcW w:w="1273" w:type="dxa"/>
                  <w:tcBorders>
                    <w:tl2br w:val="nil"/>
                    <w:tr2bl w:val="nil"/>
                  </w:tcBorders>
                </w:tcPr>
                <w:p>
                  <w:pPr>
                    <w:jc w:val="center"/>
                    <w:rPr>
                      <w:color w:val="auto"/>
                    </w:rPr>
                  </w:pPr>
                  <w:r>
                    <w:rPr>
                      <w:color w:val="auto"/>
                    </w:rPr>
                    <w:t>0.088</w:t>
                  </w:r>
                </w:p>
              </w:tc>
              <w:tc>
                <w:tcPr>
                  <w:tcW w:w="1350" w:type="dxa"/>
                  <w:tcBorders>
                    <w:tl2br w:val="nil"/>
                    <w:tr2bl w:val="nil"/>
                  </w:tcBorders>
                </w:tcPr>
                <w:p>
                  <w:pPr>
                    <w:jc w:val="center"/>
                    <w:rPr>
                      <w:color w:val="auto"/>
                    </w:rPr>
                  </w:pPr>
                  <w:r>
                    <w:rPr>
                      <w:color w:val="auto"/>
                    </w:rPr>
                    <w:t>0.118</w:t>
                  </w:r>
                </w:p>
              </w:tc>
              <w:tc>
                <w:tcPr>
                  <w:tcW w:w="1253" w:type="dxa"/>
                  <w:tcBorders>
                    <w:tl2br w:val="nil"/>
                    <w:tr2bl w:val="nil"/>
                  </w:tcBorders>
                </w:tcPr>
                <w:p>
                  <w:pPr>
                    <w:jc w:val="center"/>
                    <w:rPr>
                      <w:color w:val="auto"/>
                    </w:rPr>
                  </w:pPr>
                  <w:r>
                    <w:rPr>
                      <w:color w:val="auto"/>
                    </w:rPr>
                    <w:t>0.145</w:t>
                  </w:r>
                </w:p>
              </w:tc>
              <w:tc>
                <w:tcPr>
                  <w:tcW w:w="1273" w:type="dxa"/>
                  <w:tcBorders>
                    <w:tl2br w:val="nil"/>
                    <w:tr2bl w:val="nil"/>
                  </w:tcBorders>
                </w:tcPr>
                <w:p>
                  <w:pPr>
                    <w:jc w:val="center"/>
                    <w:rPr>
                      <w:color w:val="auto"/>
                    </w:rPr>
                  </w:pPr>
                  <w:r>
                    <w:rPr>
                      <w:color w:val="auto"/>
                    </w:rPr>
                    <w:t>0.170</w:t>
                  </w:r>
                </w:p>
              </w:tc>
              <w:tc>
                <w:tcPr>
                  <w:tcW w:w="1283" w:type="dxa"/>
                  <w:tcBorders>
                    <w:tl2br w:val="nil"/>
                    <w:tr2bl w:val="nil"/>
                  </w:tcBorders>
                </w:tcPr>
                <w:p>
                  <w:pPr>
                    <w:jc w:val="center"/>
                    <w:rPr>
                      <w:color w:val="auto"/>
                    </w:rPr>
                  </w:pPr>
                  <w:r>
                    <w:rPr>
                      <w:color w:val="auto"/>
                    </w:rPr>
                    <w:t>0.280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98" w:type="dxa"/>
                  <w:tcBorders>
                    <w:tl2br w:val="nil"/>
                    <w:tr2bl w:val="nil"/>
                  </w:tcBorders>
                </w:tcPr>
                <w:p>
                  <w:pPr>
                    <w:jc w:val="center"/>
                    <w:rPr>
                      <w:color w:val="auto"/>
                    </w:rPr>
                  </w:pPr>
                  <w:r>
                    <w:rPr>
                      <w:color w:val="auto"/>
                    </w:rPr>
                    <w:t>10(km/h)</w:t>
                  </w:r>
                </w:p>
              </w:tc>
              <w:tc>
                <w:tcPr>
                  <w:tcW w:w="1146" w:type="dxa"/>
                  <w:tcBorders>
                    <w:tl2br w:val="nil"/>
                    <w:tr2bl w:val="nil"/>
                  </w:tcBorders>
                </w:tcPr>
                <w:p>
                  <w:pPr>
                    <w:jc w:val="center"/>
                    <w:rPr>
                      <w:color w:val="auto"/>
                    </w:rPr>
                  </w:pPr>
                  <w:r>
                    <w:rPr>
                      <w:color w:val="auto"/>
                    </w:rPr>
                    <w:t>0.107</w:t>
                  </w:r>
                </w:p>
              </w:tc>
              <w:tc>
                <w:tcPr>
                  <w:tcW w:w="1273" w:type="dxa"/>
                  <w:tcBorders>
                    <w:tl2br w:val="nil"/>
                    <w:tr2bl w:val="nil"/>
                  </w:tcBorders>
                </w:tcPr>
                <w:p>
                  <w:pPr>
                    <w:jc w:val="center"/>
                    <w:rPr>
                      <w:color w:val="auto"/>
                    </w:rPr>
                  </w:pPr>
                  <w:r>
                    <w:rPr>
                      <w:color w:val="auto"/>
                    </w:rPr>
                    <w:t>0.176</w:t>
                  </w:r>
                </w:p>
              </w:tc>
              <w:tc>
                <w:tcPr>
                  <w:tcW w:w="1350" w:type="dxa"/>
                  <w:tcBorders>
                    <w:tl2br w:val="nil"/>
                    <w:tr2bl w:val="nil"/>
                  </w:tcBorders>
                </w:tcPr>
                <w:p>
                  <w:pPr>
                    <w:jc w:val="center"/>
                    <w:rPr>
                      <w:color w:val="auto"/>
                    </w:rPr>
                  </w:pPr>
                  <w:r>
                    <w:rPr>
                      <w:color w:val="auto"/>
                    </w:rPr>
                    <w:t>0.235</w:t>
                  </w:r>
                </w:p>
              </w:tc>
              <w:tc>
                <w:tcPr>
                  <w:tcW w:w="1253" w:type="dxa"/>
                  <w:tcBorders>
                    <w:tl2br w:val="nil"/>
                    <w:tr2bl w:val="nil"/>
                  </w:tcBorders>
                </w:tcPr>
                <w:p>
                  <w:pPr>
                    <w:jc w:val="center"/>
                    <w:rPr>
                      <w:color w:val="auto"/>
                    </w:rPr>
                  </w:pPr>
                  <w:r>
                    <w:rPr>
                      <w:color w:val="auto"/>
                    </w:rPr>
                    <w:t>0.289</w:t>
                  </w:r>
                </w:p>
              </w:tc>
              <w:tc>
                <w:tcPr>
                  <w:tcW w:w="1273" w:type="dxa"/>
                  <w:tcBorders>
                    <w:tl2br w:val="nil"/>
                    <w:tr2bl w:val="nil"/>
                  </w:tcBorders>
                </w:tcPr>
                <w:p>
                  <w:pPr>
                    <w:jc w:val="center"/>
                    <w:rPr>
                      <w:color w:val="auto"/>
                    </w:rPr>
                  </w:pPr>
                  <w:r>
                    <w:rPr>
                      <w:color w:val="auto"/>
                    </w:rPr>
                    <w:t>0.340</w:t>
                  </w:r>
                </w:p>
              </w:tc>
              <w:tc>
                <w:tcPr>
                  <w:tcW w:w="1283" w:type="dxa"/>
                  <w:tcBorders>
                    <w:tl2br w:val="nil"/>
                    <w:tr2bl w:val="nil"/>
                  </w:tcBorders>
                </w:tcPr>
                <w:p>
                  <w:pPr>
                    <w:jc w:val="center"/>
                    <w:rPr>
                      <w:color w:val="auto"/>
                    </w:rPr>
                  </w:pPr>
                  <w:r>
                    <w:rPr>
                      <w:color w:val="auto"/>
                    </w:rPr>
                    <w:t>0.559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98" w:type="dxa"/>
                  <w:tcBorders>
                    <w:tl2br w:val="nil"/>
                    <w:tr2bl w:val="nil"/>
                  </w:tcBorders>
                </w:tcPr>
                <w:p>
                  <w:pPr>
                    <w:jc w:val="center"/>
                    <w:rPr>
                      <w:color w:val="auto"/>
                    </w:rPr>
                  </w:pPr>
                  <w:r>
                    <w:rPr>
                      <w:color w:val="auto"/>
                    </w:rPr>
                    <w:t>15(km/h)</w:t>
                  </w:r>
                </w:p>
              </w:tc>
              <w:tc>
                <w:tcPr>
                  <w:tcW w:w="1146" w:type="dxa"/>
                  <w:tcBorders>
                    <w:tl2br w:val="nil"/>
                    <w:tr2bl w:val="nil"/>
                  </w:tcBorders>
                </w:tcPr>
                <w:p>
                  <w:pPr>
                    <w:jc w:val="center"/>
                    <w:rPr>
                      <w:color w:val="auto"/>
                    </w:rPr>
                  </w:pPr>
                  <w:r>
                    <w:rPr>
                      <w:color w:val="auto"/>
                    </w:rPr>
                    <w:t>0.150</w:t>
                  </w:r>
                </w:p>
              </w:tc>
              <w:tc>
                <w:tcPr>
                  <w:tcW w:w="1273" w:type="dxa"/>
                  <w:tcBorders>
                    <w:tl2br w:val="nil"/>
                    <w:tr2bl w:val="nil"/>
                  </w:tcBorders>
                </w:tcPr>
                <w:p>
                  <w:pPr>
                    <w:jc w:val="center"/>
                    <w:rPr>
                      <w:color w:val="auto"/>
                    </w:rPr>
                  </w:pPr>
                  <w:r>
                    <w:rPr>
                      <w:color w:val="auto"/>
                    </w:rPr>
                    <w:t>0.248</w:t>
                  </w:r>
                </w:p>
              </w:tc>
              <w:tc>
                <w:tcPr>
                  <w:tcW w:w="1350" w:type="dxa"/>
                  <w:tcBorders>
                    <w:tl2br w:val="nil"/>
                    <w:tr2bl w:val="nil"/>
                  </w:tcBorders>
                </w:tcPr>
                <w:p>
                  <w:pPr>
                    <w:jc w:val="center"/>
                    <w:rPr>
                      <w:color w:val="auto"/>
                    </w:rPr>
                  </w:pPr>
                  <w:r>
                    <w:rPr>
                      <w:color w:val="auto"/>
                    </w:rPr>
                    <w:t>0.332</w:t>
                  </w:r>
                </w:p>
              </w:tc>
              <w:tc>
                <w:tcPr>
                  <w:tcW w:w="1253" w:type="dxa"/>
                  <w:tcBorders>
                    <w:tl2br w:val="nil"/>
                    <w:tr2bl w:val="nil"/>
                  </w:tcBorders>
                </w:tcPr>
                <w:p>
                  <w:pPr>
                    <w:jc w:val="center"/>
                    <w:rPr>
                      <w:color w:val="auto"/>
                    </w:rPr>
                  </w:pPr>
                  <w:r>
                    <w:rPr>
                      <w:color w:val="auto"/>
                    </w:rPr>
                    <w:t>0.408</w:t>
                  </w:r>
                </w:p>
              </w:tc>
              <w:tc>
                <w:tcPr>
                  <w:tcW w:w="1273" w:type="dxa"/>
                  <w:tcBorders>
                    <w:tl2br w:val="nil"/>
                    <w:tr2bl w:val="nil"/>
                  </w:tcBorders>
                </w:tcPr>
                <w:p>
                  <w:pPr>
                    <w:jc w:val="center"/>
                    <w:rPr>
                      <w:color w:val="auto"/>
                    </w:rPr>
                  </w:pPr>
                  <w:r>
                    <w:rPr>
                      <w:color w:val="auto"/>
                    </w:rPr>
                    <w:t>0.479</w:t>
                  </w:r>
                </w:p>
              </w:tc>
              <w:tc>
                <w:tcPr>
                  <w:tcW w:w="1283" w:type="dxa"/>
                  <w:tcBorders>
                    <w:tl2br w:val="nil"/>
                    <w:tr2bl w:val="nil"/>
                  </w:tcBorders>
                </w:tcPr>
                <w:p>
                  <w:pPr>
                    <w:jc w:val="center"/>
                    <w:rPr>
                      <w:color w:val="auto"/>
                    </w:rPr>
                  </w:pPr>
                  <w:r>
                    <w:rPr>
                      <w:color w:val="auto"/>
                    </w:rPr>
                    <w:t>0.789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498" w:type="dxa"/>
                  <w:tcBorders>
                    <w:tl2br w:val="nil"/>
                    <w:tr2bl w:val="nil"/>
                  </w:tcBorders>
                </w:tcPr>
                <w:p>
                  <w:pPr>
                    <w:jc w:val="center"/>
                    <w:rPr>
                      <w:color w:val="auto"/>
                    </w:rPr>
                  </w:pPr>
                  <w:r>
                    <w:rPr>
                      <w:color w:val="auto"/>
                    </w:rPr>
                    <w:t>25(km/h)</w:t>
                  </w:r>
                </w:p>
              </w:tc>
              <w:tc>
                <w:tcPr>
                  <w:tcW w:w="1146" w:type="dxa"/>
                  <w:tcBorders>
                    <w:tl2br w:val="nil"/>
                    <w:tr2bl w:val="nil"/>
                  </w:tcBorders>
                </w:tcPr>
                <w:p>
                  <w:pPr>
                    <w:jc w:val="center"/>
                    <w:rPr>
                      <w:color w:val="auto"/>
                    </w:rPr>
                  </w:pPr>
                  <w:r>
                    <w:rPr>
                      <w:color w:val="auto"/>
                    </w:rPr>
                    <w:t>0.232</w:t>
                  </w:r>
                </w:p>
              </w:tc>
              <w:tc>
                <w:tcPr>
                  <w:tcW w:w="1273" w:type="dxa"/>
                  <w:tcBorders>
                    <w:tl2br w:val="nil"/>
                    <w:tr2bl w:val="nil"/>
                  </w:tcBorders>
                </w:tcPr>
                <w:p>
                  <w:pPr>
                    <w:jc w:val="center"/>
                    <w:rPr>
                      <w:color w:val="auto"/>
                    </w:rPr>
                  </w:pPr>
                  <w:r>
                    <w:rPr>
                      <w:color w:val="auto"/>
                    </w:rPr>
                    <w:t>0.382</w:t>
                  </w:r>
                </w:p>
              </w:tc>
              <w:tc>
                <w:tcPr>
                  <w:tcW w:w="1350" w:type="dxa"/>
                  <w:tcBorders>
                    <w:tl2br w:val="nil"/>
                    <w:tr2bl w:val="nil"/>
                  </w:tcBorders>
                </w:tcPr>
                <w:p>
                  <w:pPr>
                    <w:jc w:val="center"/>
                    <w:rPr>
                      <w:color w:val="auto"/>
                    </w:rPr>
                  </w:pPr>
                  <w:r>
                    <w:rPr>
                      <w:color w:val="auto"/>
                    </w:rPr>
                    <w:t>0.512</w:t>
                  </w:r>
                </w:p>
              </w:tc>
              <w:tc>
                <w:tcPr>
                  <w:tcW w:w="1253" w:type="dxa"/>
                  <w:tcBorders>
                    <w:tl2br w:val="nil"/>
                    <w:tr2bl w:val="nil"/>
                  </w:tcBorders>
                </w:tcPr>
                <w:p>
                  <w:pPr>
                    <w:jc w:val="center"/>
                    <w:rPr>
                      <w:color w:val="auto"/>
                    </w:rPr>
                  </w:pPr>
                  <w:r>
                    <w:rPr>
                      <w:color w:val="auto"/>
                    </w:rPr>
                    <w:t>0.630</w:t>
                  </w:r>
                </w:p>
              </w:tc>
              <w:tc>
                <w:tcPr>
                  <w:tcW w:w="1273" w:type="dxa"/>
                  <w:tcBorders>
                    <w:tl2br w:val="nil"/>
                    <w:tr2bl w:val="nil"/>
                  </w:tcBorders>
                </w:tcPr>
                <w:p>
                  <w:pPr>
                    <w:jc w:val="center"/>
                    <w:rPr>
                      <w:color w:val="auto"/>
                    </w:rPr>
                  </w:pPr>
                  <w:r>
                    <w:rPr>
                      <w:rFonts w:hint="eastAsia"/>
                      <w:color w:val="auto"/>
                      <w:lang w:eastAsia="zh-CN"/>
                    </w:rPr>
                    <w:t>0.35</w:t>
                  </w:r>
                  <w:r>
                    <w:rPr>
                      <w:color w:val="auto"/>
                    </w:rPr>
                    <w:t>0</w:t>
                  </w:r>
                </w:p>
              </w:tc>
              <w:tc>
                <w:tcPr>
                  <w:tcW w:w="1283" w:type="dxa"/>
                  <w:tcBorders>
                    <w:tl2br w:val="nil"/>
                    <w:tr2bl w:val="nil"/>
                  </w:tcBorders>
                </w:tcPr>
                <w:p>
                  <w:pPr>
                    <w:jc w:val="center"/>
                    <w:rPr>
                      <w:color w:val="auto"/>
                    </w:rPr>
                  </w:pPr>
                  <w:r>
                    <w:rPr>
                      <w:color w:val="auto"/>
                    </w:rPr>
                    <w:t>1.219</w:t>
                  </w:r>
                </w:p>
              </w:tc>
            </w:tr>
          </w:tbl>
          <w:p>
            <w:pPr>
              <w:spacing w:line="460" w:lineRule="exact"/>
              <w:ind w:firstLine="462" w:firstLineChars="200"/>
              <w:rPr>
                <w:color w:val="auto"/>
                <w:sz w:val="24"/>
                <w:szCs w:val="24"/>
              </w:rPr>
            </w:pPr>
            <w:r>
              <w:rPr>
                <w:color w:val="auto"/>
                <w:sz w:val="24"/>
                <w:szCs w:val="24"/>
              </w:rPr>
              <w:t>如果施工阶段对汽车行驶路面勤洒水（每天4～5次），可以使空气中粉尘量减少70%左右，收到很好的降尘效果。洒水试验资料如下表所示，当施工场地洒水频率为4～5次/d时，扬尘造成的TSP污染距离可缩小到20～50m范围内。</w:t>
            </w:r>
          </w:p>
          <w:p>
            <w:pPr>
              <w:pStyle w:val="35"/>
              <w:rPr>
                <w:color w:val="auto"/>
              </w:rPr>
            </w:pPr>
          </w:p>
          <w:p>
            <w:pPr>
              <w:pStyle w:val="35"/>
              <w:rPr>
                <w:color w:val="auto"/>
              </w:rPr>
            </w:pPr>
          </w:p>
          <w:p>
            <w:pPr>
              <w:pStyle w:val="9"/>
              <w:rPr>
                <w:color w:val="auto"/>
              </w:rPr>
            </w:pPr>
          </w:p>
          <w:p>
            <w:pPr>
              <w:jc w:val="center"/>
              <w:rPr>
                <w:b/>
                <w:bCs/>
                <w:color w:val="auto"/>
                <w:szCs w:val="21"/>
              </w:rPr>
            </w:pPr>
            <w:r>
              <w:rPr>
                <w:b/>
                <w:bCs/>
                <w:color w:val="auto"/>
                <w:szCs w:val="21"/>
              </w:rPr>
              <w:t>表7-2</w:t>
            </w:r>
            <w:r>
              <w:rPr>
                <w:rFonts w:hint="eastAsia"/>
                <w:b/>
                <w:bCs/>
                <w:color w:val="auto"/>
                <w:szCs w:val="21"/>
              </w:rPr>
              <w:t xml:space="preserve">   </w:t>
            </w:r>
            <w:r>
              <w:rPr>
                <w:b/>
                <w:bCs/>
                <w:color w:val="auto"/>
                <w:szCs w:val="21"/>
              </w:rPr>
              <w:t>洒水抑尘作用类比监测数据</w:t>
            </w:r>
          </w:p>
          <w:tbl>
            <w:tblPr>
              <w:tblStyle w:val="27"/>
              <w:tblW w:w="90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1724"/>
              <w:gridCol w:w="1126"/>
              <w:gridCol w:w="1219"/>
              <w:gridCol w:w="1163"/>
              <w:gridCol w:w="1105"/>
              <w:gridCol w:w="11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357" w:type="dxa"/>
                  <w:gridSpan w:val="2"/>
                  <w:tcBorders>
                    <w:tl2br w:val="nil"/>
                    <w:tr2bl w:val="nil"/>
                  </w:tcBorders>
                  <w:vAlign w:val="center"/>
                </w:tcPr>
                <w:p>
                  <w:pPr>
                    <w:autoSpaceDN w:val="0"/>
                    <w:adjustRightInd w:val="0"/>
                    <w:snapToGrid w:val="0"/>
                    <w:jc w:val="center"/>
                    <w:rPr>
                      <w:color w:val="auto"/>
                    </w:rPr>
                  </w:pPr>
                  <w:r>
                    <w:rPr>
                      <w:color w:val="auto"/>
                    </w:rPr>
                    <w:t>距施工现场距离</w:t>
                  </w:r>
                </w:p>
              </w:tc>
              <w:tc>
                <w:tcPr>
                  <w:tcW w:w="1126" w:type="dxa"/>
                  <w:tcBorders>
                    <w:tl2br w:val="nil"/>
                    <w:tr2bl w:val="nil"/>
                  </w:tcBorders>
                  <w:vAlign w:val="center"/>
                </w:tcPr>
                <w:p>
                  <w:pPr>
                    <w:jc w:val="center"/>
                    <w:rPr>
                      <w:color w:val="auto"/>
                    </w:rPr>
                  </w:pPr>
                  <w:r>
                    <w:rPr>
                      <w:color w:val="auto"/>
                    </w:rPr>
                    <w:t>0m</w:t>
                  </w:r>
                </w:p>
              </w:tc>
              <w:tc>
                <w:tcPr>
                  <w:tcW w:w="1219" w:type="dxa"/>
                  <w:tcBorders>
                    <w:tl2br w:val="nil"/>
                    <w:tr2bl w:val="nil"/>
                  </w:tcBorders>
                  <w:vAlign w:val="center"/>
                </w:tcPr>
                <w:p>
                  <w:pPr>
                    <w:jc w:val="center"/>
                    <w:rPr>
                      <w:color w:val="auto"/>
                    </w:rPr>
                  </w:pPr>
                  <w:r>
                    <w:rPr>
                      <w:color w:val="auto"/>
                    </w:rPr>
                    <w:t>20m</w:t>
                  </w:r>
                </w:p>
              </w:tc>
              <w:tc>
                <w:tcPr>
                  <w:tcW w:w="1163" w:type="dxa"/>
                  <w:tcBorders>
                    <w:tl2br w:val="nil"/>
                    <w:tr2bl w:val="nil"/>
                  </w:tcBorders>
                  <w:vAlign w:val="center"/>
                </w:tcPr>
                <w:p>
                  <w:pPr>
                    <w:jc w:val="center"/>
                    <w:rPr>
                      <w:color w:val="auto"/>
                    </w:rPr>
                  </w:pPr>
                  <w:r>
                    <w:rPr>
                      <w:color w:val="auto"/>
                    </w:rPr>
                    <w:t>50m</w:t>
                  </w:r>
                </w:p>
              </w:tc>
              <w:tc>
                <w:tcPr>
                  <w:tcW w:w="1105" w:type="dxa"/>
                  <w:tcBorders>
                    <w:tl2br w:val="nil"/>
                    <w:tr2bl w:val="nil"/>
                  </w:tcBorders>
                  <w:vAlign w:val="center"/>
                </w:tcPr>
                <w:p>
                  <w:pPr>
                    <w:jc w:val="center"/>
                    <w:rPr>
                      <w:color w:val="auto"/>
                    </w:rPr>
                  </w:pPr>
                  <w:r>
                    <w:rPr>
                      <w:color w:val="auto"/>
                    </w:rPr>
                    <w:t>100m</w:t>
                  </w:r>
                </w:p>
              </w:tc>
              <w:tc>
                <w:tcPr>
                  <w:tcW w:w="1106" w:type="dxa"/>
                  <w:tcBorders>
                    <w:tl2br w:val="nil"/>
                    <w:tr2bl w:val="nil"/>
                  </w:tcBorders>
                  <w:vAlign w:val="center"/>
                </w:tcPr>
                <w:p>
                  <w:pPr>
                    <w:jc w:val="center"/>
                    <w:rPr>
                      <w:color w:val="auto"/>
                    </w:rPr>
                  </w:pPr>
                  <w:r>
                    <w:rPr>
                      <w:color w:val="auto"/>
                    </w:rPr>
                    <w:t>200m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vMerge w:val="restart"/>
                  <w:tcBorders>
                    <w:tl2br w:val="nil"/>
                    <w:tr2bl w:val="nil"/>
                  </w:tcBorders>
                  <w:vAlign w:val="center"/>
                </w:tcPr>
                <w:p>
                  <w:pPr>
                    <w:autoSpaceDN w:val="0"/>
                    <w:adjustRightInd w:val="0"/>
                    <w:snapToGrid w:val="0"/>
                    <w:jc w:val="center"/>
                    <w:rPr>
                      <w:color w:val="auto"/>
                    </w:rPr>
                  </w:pPr>
                  <w:r>
                    <w:rPr>
                      <w:color w:val="auto"/>
                    </w:rPr>
                    <w:t>TSPmg/m</w:t>
                  </w:r>
                  <w:r>
                    <w:rPr>
                      <w:color w:val="auto"/>
                      <w:vertAlign w:val="superscript"/>
                    </w:rPr>
                    <w:t>3</w:t>
                  </w:r>
                </w:p>
              </w:tc>
              <w:tc>
                <w:tcPr>
                  <w:tcW w:w="1724" w:type="dxa"/>
                  <w:tcBorders>
                    <w:tl2br w:val="nil"/>
                    <w:tr2bl w:val="nil"/>
                  </w:tcBorders>
                  <w:vAlign w:val="center"/>
                </w:tcPr>
                <w:p>
                  <w:pPr>
                    <w:autoSpaceDN w:val="0"/>
                    <w:adjustRightInd w:val="0"/>
                    <w:snapToGrid w:val="0"/>
                    <w:jc w:val="center"/>
                    <w:rPr>
                      <w:color w:val="auto"/>
                    </w:rPr>
                  </w:pPr>
                  <w:r>
                    <w:rPr>
                      <w:color w:val="auto"/>
                    </w:rPr>
                    <w:t>不洒水</w:t>
                  </w:r>
                </w:p>
              </w:tc>
              <w:tc>
                <w:tcPr>
                  <w:tcW w:w="1126" w:type="dxa"/>
                  <w:tcBorders>
                    <w:tl2br w:val="nil"/>
                    <w:tr2bl w:val="nil"/>
                  </w:tcBorders>
                  <w:vAlign w:val="center"/>
                </w:tcPr>
                <w:p>
                  <w:pPr>
                    <w:jc w:val="center"/>
                    <w:rPr>
                      <w:color w:val="auto"/>
                    </w:rPr>
                  </w:pPr>
                  <w:r>
                    <w:rPr>
                      <w:color w:val="auto"/>
                    </w:rPr>
                    <w:t>11.03</w:t>
                  </w:r>
                </w:p>
              </w:tc>
              <w:tc>
                <w:tcPr>
                  <w:tcW w:w="1219" w:type="dxa"/>
                  <w:tcBorders>
                    <w:tl2br w:val="nil"/>
                    <w:tr2bl w:val="nil"/>
                  </w:tcBorders>
                  <w:vAlign w:val="center"/>
                </w:tcPr>
                <w:p>
                  <w:pPr>
                    <w:jc w:val="center"/>
                    <w:rPr>
                      <w:color w:val="auto"/>
                    </w:rPr>
                  </w:pPr>
                  <w:r>
                    <w:rPr>
                      <w:color w:val="auto"/>
                    </w:rPr>
                    <w:t>2.89</w:t>
                  </w:r>
                </w:p>
              </w:tc>
              <w:tc>
                <w:tcPr>
                  <w:tcW w:w="1163" w:type="dxa"/>
                  <w:tcBorders>
                    <w:tl2br w:val="nil"/>
                    <w:tr2bl w:val="nil"/>
                  </w:tcBorders>
                  <w:vAlign w:val="center"/>
                </w:tcPr>
                <w:p>
                  <w:pPr>
                    <w:jc w:val="center"/>
                    <w:rPr>
                      <w:color w:val="auto"/>
                    </w:rPr>
                  </w:pPr>
                  <w:r>
                    <w:rPr>
                      <w:color w:val="auto"/>
                    </w:rPr>
                    <w:t>1.15</w:t>
                  </w:r>
                </w:p>
              </w:tc>
              <w:tc>
                <w:tcPr>
                  <w:tcW w:w="1105" w:type="dxa"/>
                  <w:tcBorders>
                    <w:tl2br w:val="nil"/>
                    <w:tr2bl w:val="nil"/>
                  </w:tcBorders>
                  <w:vAlign w:val="center"/>
                </w:tcPr>
                <w:p>
                  <w:pPr>
                    <w:jc w:val="center"/>
                    <w:rPr>
                      <w:color w:val="auto"/>
                    </w:rPr>
                  </w:pPr>
                  <w:r>
                    <w:rPr>
                      <w:color w:val="auto"/>
                    </w:rPr>
                    <w:t>0.86</w:t>
                  </w:r>
                </w:p>
              </w:tc>
              <w:tc>
                <w:tcPr>
                  <w:tcW w:w="1106" w:type="dxa"/>
                  <w:tcBorders>
                    <w:tl2br w:val="nil"/>
                    <w:tr2bl w:val="nil"/>
                  </w:tcBorders>
                  <w:vAlign w:val="center"/>
                </w:tcPr>
                <w:p>
                  <w:pPr>
                    <w:jc w:val="center"/>
                    <w:rPr>
                      <w:color w:val="auto"/>
                    </w:rPr>
                  </w:pPr>
                  <w:r>
                    <w:rPr>
                      <w:color w:val="auto"/>
                    </w:rPr>
                    <w:t>0.56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vMerge w:val="continue"/>
                  <w:tcBorders>
                    <w:tl2br w:val="nil"/>
                    <w:tr2bl w:val="nil"/>
                  </w:tcBorders>
                  <w:vAlign w:val="center"/>
                </w:tcPr>
                <w:p>
                  <w:pPr>
                    <w:autoSpaceDN w:val="0"/>
                    <w:adjustRightInd w:val="0"/>
                    <w:snapToGrid w:val="0"/>
                    <w:jc w:val="center"/>
                    <w:rPr>
                      <w:color w:val="auto"/>
                    </w:rPr>
                  </w:pPr>
                </w:p>
              </w:tc>
              <w:tc>
                <w:tcPr>
                  <w:tcW w:w="1724" w:type="dxa"/>
                  <w:tcBorders>
                    <w:tl2br w:val="nil"/>
                    <w:tr2bl w:val="nil"/>
                  </w:tcBorders>
                  <w:vAlign w:val="center"/>
                </w:tcPr>
                <w:p>
                  <w:pPr>
                    <w:autoSpaceDN w:val="0"/>
                    <w:adjustRightInd w:val="0"/>
                    <w:snapToGrid w:val="0"/>
                    <w:jc w:val="center"/>
                    <w:rPr>
                      <w:color w:val="auto"/>
                    </w:rPr>
                  </w:pPr>
                  <w:r>
                    <w:rPr>
                      <w:color w:val="auto"/>
                    </w:rPr>
                    <w:t>洒水</w:t>
                  </w:r>
                </w:p>
              </w:tc>
              <w:tc>
                <w:tcPr>
                  <w:tcW w:w="1126" w:type="dxa"/>
                  <w:tcBorders>
                    <w:tl2br w:val="nil"/>
                    <w:tr2bl w:val="nil"/>
                  </w:tcBorders>
                  <w:vAlign w:val="center"/>
                </w:tcPr>
                <w:p>
                  <w:pPr>
                    <w:jc w:val="center"/>
                    <w:rPr>
                      <w:color w:val="auto"/>
                    </w:rPr>
                  </w:pPr>
                  <w:r>
                    <w:rPr>
                      <w:color w:val="auto"/>
                    </w:rPr>
                    <w:t>2.11</w:t>
                  </w:r>
                </w:p>
              </w:tc>
              <w:tc>
                <w:tcPr>
                  <w:tcW w:w="1219" w:type="dxa"/>
                  <w:tcBorders>
                    <w:tl2br w:val="nil"/>
                    <w:tr2bl w:val="nil"/>
                  </w:tcBorders>
                  <w:vAlign w:val="center"/>
                </w:tcPr>
                <w:p>
                  <w:pPr>
                    <w:jc w:val="center"/>
                    <w:rPr>
                      <w:color w:val="auto"/>
                    </w:rPr>
                  </w:pPr>
                  <w:r>
                    <w:rPr>
                      <w:color w:val="auto"/>
                    </w:rPr>
                    <w:t>1.40</w:t>
                  </w:r>
                </w:p>
              </w:tc>
              <w:tc>
                <w:tcPr>
                  <w:tcW w:w="1163" w:type="dxa"/>
                  <w:tcBorders>
                    <w:tl2br w:val="nil"/>
                    <w:tr2bl w:val="nil"/>
                  </w:tcBorders>
                  <w:vAlign w:val="center"/>
                </w:tcPr>
                <w:p>
                  <w:pPr>
                    <w:jc w:val="center"/>
                    <w:rPr>
                      <w:color w:val="auto"/>
                    </w:rPr>
                  </w:pPr>
                  <w:r>
                    <w:rPr>
                      <w:color w:val="auto"/>
                    </w:rPr>
                    <w:t>0.68</w:t>
                  </w:r>
                </w:p>
              </w:tc>
              <w:tc>
                <w:tcPr>
                  <w:tcW w:w="1105" w:type="dxa"/>
                  <w:tcBorders>
                    <w:tl2br w:val="nil"/>
                    <w:tr2bl w:val="nil"/>
                  </w:tcBorders>
                  <w:vAlign w:val="center"/>
                </w:tcPr>
                <w:p>
                  <w:pPr>
                    <w:jc w:val="center"/>
                    <w:rPr>
                      <w:color w:val="auto"/>
                    </w:rPr>
                  </w:pPr>
                  <w:r>
                    <w:rPr>
                      <w:color w:val="auto"/>
                    </w:rPr>
                    <w:t>0.60</w:t>
                  </w:r>
                </w:p>
              </w:tc>
              <w:tc>
                <w:tcPr>
                  <w:tcW w:w="1106" w:type="dxa"/>
                  <w:tcBorders>
                    <w:tl2br w:val="nil"/>
                    <w:tr2bl w:val="nil"/>
                  </w:tcBorders>
                  <w:vAlign w:val="center"/>
                </w:tcPr>
                <w:p>
                  <w:pPr>
                    <w:jc w:val="center"/>
                    <w:rPr>
                      <w:color w:val="auto"/>
                    </w:rPr>
                  </w:pPr>
                  <w:r>
                    <w:rPr>
                      <w:color w:val="auto"/>
                    </w:rPr>
                    <w:t>0.29</w:t>
                  </w:r>
                </w:p>
              </w:tc>
            </w:tr>
          </w:tbl>
          <w:p>
            <w:pPr>
              <w:spacing w:line="460" w:lineRule="exact"/>
              <w:ind w:firstLine="462" w:firstLineChars="200"/>
              <w:rPr>
                <w:color w:val="auto"/>
                <w:sz w:val="24"/>
                <w:szCs w:val="24"/>
              </w:rPr>
            </w:pPr>
            <w:r>
              <w:rPr>
                <w:color w:val="auto"/>
                <w:sz w:val="24"/>
                <w:szCs w:val="24"/>
              </w:rPr>
              <w:t>由上表可知，车辆行驶扬尘对周围的大气环境会造成一定的影响</w:t>
            </w:r>
            <w:r>
              <w:rPr>
                <w:rFonts w:hint="eastAsia"/>
                <w:color w:val="auto"/>
                <w:sz w:val="24"/>
                <w:szCs w:val="24"/>
              </w:rPr>
              <w:t>，但</w:t>
            </w:r>
            <w:r>
              <w:rPr>
                <w:color w:val="auto"/>
                <w:sz w:val="24"/>
                <w:szCs w:val="24"/>
              </w:rPr>
              <w:t>在采取限速、洒水及保持路面整洁、建筑材料封闭运输等措施后，车辆行驶扬尘对区域大气环境影响的程度及时间都将较为有限，同时随着施工期的结束其影响也随之消失。</w:t>
            </w:r>
          </w:p>
          <w:p>
            <w:pPr>
              <w:spacing w:line="460" w:lineRule="exact"/>
              <w:ind w:firstLine="462" w:firstLineChars="200"/>
              <w:rPr>
                <w:rFonts w:hint="default" w:ascii="Times New Roman" w:hAnsi="Times New Roman" w:cs="Times New Roman"/>
                <w:b w:val="0"/>
                <w:bCs w:val="0"/>
                <w:color w:val="auto"/>
                <w:sz w:val="24"/>
                <w:u w:val="none"/>
              </w:rPr>
            </w:pPr>
            <w:r>
              <w:rPr>
                <w:rFonts w:hint="default" w:ascii="Times New Roman" w:hAnsi="Times New Roman" w:cs="Times New Roman"/>
                <w:b w:val="0"/>
                <w:bCs w:val="0"/>
                <w:color w:val="auto"/>
                <w:sz w:val="24"/>
                <w:u w:val="none"/>
                <w:lang w:eastAsia="zh-CN"/>
              </w:rPr>
              <w:t>根据</w:t>
            </w:r>
            <w:r>
              <w:rPr>
                <w:rFonts w:hint="default" w:ascii="Times New Roman" w:hAnsi="Times New Roman" w:cs="Times New Roman"/>
                <w:b w:val="0"/>
                <w:bCs w:val="0"/>
                <w:color w:val="auto"/>
                <w:sz w:val="24"/>
                <w:u w:val="none"/>
              </w:rPr>
              <w:t>《</w:t>
            </w:r>
            <w:r>
              <w:rPr>
                <w:rFonts w:hint="default" w:ascii="Times New Roman" w:hAnsi="Times New Roman" w:cs="Times New Roman"/>
                <w:b w:val="0"/>
                <w:bCs w:val="0"/>
                <w:color w:val="auto"/>
                <w:sz w:val="24"/>
                <w:u w:val="none"/>
                <w:lang w:eastAsia="zh-CN"/>
              </w:rPr>
              <w:t>邵阳市</w:t>
            </w:r>
            <w:r>
              <w:rPr>
                <w:rFonts w:hint="default" w:ascii="Times New Roman" w:hAnsi="Times New Roman" w:cs="Times New Roman"/>
                <w:b w:val="0"/>
                <w:bCs w:val="0"/>
                <w:color w:val="auto"/>
                <w:sz w:val="24"/>
                <w:u w:val="none"/>
              </w:rPr>
              <w:t>蓝天保卫战实施方案》，要求做到施工场做到以下要求：</w:t>
            </w:r>
          </w:p>
          <w:p>
            <w:pPr>
              <w:spacing w:line="460" w:lineRule="exact"/>
              <w:ind w:firstLine="462" w:firstLineChars="200"/>
              <w:rPr>
                <w:rFonts w:hint="default" w:ascii="Times New Roman" w:hAnsi="Times New Roman" w:cs="Times New Roman"/>
                <w:b w:val="0"/>
                <w:bCs w:val="0"/>
                <w:color w:val="auto"/>
                <w:sz w:val="24"/>
                <w:u w:val="none"/>
              </w:rPr>
            </w:pPr>
            <w:r>
              <w:rPr>
                <w:rFonts w:hint="default" w:ascii="Times New Roman" w:hAnsi="Times New Roman" w:cs="Times New Roman"/>
                <w:b w:val="0"/>
                <w:bCs w:val="0"/>
                <w:color w:val="auto"/>
                <w:sz w:val="24"/>
                <w:u w:val="none"/>
              </w:rPr>
              <w:t>①严格执行扬尘防治“6个100%”的要求：施工工地100%围挡、物料堆放100%覆盖、出入车辆100%冲洗、施工现场地面100%硬化、拆除工地100%湿法作业、渣土100%密闭运输。</w:t>
            </w:r>
          </w:p>
          <w:p>
            <w:pPr>
              <w:spacing w:line="460" w:lineRule="exact"/>
              <w:ind w:firstLine="462" w:firstLineChars="200"/>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fldChar w:fldCharType="begin"/>
            </w:r>
            <w:r>
              <w:rPr>
                <w:rFonts w:hint="default" w:ascii="Times New Roman" w:hAnsi="Times New Roman" w:cs="Times New Roman"/>
                <w:b w:val="0"/>
                <w:bCs w:val="0"/>
                <w:color w:val="auto"/>
                <w:sz w:val="24"/>
                <w:szCs w:val="24"/>
                <w:u w:val="none"/>
              </w:rPr>
              <w:instrText xml:space="preserve"> = 2 \* GB3 </w:instrText>
            </w:r>
            <w:r>
              <w:rPr>
                <w:rFonts w:hint="default" w:ascii="Times New Roman" w:hAnsi="Times New Roman" w:cs="Times New Roman"/>
                <w:b w:val="0"/>
                <w:bCs w:val="0"/>
                <w:color w:val="auto"/>
                <w:sz w:val="24"/>
                <w:szCs w:val="24"/>
                <w:u w:val="none"/>
              </w:rPr>
              <w:fldChar w:fldCharType="separate"/>
            </w:r>
            <w:r>
              <w:rPr>
                <w:rFonts w:hint="default" w:ascii="Times New Roman" w:hAnsi="Times New Roman" w:cs="Times New Roman"/>
                <w:b w:val="0"/>
                <w:bCs w:val="0"/>
                <w:color w:val="auto"/>
                <w:sz w:val="24"/>
                <w:szCs w:val="24"/>
                <w:u w:val="none"/>
              </w:rPr>
              <w:t>②</w:t>
            </w:r>
            <w:r>
              <w:rPr>
                <w:rFonts w:hint="default" w:ascii="Times New Roman" w:hAnsi="Times New Roman" w:cs="Times New Roman"/>
                <w:b w:val="0"/>
                <w:bCs w:val="0"/>
                <w:color w:val="auto"/>
                <w:sz w:val="24"/>
                <w:szCs w:val="24"/>
                <w:u w:val="none"/>
              </w:rPr>
              <w:fldChar w:fldCharType="end"/>
            </w:r>
            <w:r>
              <w:rPr>
                <w:rFonts w:hint="default" w:ascii="Times New Roman" w:hAnsi="Times New Roman" w:cs="Times New Roman"/>
                <w:b w:val="0"/>
                <w:bCs w:val="0"/>
                <w:color w:val="auto"/>
                <w:sz w:val="24"/>
                <w:szCs w:val="24"/>
                <w:u w:val="none"/>
              </w:rPr>
              <w:t>加强粉状物料转运与使用的管理，合理装卸，统一堆放，规范操作；开挖的泥土和建筑垃圾要及时运走，以免因长期堆放导致表面干燥而起尘；运输散装建材和施工垃圾等应用专用车辆，并进行覆盖。</w:t>
            </w:r>
          </w:p>
          <w:p>
            <w:pPr>
              <w:spacing w:line="460" w:lineRule="exact"/>
              <w:ind w:firstLine="462" w:firstLineChars="200"/>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fldChar w:fldCharType="begin"/>
            </w:r>
            <w:r>
              <w:rPr>
                <w:rFonts w:hint="default" w:ascii="Times New Roman" w:hAnsi="Times New Roman" w:cs="Times New Roman"/>
                <w:b w:val="0"/>
                <w:bCs w:val="0"/>
                <w:color w:val="auto"/>
                <w:sz w:val="24"/>
                <w:szCs w:val="24"/>
                <w:u w:val="none"/>
              </w:rPr>
              <w:instrText xml:space="preserve"> = 3 \* GB3 </w:instrText>
            </w:r>
            <w:r>
              <w:rPr>
                <w:rFonts w:hint="default" w:ascii="Times New Roman" w:hAnsi="Times New Roman" w:cs="Times New Roman"/>
                <w:b w:val="0"/>
                <w:bCs w:val="0"/>
                <w:color w:val="auto"/>
                <w:sz w:val="24"/>
                <w:szCs w:val="24"/>
                <w:u w:val="none"/>
              </w:rPr>
              <w:fldChar w:fldCharType="separate"/>
            </w:r>
            <w:r>
              <w:rPr>
                <w:rFonts w:hint="default" w:ascii="Times New Roman" w:hAnsi="Times New Roman" w:cs="Times New Roman"/>
                <w:b w:val="0"/>
                <w:bCs w:val="0"/>
                <w:color w:val="auto"/>
                <w:sz w:val="24"/>
                <w:szCs w:val="24"/>
                <w:u w:val="none"/>
              </w:rPr>
              <w:t>③</w:t>
            </w:r>
            <w:r>
              <w:rPr>
                <w:rFonts w:hint="default" w:ascii="Times New Roman" w:hAnsi="Times New Roman" w:cs="Times New Roman"/>
                <w:b w:val="0"/>
                <w:bCs w:val="0"/>
                <w:color w:val="auto"/>
                <w:sz w:val="24"/>
                <w:szCs w:val="24"/>
                <w:u w:val="none"/>
              </w:rPr>
              <w:fldChar w:fldCharType="end"/>
            </w:r>
            <w:r>
              <w:rPr>
                <w:rFonts w:hint="default" w:ascii="Times New Roman" w:hAnsi="Times New Roman" w:cs="Times New Roman"/>
                <w:b w:val="0"/>
                <w:bCs w:val="0"/>
                <w:color w:val="auto"/>
                <w:sz w:val="24"/>
                <w:szCs w:val="24"/>
                <w:u w:val="none"/>
              </w:rPr>
              <w:t>在施工区边界设置硬质围墙，围墙高度不得低于2.5米。围墙底端应设置防溢座。</w:t>
            </w:r>
          </w:p>
          <w:p>
            <w:pPr>
              <w:spacing w:line="460" w:lineRule="exact"/>
              <w:ind w:firstLine="462" w:firstLineChars="200"/>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fldChar w:fldCharType="begin"/>
            </w:r>
            <w:r>
              <w:rPr>
                <w:rFonts w:hint="default" w:ascii="Times New Roman" w:hAnsi="Times New Roman" w:cs="Times New Roman"/>
                <w:b w:val="0"/>
                <w:bCs w:val="0"/>
                <w:color w:val="auto"/>
                <w:sz w:val="24"/>
                <w:szCs w:val="24"/>
                <w:u w:val="none"/>
              </w:rPr>
              <w:instrText xml:space="preserve"> = 4 \* GB3 \* MERGEFORMAT </w:instrText>
            </w:r>
            <w:r>
              <w:rPr>
                <w:rFonts w:hint="default" w:ascii="Times New Roman" w:hAnsi="Times New Roman" w:cs="Times New Roman"/>
                <w:b w:val="0"/>
                <w:bCs w:val="0"/>
                <w:color w:val="auto"/>
                <w:sz w:val="24"/>
                <w:szCs w:val="24"/>
                <w:u w:val="none"/>
              </w:rPr>
              <w:fldChar w:fldCharType="separate"/>
            </w:r>
            <w:r>
              <w:rPr>
                <w:rFonts w:hint="default" w:ascii="Times New Roman" w:hAnsi="Times New Roman" w:cs="Times New Roman"/>
                <w:b w:val="0"/>
                <w:bCs w:val="0"/>
                <w:color w:val="auto"/>
                <w:sz w:val="24"/>
                <w:szCs w:val="24"/>
                <w:u w:val="none"/>
              </w:rPr>
              <w:t>④</w:t>
            </w:r>
            <w:r>
              <w:rPr>
                <w:rFonts w:hint="default" w:ascii="Times New Roman" w:hAnsi="Times New Roman" w:cs="Times New Roman"/>
                <w:b w:val="0"/>
                <w:bCs w:val="0"/>
                <w:color w:val="auto"/>
                <w:sz w:val="24"/>
                <w:szCs w:val="24"/>
                <w:u w:val="none"/>
              </w:rPr>
              <w:fldChar w:fldCharType="end"/>
            </w:r>
            <w:r>
              <w:rPr>
                <w:rFonts w:hint="default" w:ascii="Times New Roman" w:hAnsi="Times New Roman" w:cs="Times New Roman"/>
                <w:b w:val="0"/>
                <w:bCs w:val="0"/>
                <w:color w:val="auto"/>
                <w:sz w:val="24"/>
                <w:szCs w:val="24"/>
                <w:u w:val="none"/>
              </w:rPr>
              <w:t>施工过程中使用水泥、石灰、砂石、涂料、铺装材料等易产生扬尘的建筑材料，应采取密封存储，用防尘布遮盖等措施。弃土、弃料及其它建筑垃圾，应及时清运,若在工地内堆置超过一周的，则应采取覆盖防尘布、防尘网，定期喷水压尘等措施，防止风蚀起尘及水蚀迁移。</w:t>
            </w:r>
          </w:p>
          <w:p>
            <w:pPr>
              <w:spacing w:line="460" w:lineRule="exact"/>
              <w:ind w:firstLine="462" w:firstLineChars="200"/>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fldChar w:fldCharType="begin"/>
            </w:r>
            <w:r>
              <w:rPr>
                <w:rFonts w:hint="default" w:ascii="Times New Roman" w:hAnsi="Times New Roman" w:cs="Times New Roman"/>
                <w:b w:val="0"/>
                <w:bCs w:val="0"/>
                <w:color w:val="auto"/>
                <w:sz w:val="24"/>
                <w:szCs w:val="24"/>
                <w:u w:val="none"/>
              </w:rPr>
              <w:instrText xml:space="preserve"> = 5 \* GB3 \* MERGEFORMAT </w:instrText>
            </w:r>
            <w:r>
              <w:rPr>
                <w:rFonts w:hint="default" w:ascii="Times New Roman" w:hAnsi="Times New Roman" w:cs="Times New Roman"/>
                <w:b w:val="0"/>
                <w:bCs w:val="0"/>
                <w:color w:val="auto"/>
                <w:sz w:val="24"/>
                <w:szCs w:val="24"/>
                <w:u w:val="none"/>
              </w:rPr>
              <w:fldChar w:fldCharType="separate"/>
            </w:r>
            <w:r>
              <w:rPr>
                <w:rFonts w:hint="default" w:ascii="Times New Roman" w:hAnsi="Times New Roman" w:cs="Times New Roman"/>
                <w:b w:val="0"/>
                <w:bCs w:val="0"/>
                <w:color w:val="auto"/>
                <w:sz w:val="24"/>
                <w:szCs w:val="24"/>
                <w:u w:val="none"/>
              </w:rPr>
              <w:t>⑤</w:t>
            </w:r>
            <w:r>
              <w:rPr>
                <w:rFonts w:hint="default" w:ascii="Times New Roman" w:hAnsi="Times New Roman" w:cs="Times New Roman"/>
                <w:b w:val="0"/>
                <w:bCs w:val="0"/>
                <w:color w:val="auto"/>
                <w:sz w:val="24"/>
                <w:szCs w:val="24"/>
                <w:u w:val="none"/>
              </w:rPr>
              <w:fldChar w:fldCharType="end"/>
            </w:r>
            <w:r>
              <w:rPr>
                <w:rFonts w:hint="default" w:ascii="Times New Roman" w:hAnsi="Times New Roman" w:cs="Times New Roman"/>
                <w:b w:val="0"/>
                <w:bCs w:val="0"/>
                <w:color w:val="auto"/>
                <w:sz w:val="24"/>
                <w:szCs w:val="24"/>
                <w:u w:val="none"/>
              </w:rPr>
              <w:t>施工工地道路积尘在采取洒水抑尘措施的情况下进行清扫，设置专职人员负责施工场地内及施工场地周边的保洁工作。</w:t>
            </w:r>
          </w:p>
          <w:p>
            <w:pPr>
              <w:spacing w:line="460" w:lineRule="exact"/>
              <w:ind w:firstLine="462" w:firstLineChars="200"/>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t>⑥施工时应使用预拌商品混凝土和成品石材。</w:t>
            </w:r>
          </w:p>
          <w:p>
            <w:pPr>
              <w:spacing w:line="460" w:lineRule="exact"/>
              <w:ind w:firstLine="462"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（2）车辆尾气</w:t>
            </w:r>
          </w:p>
          <w:p>
            <w:pPr>
              <w:spacing w:line="460" w:lineRule="exact"/>
              <w:ind w:firstLine="462" w:firstLineChars="200"/>
              <w:rPr>
                <w:color w:val="auto"/>
                <w:sz w:val="24"/>
                <w:szCs w:val="24"/>
              </w:rPr>
            </w:pPr>
            <w:r>
              <w:rPr>
                <w:rFonts w:hint="default" w:ascii="Times New Roman" w:hAnsi="Times New Roman" w:cs="Times New Roman"/>
                <w:color w:val="auto"/>
                <w:sz w:val="24"/>
                <w:szCs w:val="24"/>
              </w:rPr>
              <w:t>挖掘机、装载机、运输车辆等因燃油产生的CO、</w:t>
            </w:r>
            <w:r>
              <w:rPr>
                <w:color w:val="auto"/>
                <w:sz w:val="24"/>
                <w:szCs w:val="24"/>
              </w:rPr>
              <w:t>NOx、THC等污染物对局部大气环境将有所影响，但此类污染物排放量不大，多表现为间歇性特征。而且项目地势较为开阔、空气流通性较好，有利于污染物质的扩散等因素综合分析，本工程施工机械排放的废气总体上对周边大气环境影响较小。</w:t>
            </w:r>
          </w:p>
          <w:p>
            <w:pPr>
              <w:spacing w:line="460" w:lineRule="exact"/>
              <w:ind w:firstLine="462" w:firstLineChars="200"/>
              <w:rPr>
                <w:color w:val="auto"/>
                <w:sz w:val="24"/>
                <w:szCs w:val="24"/>
              </w:rPr>
            </w:pPr>
            <w:r>
              <w:rPr>
                <w:rFonts w:hint="eastAsia"/>
                <w:color w:val="auto"/>
                <w:sz w:val="24"/>
                <w:szCs w:val="24"/>
              </w:rPr>
              <w:t>施工现场应做好</w:t>
            </w:r>
            <w:r>
              <w:rPr>
                <w:color w:val="auto"/>
                <w:sz w:val="24"/>
                <w:szCs w:val="24"/>
              </w:rPr>
              <w:t>交通组织，避免因施工造成的交通阻塞，减少运输车辆怠速产生的废气排放。</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（3）装修粉尘及装修有机废气</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项目装修过程中可能会产生粉尘及装修材料的有机废气（油漆、各种胶合板和贴合剂产生的甲醛、喷漆有机挥发气（含苯、甲苯、二甲苯）。这些废气属无组织排放，对周围环境影响突出。目前装修中最大的装修污染是甲醛污染，其浓度较高，甲醛对人体危害较大，会刺激皮肤粘膜，引发支气管炎，导致基因突变，建设方可以通过使用活性炭吸附甲醛，利用吸收甲醛能力强的植物吸附甲醛，使用甲醛捕捉剂吸收甲醛，并保持室内通风，尽快将甲醛浓度降至最低，以减轻对人体健康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室内环境污染控制应遵守住宅装修工程施工规范，符合《民用建筑工程室内环境污染控制规范》（GB50325-2010）的有关规定，同时设计、施工中尽量采用低毒、低污染的环保装修材料。在装修期间，每天进行通风换气，在装修完成后放置一段时间后才能入住。</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为使装修期间废气污染降到最低，建设方还必须做到：</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①选用质量合格、通过国家质量检验的低污染油漆、涂料和胶合板等装修材料；</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②施工人员应配备必要的防护装备和保证足够的通风量，避免具有刺激性气味的物质或可被人体吸入的粉尘、纤维等污染物对施工人员身体健康及周围环境造成的危害。</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fldChar w:fldCharType="begin"/>
            </w:r>
            <w:r>
              <w:rPr>
                <w:color w:val="auto"/>
                <w:sz w:val="24"/>
                <w:szCs w:val="24"/>
              </w:rPr>
              <w:instrText xml:space="preserve"> = 3 \* GB3 \* MERGEFORMAT </w:instrText>
            </w:r>
            <w:r>
              <w:rPr>
                <w:color w:val="auto"/>
                <w:sz w:val="24"/>
                <w:szCs w:val="24"/>
              </w:rPr>
              <w:fldChar w:fldCharType="separate"/>
            </w:r>
            <w:r>
              <w:rPr>
                <w:color w:val="auto"/>
                <w:sz w:val="24"/>
                <w:szCs w:val="24"/>
              </w:rPr>
              <w:t>③</w:t>
            </w:r>
            <w:r>
              <w:rPr>
                <w:color w:val="auto"/>
                <w:sz w:val="24"/>
                <w:szCs w:val="24"/>
              </w:rPr>
              <w:fldChar w:fldCharType="end"/>
            </w:r>
            <w:r>
              <w:rPr>
                <w:color w:val="auto"/>
                <w:sz w:val="24"/>
                <w:szCs w:val="24"/>
              </w:rPr>
              <w:t>装修材料（如一些花岗石地板砖、墙砖等）中存在放射性物质，建议装修过程中使用环保材料进行装修。</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fldChar w:fldCharType="begin"/>
            </w:r>
            <w:r>
              <w:rPr>
                <w:color w:val="auto"/>
                <w:sz w:val="24"/>
                <w:szCs w:val="24"/>
              </w:rPr>
              <w:instrText xml:space="preserve"> = 4 \* GB3 \* MERGEFORMAT </w:instrText>
            </w:r>
            <w:r>
              <w:rPr>
                <w:color w:val="auto"/>
                <w:sz w:val="24"/>
                <w:szCs w:val="24"/>
              </w:rPr>
              <w:fldChar w:fldCharType="separate"/>
            </w:r>
            <w:r>
              <w:rPr>
                <w:color w:val="auto"/>
                <w:sz w:val="24"/>
                <w:szCs w:val="24"/>
              </w:rPr>
              <w:t>④</w:t>
            </w:r>
            <w:r>
              <w:rPr>
                <w:color w:val="auto"/>
                <w:sz w:val="24"/>
                <w:szCs w:val="24"/>
              </w:rPr>
              <w:fldChar w:fldCharType="end"/>
            </w:r>
            <w:r>
              <w:rPr>
                <w:color w:val="auto"/>
                <w:sz w:val="24"/>
                <w:szCs w:val="24"/>
              </w:rPr>
              <w:t>为减少装修过程产生有毒有害废气，建议</w:t>
            </w:r>
            <w:r>
              <w:rPr>
                <w:rFonts w:hint="eastAsia"/>
                <w:color w:val="auto"/>
                <w:sz w:val="24"/>
                <w:szCs w:val="24"/>
              </w:rPr>
              <w:t>建设方对行政楼只</w:t>
            </w:r>
            <w:r>
              <w:rPr>
                <w:color w:val="auto"/>
                <w:sz w:val="24"/>
                <w:szCs w:val="24"/>
              </w:rPr>
              <w:t>进行简单装修，不使用可能产生有毒有害气体的装饰材料。</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采取以上措施后，项目施工</w:t>
            </w:r>
            <w:r>
              <w:rPr>
                <w:rFonts w:hint="eastAsia"/>
                <w:color w:val="auto"/>
                <w:sz w:val="24"/>
                <w:szCs w:val="24"/>
              </w:rPr>
              <w:t>期产生的</w:t>
            </w:r>
            <w:r>
              <w:rPr>
                <w:color w:val="auto"/>
                <w:sz w:val="24"/>
                <w:szCs w:val="24"/>
              </w:rPr>
              <w:t>扬尘、车辆尾气</w:t>
            </w:r>
            <w:r>
              <w:rPr>
                <w:rFonts w:hint="eastAsia"/>
                <w:color w:val="auto"/>
                <w:sz w:val="24"/>
                <w:szCs w:val="24"/>
              </w:rPr>
              <w:t>和装修</w:t>
            </w:r>
            <w:r>
              <w:rPr>
                <w:color w:val="auto"/>
                <w:sz w:val="24"/>
                <w:szCs w:val="24"/>
              </w:rPr>
              <w:t>废气对周边环境空气的影响</w:t>
            </w:r>
            <w:r>
              <w:rPr>
                <w:rFonts w:hint="eastAsia"/>
                <w:color w:val="auto"/>
                <w:sz w:val="24"/>
                <w:szCs w:val="24"/>
              </w:rPr>
              <w:t>小</w:t>
            </w:r>
            <w:r>
              <w:rPr>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b/>
                <w:bCs/>
                <w:color w:val="auto"/>
                <w:kern w:val="24"/>
                <w:sz w:val="24"/>
                <w:szCs w:val="22"/>
              </w:rPr>
            </w:pPr>
            <w:r>
              <w:rPr>
                <w:rFonts w:hint="eastAsia"/>
                <w:b/>
                <w:bCs/>
                <w:color w:val="auto"/>
                <w:kern w:val="24"/>
                <w:sz w:val="24"/>
                <w:szCs w:val="22"/>
              </w:rPr>
              <w:t>7.1.2水环境影响分析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施工期废水包括施工人员</w:t>
            </w:r>
            <w:r>
              <w:rPr>
                <w:rFonts w:hint="eastAsia"/>
                <w:color w:val="auto"/>
                <w:sz w:val="24"/>
                <w:szCs w:val="24"/>
              </w:rPr>
              <w:t>生活污水</w:t>
            </w:r>
            <w:r>
              <w:rPr>
                <w:color w:val="auto"/>
                <w:sz w:val="24"/>
                <w:szCs w:val="24"/>
              </w:rPr>
              <w:t>和施工废水。</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施工人员生活污水的</w:t>
            </w:r>
            <w:r>
              <w:rPr>
                <w:color w:val="auto"/>
                <w:sz w:val="24"/>
                <w:szCs w:val="24"/>
              </w:rPr>
              <w:t>排放量为</w:t>
            </w:r>
            <w:r>
              <w:rPr>
                <w:rFonts w:hint="eastAsia"/>
                <w:color w:val="auto"/>
                <w:sz w:val="24"/>
                <w:szCs w:val="24"/>
              </w:rPr>
              <w:t>64.8</w:t>
            </w:r>
            <w:r>
              <w:rPr>
                <w:color w:val="auto"/>
                <w:sz w:val="24"/>
                <w:szCs w:val="24"/>
              </w:rPr>
              <w:t>m</w:t>
            </w:r>
            <w:r>
              <w:rPr>
                <w:color w:val="auto"/>
                <w:sz w:val="24"/>
                <w:szCs w:val="24"/>
                <w:vertAlign w:val="superscript"/>
              </w:rPr>
              <w:t>3</w:t>
            </w:r>
            <w:r>
              <w:rPr>
                <w:color w:val="auto"/>
                <w:sz w:val="24"/>
                <w:szCs w:val="24"/>
              </w:rPr>
              <w:t>，主要污染因子为COD、BOD</w:t>
            </w:r>
            <w:r>
              <w:rPr>
                <w:color w:val="auto"/>
                <w:sz w:val="24"/>
                <w:szCs w:val="24"/>
                <w:vertAlign w:val="subscript"/>
              </w:rPr>
              <w:t>5</w:t>
            </w:r>
            <w:r>
              <w:rPr>
                <w:color w:val="auto"/>
                <w:sz w:val="24"/>
                <w:szCs w:val="24"/>
              </w:rPr>
              <w:t>、SS、NH</w:t>
            </w:r>
            <w:r>
              <w:rPr>
                <w:color w:val="auto"/>
                <w:sz w:val="24"/>
                <w:szCs w:val="24"/>
                <w:vertAlign w:val="subscript"/>
              </w:rPr>
              <w:t>3</w:t>
            </w:r>
            <w:r>
              <w:rPr>
                <w:color w:val="auto"/>
                <w:sz w:val="24"/>
                <w:szCs w:val="24"/>
              </w:rPr>
              <w:t>-N</w:t>
            </w:r>
            <w:r>
              <w:rPr>
                <w:rFonts w:hint="eastAsia"/>
                <w:color w:val="auto"/>
                <w:sz w:val="24"/>
                <w:szCs w:val="24"/>
              </w:rPr>
              <w:t>，主要依托现有旱厕收集后用作农肥，对周边水环境影响小。</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u w:val="none"/>
              </w:rPr>
              <w:t>本项目管网工程施工废水主要为下雨导致的管沟积水，一般而言可不做处理由其自然 渗透入地下，仅对地下水水量有轻微影响，基本不会影响地下水水质；暴雨天气下将使用水泵抽水，经沉淀池沉淀后就近排放至周边河流。针对污</w:t>
            </w:r>
            <w:r>
              <w:rPr>
                <w:rFonts w:hint="eastAsia"/>
                <w:color w:val="auto"/>
                <w:sz w:val="24"/>
                <w:szCs w:val="24"/>
              </w:rPr>
              <w:t>水处理厂</w:t>
            </w:r>
            <w:r>
              <w:rPr>
                <w:rFonts w:hint="eastAsia"/>
                <w:color w:val="auto"/>
                <w:sz w:val="24"/>
                <w:szCs w:val="24"/>
                <w:lang w:eastAsia="zh-CN"/>
              </w:rPr>
              <w:t>工程</w:t>
            </w:r>
            <w:r>
              <w:rPr>
                <w:rFonts w:hint="eastAsia"/>
                <w:color w:val="auto"/>
                <w:sz w:val="24"/>
                <w:szCs w:val="24"/>
              </w:rPr>
              <w:t>施工废水，项目拟在施工场地内设沉淀池，施工废水经处理后回用于场地洒水降尘等，不外排，对区域水环境影响较小。同时为使施工活动对水环境的影响减少到最小限度，应采取以下措施：</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（1）</w:t>
            </w:r>
            <w:r>
              <w:rPr>
                <w:color w:val="auto"/>
                <w:sz w:val="24"/>
                <w:szCs w:val="24"/>
              </w:rPr>
              <w:t>要求建设方对其加强管理、控制，针对施工废水，并在施工现场修筑临时沉淀池，废水经沉淀后回用于场地洒水抑尘，不外排。</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w:t>
            </w:r>
            <w:r>
              <w:rPr>
                <w:rFonts w:hint="eastAsia"/>
                <w:color w:val="auto"/>
                <w:sz w:val="24"/>
                <w:szCs w:val="24"/>
              </w:rPr>
              <w:t>2</w:t>
            </w:r>
            <w:r>
              <w:rPr>
                <w:color w:val="auto"/>
                <w:sz w:val="24"/>
                <w:szCs w:val="24"/>
              </w:rPr>
              <w:t xml:space="preserve">）施工中的固体废弃物应及时清理并运走，建筑材料应妥善存放并用篷布遮盖，防止雨水冲刷而造成污染。 </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w:t>
            </w:r>
            <w:r>
              <w:rPr>
                <w:rFonts w:hint="eastAsia"/>
                <w:color w:val="auto"/>
                <w:sz w:val="24"/>
                <w:szCs w:val="24"/>
              </w:rPr>
              <w:t>3</w:t>
            </w:r>
            <w:r>
              <w:rPr>
                <w:color w:val="auto"/>
                <w:sz w:val="24"/>
                <w:szCs w:val="24"/>
              </w:rPr>
              <w:t xml:space="preserve">）尽量避免在雨季开挖土方，节约建筑用水；防止溢流，要搭盖堆料工棚等，减少雨水对堆土的冲刷。 </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w:t>
            </w:r>
            <w:r>
              <w:rPr>
                <w:rFonts w:hint="eastAsia"/>
                <w:color w:val="auto"/>
                <w:sz w:val="24"/>
                <w:szCs w:val="24"/>
              </w:rPr>
              <w:t>4</w:t>
            </w:r>
            <w:r>
              <w:rPr>
                <w:color w:val="auto"/>
                <w:sz w:val="24"/>
                <w:szCs w:val="24"/>
              </w:rPr>
              <w:t>）在施工过程中应加强对机械设备的检修，以防止设备漏油现象的发生；施工机械设备的维修应在专业厂家进行，防止施工现场地表油类污染。</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综上，施工期废水对周边水环境影响小。</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b/>
                <w:bCs/>
                <w:color w:val="auto"/>
                <w:sz w:val="24"/>
                <w:szCs w:val="24"/>
              </w:rPr>
            </w:pPr>
            <w:r>
              <w:rPr>
                <w:rFonts w:hint="eastAsia"/>
                <w:b/>
                <w:bCs/>
                <w:color w:val="auto"/>
                <w:sz w:val="24"/>
                <w:szCs w:val="24"/>
              </w:rPr>
              <w:t>7.1.3</w:t>
            </w:r>
            <w:r>
              <w:rPr>
                <w:b/>
                <w:bCs/>
                <w:color w:val="auto"/>
                <w:sz w:val="24"/>
                <w:szCs w:val="24"/>
              </w:rPr>
              <w:t>声环境影响分析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rPr>
            </w:pPr>
            <w:r>
              <w:rPr>
                <w:color w:val="auto"/>
                <w:sz w:val="24"/>
                <w:szCs w:val="24"/>
                <w:u w:val="none"/>
              </w:rPr>
              <w:t>施工期噪声主要来自施工机械噪声、交通噪声</w:t>
            </w:r>
            <w:r>
              <w:rPr>
                <w:rFonts w:hint="eastAsia"/>
                <w:color w:val="auto"/>
                <w:sz w:val="24"/>
                <w:szCs w:val="24"/>
                <w:u w:val="none"/>
              </w:rPr>
              <w:t>，</w:t>
            </w:r>
            <w:r>
              <w:rPr>
                <w:color w:val="auto"/>
                <w:sz w:val="24"/>
                <w:szCs w:val="24"/>
                <w:u w:val="none"/>
              </w:rPr>
              <w:t>噪声值在70～100dB（A）之间。施工机械噪声由施工机械运行产生，多为点声源。交通噪声由车辆运输过程产生，主要为流动性噪声，上述噪声的产生特点均为间歇性或阵发性的。</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u w:val="none"/>
              </w:rPr>
            </w:pPr>
            <w:r>
              <w:rPr>
                <w:color w:val="auto"/>
                <w:sz w:val="24"/>
                <w:szCs w:val="24"/>
                <w:u w:val="none"/>
              </w:rPr>
              <w:t>污水处理厂工程建设地点固定，各机械设备噪声可视为点声源；管网工程流水施工，在单位工段施工时各机械设备噪声可视为点声源，以整个施工期来看可视为流动性声源。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u w:val="none"/>
              </w:rPr>
              <w:t>根据2010年4月1日开始实行的新的声环境导则（HJ2.4-2009</w:t>
            </w:r>
            <w:r>
              <w:rPr>
                <w:color w:val="auto"/>
                <w:sz w:val="24"/>
                <w:szCs w:val="24"/>
              </w:rPr>
              <w:t>），点声源声级衰减模式为：</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object>
                <v:shape id="_x0000_i1027" o:spt="75" type="#_x0000_t75" style="height:21.75pt;width:108.75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object>
                <v:shape id="_x0000_i1028" o:spt="75" type="#_x0000_t75" style="height:24pt;width:201.75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式中：LA(r)——距声源r处的A声级，dB(A)；</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LA(r0)——距声源r0处的A声级，dB(A)；</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A ——倍频带衰减，dB；</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Adiv——几何发散引起的倍频带衰减，Adiv=20lg（r/r0），dB；</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Aatm——大气吸收引起的倍频带衰减（本项目取0dB），dB；</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Agr——地面效应引起的倍频带衰减（本项目取0dB），dB；</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Abar——声屏障引起的倍频带衰减（本项目取0dB），dB；</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Amisc——其他多方面效应引起的倍频带衰减（本项目取0dB），dB。</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施工场地噪声预测结果见表7-</w:t>
            </w:r>
            <w:r>
              <w:rPr>
                <w:rFonts w:hint="eastAsia"/>
                <w:color w:val="auto"/>
                <w:sz w:val="24"/>
                <w:szCs w:val="24"/>
              </w:rPr>
              <w:t>3</w:t>
            </w:r>
            <w:r>
              <w:rPr>
                <w:color w:val="auto"/>
                <w:sz w:val="24"/>
                <w:szCs w:val="24"/>
              </w:rPr>
              <w:t>。</w:t>
            </w:r>
          </w:p>
          <w:p>
            <w:pPr>
              <w:pStyle w:val="14"/>
              <w:keepNext w:val="0"/>
              <w:keepLines w:val="0"/>
              <w:pageBreakBefore w:val="0"/>
              <w:widowControl w:val="0"/>
              <w:kinsoku/>
              <w:wordWrap/>
              <w:overflowPunct/>
              <w:topLinePunct w:val="0"/>
              <w:autoSpaceDE/>
              <w:autoSpaceDN/>
              <w:bidi w:val="0"/>
              <w:adjustRightInd w:val="0"/>
              <w:snapToGrid w:val="0"/>
              <w:spacing w:after="0" w:line="360" w:lineRule="auto"/>
              <w:ind w:left="0" w:leftChars="0"/>
              <w:textAlignment w:val="auto"/>
              <w:rPr>
                <w:color w:val="auto"/>
              </w:rPr>
            </w:pPr>
          </w:p>
          <w:p>
            <w:pPr>
              <w:jc w:val="center"/>
              <w:rPr>
                <w:b/>
                <w:bCs/>
                <w:color w:val="auto"/>
                <w:szCs w:val="21"/>
              </w:rPr>
            </w:pPr>
          </w:p>
          <w:p>
            <w:pPr>
              <w:jc w:val="center"/>
              <w:rPr>
                <w:b/>
                <w:bCs/>
                <w:color w:val="auto"/>
                <w:szCs w:val="21"/>
              </w:rPr>
            </w:pPr>
          </w:p>
          <w:p>
            <w:pPr>
              <w:jc w:val="center"/>
              <w:rPr>
                <w:b/>
                <w:bCs/>
                <w:color w:val="auto"/>
                <w:szCs w:val="21"/>
              </w:rPr>
            </w:pPr>
          </w:p>
          <w:p>
            <w:pPr>
              <w:jc w:val="center"/>
              <w:rPr>
                <w:b/>
                <w:bCs/>
                <w:color w:val="auto"/>
                <w:szCs w:val="21"/>
              </w:rPr>
            </w:pPr>
            <w:r>
              <w:rPr>
                <w:b/>
                <w:bCs/>
                <w:color w:val="auto"/>
                <w:szCs w:val="21"/>
              </w:rPr>
              <w:t>表7-</w:t>
            </w:r>
            <w:r>
              <w:rPr>
                <w:rFonts w:hint="eastAsia"/>
                <w:b/>
                <w:bCs/>
                <w:color w:val="auto"/>
                <w:szCs w:val="21"/>
              </w:rPr>
              <w:t xml:space="preserve">3   </w:t>
            </w:r>
            <w:r>
              <w:rPr>
                <w:b/>
                <w:bCs/>
                <w:color w:val="auto"/>
                <w:szCs w:val="21"/>
              </w:rPr>
              <w:t>距声源不同距离处的噪声值  单位：dB（A）</w:t>
            </w:r>
          </w:p>
          <w:tbl>
            <w:tblPr>
              <w:tblStyle w:val="27"/>
              <w:tblW w:w="90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562"/>
              <w:gridCol w:w="1298"/>
              <w:gridCol w:w="887"/>
              <w:gridCol w:w="888"/>
              <w:gridCol w:w="784"/>
              <w:gridCol w:w="734"/>
              <w:gridCol w:w="750"/>
              <w:gridCol w:w="7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1433" w:type="dxa"/>
                  <w:vMerge w:val="restart"/>
                  <w:tcBorders>
                    <w:tl2br w:val="nil"/>
                    <w:tr2bl w:val="nil"/>
                  </w:tcBorders>
                  <w:vAlign w:val="center"/>
                </w:tcPr>
                <w:p>
                  <w:pPr>
                    <w:widowControl/>
                    <w:snapToGrid w:val="0"/>
                    <w:jc w:val="center"/>
                    <w:rPr>
                      <w:color w:val="auto"/>
                    </w:rPr>
                  </w:pPr>
                  <w:r>
                    <w:rPr>
                      <w:color w:val="auto"/>
                    </w:rPr>
                    <w:t>施工阶段</w:t>
                  </w:r>
                </w:p>
              </w:tc>
              <w:tc>
                <w:tcPr>
                  <w:tcW w:w="1562" w:type="dxa"/>
                  <w:vMerge w:val="restart"/>
                  <w:tcBorders>
                    <w:tl2br w:val="nil"/>
                    <w:tr2bl w:val="nil"/>
                  </w:tcBorders>
                  <w:vAlign w:val="center"/>
                </w:tcPr>
                <w:p>
                  <w:pPr>
                    <w:widowControl/>
                    <w:adjustRightInd w:val="0"/>
                    <w:snapToGrid w:val="0"/>
                    <w:jc w:val="center"/>
                    <w:rPr>
                      <w:color w:val="auto"/>
                    </w:rPr>
                  </w:pPr>
                  <w:r>
                    <w:rPr>
                      <w:color w:val="auto"/>
                    </w:rPr>
                    <w:t>设备名称</w:t>
                  </w:r>
                </w:p>
              </w:tc>
              <w:tc>
                <w:tcPr>
                  <w:tcW w:w="1298" w:type="dxa"/>
                  <w:vMerge w:val="restart"/>
                  <w:tcBorders>
                    <w:tl2br w:val="nil"/>
                    <w:tr2bl w:val="nil"/>
                  </w:tcBorders>
                  <w:vAlign w:val="center"/>
                </w:tcPr>
                <w:p>
                  <w:pPr>
                    <w:widowControl/>
                    <w:snapToGrid w:val="0"/>
                    <w:jc w:val="center"/>
                    <w:rPr>
                      <w:color w:val="auto"/>
                    </w:rPr>
                  </w:pPr>
                  <w:r>
                    <w:rPr>
                      <w:color w:val="auto"/>
                    </w:rPr>
                    <w:t>噪声级（距声源5m）</w:t>
                  </w:r>
                </w:p>
              </w:tc>
              <w:tc>
                <w:tcPr>
                  <w:tcW w:w="4793" w:type="dxa"/>
                  <w:gridSpan w:val="6"/>
                  <w:tcBorders>
                    <w:tl2br w:val="nil"/>
                    <w:tr2bl w:val="nil"/>
                  </w:tcBorders>
                  <w:vAlign w:val="center"/>
                </w:tcPr>
                <w:p>
                  <w:pPr>
                    <w:widowControl/>
                    <w:adjustRightInd w:val="0"/>
                    <w:snapToGrid w:val="0"/>
                    <w:jc w:val="center"/>
                    <w:rPr>
                      <w:color w:val="auto"/>
                    </w:rPr>
                  </w:pPr>
                  <w:r>
                    <w:rPr>
                      <w:color w:val="auto"/>
                    </w:rPr>
                    <w:t>受声点不同距离处噪声衰减值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433" w:type="dxa"/>
                  <w:vMerge w:val="continue"/>
                  <w:tcBorders>
                    <w:tl2br w:val="nil"/>
                    <w:tr2bl w:val="nil"/>
                  </w:tcBorders>
                  <w:vAlign w:val="center"/>
                </w:tcPr>
                <w:p>
                  <w:pPr>
                    <w:adjustRightInd w:val="0"/>
                    <w:snapToGrid w:val="0"/>
                    <w:jc w:val="center"/>
                    <w:rPr>
                      <w:color w:val="auto"/>
                    </w:rPr>
                  </w:pPr>
                </w:p>
              </w:tc>
              <w:tc>
                <w:tcPr>
                  <w:tcW w:w="1562" w:type="dxa"/>
                  <w:vMerge w:val="continue"/>
                  <w:tcBorders>
                    <w:tl2br w:val="nil"/>
                    <w:tr2bl w:val="nil"/>
                  </w:tcBorders>
                  <w:vAlign w:val="center"/>
                </w:tcPr>
                <w:p>
                  <w:pPr>
                    <w:adjustRightInd w:val="0"/>
                    <w:snapToGrid w:val="0"/>
                    <w:jc w:val="center"/>
                    <w:rPr>
                      <w:color w:val="auto"/>
                    </w:rPr>
                  </w:pPr>
                </w:p>
              </w:tc>
              <w:tc>
                <w:tcPr>
                  <w:tcW w:w="1298" w:type="dxa"/>
                  <w:vMerge w:val="continue"/>
                  <w:tcBorders>
                    <w:tl2br w:val="nil"/>
                    <w:tr2bl w:val="nil"/>
                  </w:tcBorders>
                  <w:vAlign w:val="center"/>
                </w:tcPr>
                <w:p>
                  <w:pPr>
                    <w:widowControl/>
                    <w:snapToGrid w:val="0"/>
                    <w:jc w:val="center"/>
                    <w:rPr>
                      <w:color w:val="auto"/>
                    </w:rPr>
                  </w:pPr>
                </w:p>
              </w:tc>
              <w:tc>
                <w:tcPr>
                  <w:tcW w:w="887" w:type="dxa"/>
                  <w:tcBorders>
                    <w:tl2br w:val="nil"/>
                    <w:tr2bl w:val="nil"/>
                  </w:tcBorders>
                  <w:vAlign w:val="center"/>
                </w:tcPr>
                <w:p>
                  <w:pPr>
                    <w:widowControl/>
                    <w:snapToGrid w:val="0"/>
                    <w:jc w:val="center"/>
                    <w:rPr>
                      <w:color w:val="auto"/>
                    </w:rPr>
                  </w:pPr>
                  <w:r>
                    <w:rPr>
                      <w:color w:val="auto"/>
                    </w:rPr>
                    <w:t>10m</w:t>
                  </w:r>
                </w:p>
              </w:tc>
              <w:tc>
                <w:tcPr>
                  <w:tcW w:w="888" w:type="dxa"/>
                  <w:tcBorders>
                    <w:tl2br w:val="nil"/>
                    <w:tr2bl w:val="nil"/>
                  </w:tcBorders>
                  <w:vAlign w:val="center"/>
                </w:tcPr>
                <w:p>
                  <w:pPr>
                    <w:widowControl/>
                    <w:snapToGrid w:val="0"/>
                    <w:jc w:val="center"/>
                    <w:rPr>
                      <w:color w:val="auto"/>
                    </w:rPr>
                  </w:pPr>
                  <w:r>
                    <w:rPr>
                      <w:color w:val="auto"/>
                    </w:rPr>
                    <w:t>15m</w:t>
                  </w:r>
                </w:p>
              </w:tc>
              <w:tc>
                <w:tcPr>
                  <w:tcW w:w="784" w:type="dxa"/>
                  <w:tcBorders>
                    <w:tl2br w:val="nil"/>
                    <w:tr2bl w:val="nil"/>
                  </w:tcBorders>
                  <w:vAlign w:val="center"/>
                </w:tcPr>
                <w:p>
                  <w:pPr>
                    <w:widowControl/>
                    <w:snapToGrid w:val="0"/>
                    <w:jc w:val="center"/>
                    <w:rPr>
                      <w:color w:val="auto"/>
                    </w:rPr>
                  </w:pPr>
                  <w:r>
                    <w:rPr>
                      <w:color w:val="auto"/>
                    </w:rPr>
                    <w:t>20m</w:t>
                  </w:r>
                </w:p>
              </w:tc>
              <w:tc>
                <w:tcPr>
                  <w:tcW w:w="734" w:type="dxa"/>
                  <w:tcBorders>
                    <w:tl2br w:val="nil"/>
                    <w:tr2bl w:val="nil"/>
                  </w:tcBorders>
                  <w:vAlign w:val="center"/>
                </w:tcPr>
                <w:p>
                  <w:pPr>
                    <w:widowControl/>
                    <w:snapToGrid w:val="0"/>
                    <w:jc w:val="center"/>
                    <w:rPr>
                      <w:color w:val="auto"/>
                    </w:rPr>
                  </w:pPr>
                  <w:r>
                    <w:rPr>
                      <w:color w:val="auto"/>
                    </w:rPr>
                    <w:t>50m</w:t>
                  </w:r>
                </w:p>
              </w:tc>
              <w:tc>
                <w:tcPr>
                  <w:tcW w:w="750" w:type="dxa"/>
                  <w:tcBorders>
                    <w:tl2br w:val="nil"/>
                    <w:tr2bl w:val="nil"/>
                  </w:tcBorders>
                  <w:vAlign w:val="center"/>
                </w:tcPr>
                <w:p>
                  <w:pPr>
                    <w:widowControl/>
                    <w:snapToGrid w:val="0"/>
                    <w:jc w:val="center"/>
                    <w:rPr>
                      <w:color w:val="auto"/>
                    </w:rPr>
                  </w:pPr>
                  <w:r>
                    <w:rPr>
                      <w:color w:val="auto"/>
                    </w:rPr>
                    <w:t>100m</w:t>
                  </w:r>
                </w:p>
              </w:tc>
              <w:tc>
                <w:tcPr>
                  <w:tcW w:w="750" w:type="dxa"/>
                  <w:tcBorders>
                    <w:tl2br w:val="nil"/>
                    <w:tr2bl w:val="nil"/>
                  </w:tcBorders>
                  <w:vAlign w:val="center"/>
                </w:tcPr>
                <w:p>
                  <w:pPr>
                    <w:widowControl/>
                    <w:snapToGrid w:val="0"/>
                    <w:jc w:val="center"/>
                    <w:rPr>
                      <w:color w:val="auto"/>
                    </w:rPr>
                  </w:pPr>
                  <w:r>
                    <w:rPr>
                      <w:color w:val="auto"/>
                    </w:rPr>
                    <w:t>200m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exact"/>
                <w:jc w:val="center"/>
              </w:trPr>
              <w:tc>
                <w:tcPr>
                  <w:tcW w:w="1433" w:type="dxa"/>
                  <w:vMerge w:val="restart"/>
                  <w:tcBorders>
                    <w:tl2br w:val="nil"/>
                    <w:tr2bl w:val="nil"/>
                  </w:tcBorders>
                  <w:vAlign w:val="center"/>
                </w:tcPr>
                <w:p>
                  <w:pPr>
                    <w:widowControl/>
                    <w:snapToGrid w:val="0"/>
                    <w:jc w:val="center"/>
                    <w:rPr>
                      <w:color w:val="auto"/>
                    </w:rPr>
                  </w:pPr>
                  <w:r>
                    <w:rPr>
                      <w:color w:val="auto"/>
                    </w:rPr>
                    <w:t>结构施工</w:t>
                  </w:r>
                </w:p>
                <w:p>
                  <w:pPr>
                    <w:widowControl/>
                    <w:snapToGrid w:val="0"/>
                    <w:jc w:val="center"/>
                    <w:rPr>
                      <w:color w:val="auto"/>
                    </w:rPr>
                  </w:pPr>
                  <w:r>
                    <w:rPr>
                      <w:color w:val="auto"/>
                    </w:rPr>
                    <w:t>阶段</w:t>
                  </w:r>
                </w:p>
              </w:tc>
              <w:tc>
                <w:tcPr>
                  <w:tcW w:w="1562" w:type="dxa"/>
                  <w:tcBorders>
                    <w:tl2br w:val="nil"/>
                    <w:tr2bl w:val="nil"/>
                  </w:tcBorders>
                  <w:vAlign w:val="center"/>
                </w:tcPr>
                <w:p>
                  <w:pPr>
                    <w:widowControl/>
                    <w:snapToGrid w:val="0"/>
                    <w:jc w:val="center"/>
                    <w:rPr>
                      <w:color w:val="auto"/>
                    </w:rPr>
                  </w:pPr>
                  <w:r>
                    <w:rPr>
                      <w:color w:val="auto"/>
                    </w:rPr>
                    <w:t>挖掘机</w:t>
                  </w:r>
                </w:p>
              </w:tc>
              <w:tc>
                <w:tcPr>
                  <w:tcW w:w="1298" w:type="dxa"/>
                  <w:tcBorders>
                    <w:tl2br w:val="nil"/>
                    <w:tr2bl w:val="nil"/>
                  </w:tcBorders>
                  <w:vAlign w:val="center"/>
                </w:tcPr>
                <w:p>
                  <w:pPr>
                    <w:widowControl/>
                    <w:snapToGrid w:val="0"/>
                    <w:jc w:val="center"/>
                    <w:rPr>
                      <w:color w:val="auto"/>
                    </w:rPr>
                  </w:pPr>
                  <w:r>
                    <w:rPr>
                      <w:color w:val="auto"/>
                    </w:rPr>
                    <w:t>71</w:t>
                  </w:r>
                </w:p>
              </w:tc>
              <w:tc>
                <w:tcPr>
                  <w:tcW w:w="887" w:type="dxa"/>
                  <w:tcBorders>
                    <w:tl2br w:val="nil"/>
                    <w:tr2bl w:val="nil"/>
                  </w:tcBorders>
                  <w:vAlign w:val="center"/>
                </w:tcPr>
                <w:p>
                  <w:pPr>
                    <w:snapToGrid w:val="0"/>
                    <w:jc w:val="center"/>
                    <w:rPr>
                      <w:color w:val="auto"/>
                    </w:rPr>
                  </w:pPr>
                  <w:r>
                    <w:rPr>
                      <w:color w:val="auto"/>
                    </w:rPr>
                    <w:t>65</w:t>
                  </w:r>
                </w:p>
              </w:tc>
              <w:tc>
                <w:tcPr>
                  <w:tcW w:w="888" w:type="dxa"/>
                  <w:tcBorders>
                    <w:tl2br w:val="nil"/>
                    <w:tr2bl w:val="nil"/>
                  </w:tcBorders>
                  <w:vAlign w:val="center"/>
                </w:tcPr>
                <w:p>
                  <w:pPr>
                    <w:snapToGrid w:val="0"/>
                    <w:jc w:val="center"/>
                    <w:rPr>
                      <w:color w:val="auto"/>
                    </w:rPr>
                  </w:pPr>
                  <w:r>
                    <w:rPr>
                      <w:color w:val="auto"/>
                    </w:rPr>
                    <w:t>61</w:t>
                  </w:r>
                </w:p>
              </w:tc>
              <w:tc>
                <w:tcPr>
                  <w:tcW w:w="784" w:type="dxa"/>
                  <w:tcBorders>
                    <w:tl2br w:val="nil"/>
                    <w:tr2bl w:val="nil"/>
                  </w:tcBorders>
                  <w:vAlign w:val="center"/>
                </w:tcPr>
                <w:p>
                  <w:pPr>
                    <w:snapToGrid w:val="0"/>
                    <w:jc w:val="center"/>
                    <w:rPr>
                      <w:color w:val="auto"/>
                    </w:rPr>
                  </w:pPr>
                  <w:r>
                    <w:rPr>
                      <w:color w:val="auto"/>
                    </w:rPr>
                    <w:t>59</w:t>
                  </w:r>
                </w:p>
              </w:tc>
              <w:tc>
                <w:tcPr>
                  <w:tcW w:w="734" w:type="dxa"/>
                  <w:tcBorders>
                    <w:tl2br w:val="nil"/>
                    <w:tr2bl w:val="nil"/>
                  </w:tcBorders>
                  <w:vAlign w:val="center"/>
                </w:tcPr>
                <w:p>
                  <w:pPr>
                    <w:snapToGrid w:val="0"/>
                    <w:jc w:val="center"/>
                    <w:rPr>
                      <w:color w:val="auto"/>
                    </w:rPr>
                  </w:pPr>
                  <w:r>
                    <w:rPr>
                      <w:color w:val="auto"/>
                    </w:rPr>
                    <w:t>51</w:t>
                  </w:r>
                </w:p>
              </w:tc>
              <w:tc>
                <w:tcPr>
                  <w:tcW w:w="750" w:type="dxa"/>
                  <w:tcBorders>
                    <w:tl2br w:val="nil"/>
                    <w:tr2bl w:val="nil"/>
                  </w:tcBorders>
                  <w:vAlign w:val="center"/>
                </w:tcPr>
                <w:p>
                  <w:pPr>
                    <w:snapToGrid w:val="0"/>
                    <w:jc w:val="center"/>
                    <w:rPr>
                      <w:color w:val="auto"/>
                    </w:rPr>
                  </w:pPr>
                  <w:r>
                    <w:rPr>
                      <w:color w:val="auto"/>
                    </w:rPr>
                    <w:t>45</w:t>
                  </w:r>
                </w:p>
              </w:tc>
              <w:tc>
                <w:tcPr>
                  <w:tcW w:w="750" w:type="dxa"/>
                  <w:tcBorders>
                    <w:tl2br w:val="nil"/>
                    <w:tr2bl w:val="nil"/>
                  </w:tcBorders>
                  <w:vAlign w:val="center"/>
                </w:tcPr>
                <w:p>
                  <w:pPr>
                    <w:snapToGrid w:val="0"/>
                    <w:jc w:val="center"/>
                    <w:rPr>
                      <w:color w:val="auto"/>
                    </w:rPr>
                  </w:pPr>
                  <w:r>
                    <w:rPr>
                      <w:color w:val="auto"/>
                    </w:rPr>
                    <w:t>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exact"/>
                <w:jc w:val="center"/>
              </w:trPr>
              <w:tc>
                <w:tcPr>
                  <w:tcW w:w="1433" w:type="dxa"/>
                  <w:vMerge w:val="continue"/>
                  <w:tcBorders>
                    <w:tl2br w:val="nil"/>
                    <w:tr2bl w:val="nil"/>
                  </w:tcBorders>
                  <w:vAlign w:val="center"/>
                </w:tcPr>
                <w:p>
                  <w:pPr>
                    <w:widowControl/>
                    <w:snapToGrid w:val="0"/>
                    <w:jc w:val="center"/>
                    <w:rPr>
                      <w:color w:val="auto"/>
                    </w:rPr>
                  </w:pPr>
                </w:p>
              </w:tc>
              <w:tc>
                <w:tcPr>
                  <w:tcW w:w="1562" w:type="dxa"/>
                  <w:tcBorders>
                    <w:tl2br w:val="nil"/>
                    <w:tr2bl w:val="nil"/>
                  </w:tcBorders>
                  <w:vAlign w:val="center"/>
                </w:tcPr>
                <w:p>
                  <w:pPr>
                    <w:widowControl/>
                    <w:snapToGrid w:val="0"/>
                    <w:jc w:val="center"/>
                    <w:rPr>
                      <w:color w:val="auto"/>
                    </w:rPr>
                  </w:pPr>
                  <w:r>
                    <w:rPr>
                      <w:color w:val="auto"/>
                    </w:rPr>
                    <w:t>装载机</w:t>
                  </w:r>
                </w:p>
              </w:tc>
              <w:tc>
                <w:tcPr>
                  <w:tcW w:w="1298" w:type="dxa"/>
                  <w:tcBorders>
                    <w:tl2br w:val="nil"/>
                    <w:tr2bl w:val="nil"/>
                  </w:tcBorders>
                  <w:vAlign w:val="center"/>
                </w:tcPr>
                <w:p>
                  <w:pPr>
                    <w:widowControl/>
                    <w:snapToGrid w:val="0"/>
                    <w:jc w:val="center"/>
                    <w:rPr>
                      <w:color w:val="auto"/>
                    </w:rPr>
                  </w:pPr>
                  <w:r>
                    <w:rPr>
                      <w:color w:val="auto"/>
                    </w:rPr>
                    <w:t>71</w:t>
                  </w:r>
                </w:p>
              </w:tc>
              <w:tc>
                <w:tcPr>
                  <w:tcW w:w="887" w:type="dxa"/>
                  <w:tcBorders>
                    <w:tl2br w:val="nil"/>
                    <w:tr2bl w:val="nil"/>
                  </w:tcBorders>
                  <w:vAlign w:val="center"/>
                </w:tcPr>
                <w:p>
                  <w:pPr>
                    <w:snapToGrid w:val="0"/>
                    <w:jc w:val="center"/>
                    <w:rPr>
                      <w:color w:val="auto"/>
                    </w:rPr>
                  </w:pPr>
                  <w:r>
                    <w:rPr>
                      <w:color w:val="auto"/>
                    </w:rPr>
                    <w:t>65</w:t>
                  </w:r>
                </w:p>
              </w:tc>
              <w:tc>
                <w:tcPr>
                  <w:tcW w:w="888" w:type="dxa"/>
                  <w:tcBorders>
                    <w:tl2br w:val="nil"/>
                    <w:tr2bl w:val="nil"/>
                  </w:tcBorders>
                  <w:vAlign w:val="center"/>
                </w:tcPr>
                <w:p>
                  <w:pPr>
                    <w:snapToGrid w:val="0"/>
                    <w:jc w:val="center"/>
                    <w:rPr>
                      <w:color w:val="auto"/>
                    </w:rPr>
                  </w:pPr>
                  <w:r>
                    <w:rPr>
                      <w:color w:val="auto"/>
                    </w:rPr>
                    <w:t>61</w:t>
                  </w:r>
                </w:p>
              </w:tc>
              <w:tc>
                <w:tcPr>
                  <w:tcW w:w="784" w:type="dxa"/>
                  <w:tcBorders>
                    <w:tl2br w:val="nil"/>
                    <w:tr2bl w:val="nil"/>
                  </w:tcBorders>
                  <w:vAlign w:val="center"/>
                </w:tcPr>
                <w:p>
                  <w:pPr>
                    <w:snapToGrid w:val="0"/>
                    <w:jc w:val="center"/>
                    <w:rPr>
                      <w:color w:val="auto"/>
                    </w:rPr>
                  </w:pPr>
                  <w:r>
                    <w:rPr>
                      <w:color w:val="auto"/>
                    </w:rPr>
                    <w:t>59</w:t>
                  </w:r>
                </w:p>
              </w:tc>
              <w:tc>
                <w:tcPr>
                  <w:tcW w:w="734" w:type="dxa"/>
                  <w:tcBorders>
                    <w:tl2br w:val="nil"/>
                    <w:tr2bl w:val="nil"/>
                  </w:tcBorders>
                  <w:vAlign w:val="center"/>
                </w:tcPr>
                <w:p>
                  <w:pPr>
                    <w:snapToGrid w:val="0"/>
                    <w:jc w:val="center"/>
                    <w:rPr>
                      <w:color w:val="auto"/>
                    </w:rPr>
                  </w:pPr>
                  <w:r>
                    <w:rPr>
                      <w:color w:val="auto"/>
                    </w:rPr>
                    <w:t>51</w:t>
                  </w:r>
                </w:p>
              </w:tc>
              <w:tc>
                <w:tcPr>
                  <w:tcW w:w="750" w:type="dxa"/>
                  <w:tcBorders>
                    <w:tl2br w:val="nil"/>
                    <w:tr2bl w:val="nil"/>
                  </w:tcBorders>
                  <w:vAlign w:val="center"/>
                </w:tcPr>
                <w:p>
                  <w:pPr>
                    <w:snapToGrid w:val="0"/>
                    <w:jc w:val="center"/>
                    <w:rPr>
                      <w:color w:val="auto"/>
                    </w:rPr>
                  </w:pPr>
                  <w:r>
                    <w:rPr>
                      <w:color w:val="auto"/>
                    </w:rPr>
                    <w:t>45</w:t>
                  </w:r>
                </w:p>
              </w:tc>
              <w:tc>
                <w:tcPr>
                  <w:tcW w:w="750" w:type="dxa"/>
                  <w:tcBorders>
                    <w:tl2br w:val="nil"/>
                    <w:tr2bl w:val="nil"/>
                  </w:tcBorders>
                  <w:vAlign w:val="center"/>
                </w:tcPr>
                <w:p>
                  <w:pPr>
                    <w:snapToGrid w:val="0"/>
                    <w:jc w:val="center"/>
                    <w:rPr>
                      <w:color w:val="auto"/>
                    </w:rPr>
                  </w:pPr>
                  <w:r>
                    <w:rPr>
                      <w:color w:val="auto"/>
                    </w:rPr>
                    <w:t>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433" w:type="dxa"/>
                  <w:vMerge w:val="continue"/>
                  <w:tcBorders>
                    <w:tl2br w:val="nil"/>
                    <w:tr2bl w:val="nil"/>
                  </w:tcBorders>
                  <w:vAlign w:val="center"/>
                </w:tcPr>
                <w:p>
                  <w:pPr>
                    <w:widowControl/>
                    <w:snapToGrid w:val="0"/>
                    <w:jc w:val="center"/>
                    <w:rPr>
                      <w:color w:val="auto"/>
                    </w:rPr>
                  </w:pPr>
                </w:p>
              </w:tc>
              <w:tc>
                <w:tcPr>
                  <w:tcW w:w="1562" w:type="dxa"/>
                  <w:tcBorders>
                    <w:tl2br w:val="nil"/>
                    <w:tr2bl w:val="nil"/>
                  </w:tcBorders>
                  <w:vAlign w:val="center"/>
                </w:tcPr>
                <w:p>
                  <w:pPr>
                    <w:widowControl/>
                    <w:snapToGrid w:val="0"/>
                    <w:jc w:val="center"/>
                    <w:rPr>
                      <w:color w:val="auto"/>
                    </w:rPr>
                  </w:pPr>
                  <w:r>
                    <w:rPr>
                      <w:color w:val="auto"/>
                    </w:rPr>
                    <w:t>电焊机</w:t>
                  </w:r>
                </w:p>
              </w:tc>
              <w:tc>
                <w:tcPr>
                  <w:tcW w:w="1298" w:type="dxa"/>
                  <w:tcBorders>
                    <w:tl2br w:val="nil"/>
                    <w:tr2bl w:val="nil"/>
                  </w:tcBorders>
                  <w:vAlign w:val="center"/>
                </w:tcPr>
                <w:p>
                  <w:pPr>
                    <w:widowControl/>
                    <w:snapToGrid w:val="0"/>
                    <w:jc w:val="center"/>
                    <w:rPr>
                      <w:color w:val="auto"/>
                    </w:rPr>
                  </w:pPr>
                  <w:r>
                    <w:rPr>
                      <w:color w:val="auto"/>
                    </w:rPr>
                    <w:t>76</w:t>
                  </w:r>
                </w:p>
              </w:tc>
              <w:tc>
                <w:tcPr>
                  <w:tcW w:w="887" w:type="dxa"/>
                  <w:tcBorders>
                    <w:tl2br w:val="nil"/>
                    <w:tr2bl w:val="nil"/>
                  </w:tcBorders>
                  <w:vAlign w:val="center"/>
                </w:tcPr>
                <w:p>
                  <w:pPr>
                    <w:snapToGrid w:val="0"/>
                    <w:jc w:val="center"/>
                    <w:rPr>
                      <w:color w:val="auto"/>
                    </w:rPr>
                  </w:pPr>
                  <w:r>
                    <w:rPr>
                      <w:color w:val="auto"/>
                    </w:rPr>
                    <w:t>70</w:t>
                  </w:r>
                </w:p>
              </w:tc>
              <w:tc>
                <w:tcPr>
                  <w:tcW w:w="888" w:type="dxa"/>
                  <w:tcBorders>
                    <w:tl2br w:val="nil"/>
                    <w:tr2bl w:val="nil"/>
                  </w:tcBorders>
                  <w:vAlign w:val="center"/>
                </w:tcPr>
                <w:p>
                  <w:pPr>
                    <w:snapToGrid w:val="0"/>
                    <w:jc w:val="center"/>
                    <w:rPr>
                      <w:color w:val="auto"/>
                    </w:rPr>
                  </w:pPr>
                  <w:r>
                    <w:rPr>
                      <w:color w:val="auto"/>
                    </w:rPr>
                    <w:t>66</w:t>
                  </w:r>
                </w:p>
              </w:tc>
              <w:tc>
                <w:tcPr>
                  <w:tcW w:w="784" w:type="dxa"/>
                  <w:tcBorders>
                    <w:tl2br w:val="nil"/>
                    <w:tr2bl w:val="nil"/>
                  </w:tcBorders>
                  <w:vAlign w:val="center"/>
                </w:tcPr>
                <w:p>
                  <w:pPr>
                    <w:snapToGrid w:val="0"/>
                    <w:jc w:val="center"/>
                    <w:rPr>
                      <w:color w:val="auto"/>
                    </w:rPr>
                  </w:pPr>
                  <w:r>
                    <w:rPr>
                      <w:color w:val="auto"/>
                    </w:rPr>
                    <w:t>64</w:t>
                  </w:r>
                </w:p>
              </w:tc>
              <w:tc>
                <w:tcPr>
                  <w:tcW w:w="734" w:type="dxa"/>
                  <w:tcBorders>
                    <w:tl2br w:val="nil"/>
                    <w:tr2bl w:val="nil"/>
                  </w:tcBorders>
                  <w:vAlign w:val="center"/>
                </w:tcPr>
                <w:p>
                  <w:pPr>
                    <w:snapToGrid w:val="0"/>
                    <w:jc w:val="center"/>
                    <w:rPr>
                      <w:color w:val="auto"/>
                    </w:rPr>
                  </w:pPr>
                  <w:r>
                    <w:rPr>
                      <w:color w:val="auto"/>
                    </w:rPr>
                    <w:t>56</w:t>
                  </w:r>
                </w:p>
              </w:tc>
              <w:tc>
                <w:tcPr>
                  <w:tcW w:w="750" w:type="dxa"/>
                  <w:tcBorders>
                    <w:tl2br w:val="nil"/>
                    <w:tr2bl w:val="nil"/>
                  </w:tcBorders>
                  <w:vAlign w:val="center"/>
                </w:tcPr>
                <w:p>
                  <w:pPr>
                    <w:snapToGrid w:val="0"/>
                    <w:jc w:val="center"/>
                    <w:rPr>
                      <w:color w:val="auto"/>
                    </w:rPr>
                  </w:pPr>
                  <w:r>
                    <w:rPr>
                      <w:color w:val="auto"/>
                    </w:rPr>
                    <w:t>49</w:t>
                  </w:r>
                </w:p>
              </w:tc>
              <w:tc>
                <w:tcPr>
                  <w:tcW w:w="750" w:type="dxa"/>
                  <w:tcBorders>
                    <w:tl2br w:val="nil"/>
                    <w:tr2bl w:val="nil"/>
                  </w:tcBorders>
                  <w:vAlign w:val="center"/>
                </w:tcPr>
                <w:p>
                  <w:pPr>
                    <w:snapToGrid w:val="0"/>
                    <w:jc w:val="center"/>
                    <w:rPr>
                      <w:color w:val="auto"/>
                    </w:rPr>
                  </w:pPr>
                  <w:r>
                    <w:rPr>
                      <w:color w:val="auto"/>
                    </w:rPr>
                    <w:t>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433" w:type="dxa"/>
                  <w:vMerge w:val="continue"/>
                  <w:tcBorders>
                    <w:tl2br w:val="nil"/>
                    <w:tr2bl w:val="nil"/>
                  </w:tcBorders>
                  <w:vAlign w:val="center"/>
                </w:tcPr>
                <w:p>
                  <w:pPr>
                    <w:widowControl/>
                    <w:snapToGrid w:val="0"/>
                    <w:jc w:val="center"/>
                    <w:rPr>
                      <w:color w:val="auto"/>
                    </w:rPr>
                  </w:pPr>
                </w:p>
              </w:tc>
              <w:tc>
                <w:tcPr>
                  <w:tcW w:w="1562" w:type="dxa"/>
                  <w:tcBorders>
                    <w:tl2br w:val="nil"/>
                    <w:tr2bl w:val="nil"/>
                  </w:tcBorders>
                  <w:vAlign w:val="center"/>
                </w:tcPr>
                <w:p>
                  <w:pPr>
                    <w:widowControl/>
                    <w:snapToGrid w:val="0"/>
                    <w:jc w:val="center"/>
                    <w:rPr>
                      <w:color w:val="auto"/>
                    </w:rPr>
                  </w:pPr>
                  <w:r>
                    <w:rPr>
                      <w:color w:val="auto"/>
                    </w:rPr>
                    <w:t>运输车辆</w:t>
                  </w:r>
                </w:p>
              </w:tc>
              <w:tc>
                <w:tcPr>
                  <w:tcW w:w="1298" w:type="dxa"/>
                  <w:tcBorders>
                    <w:tl2br w:val="nil"/>
                    <w:tr2bl w:val="nil"/>
                  </w:tcBorders>
                  <w:vAlign w:val="center"/>
                </w:tcPr>
                <w:p>
                  <w:pPr>
                    <w:widowControl/>
                    <w:snapToGrid w:val="0"/>
                    <w:jc w:val="center"/>
                    <w:rPr>
                      <w:color w:val="auto"/>
                    </w:rPr>
                  </w:pPr>
                  <w:r>
                    <w:rPr>
                      <w:color w:val="auto"/>
                    </w:rPr>
                    <w:t>66</w:t>
                  </w:r>
                </w:p>
              </w:tc>
              <w:tc>
                <w:tcPr>
                  <w:tcW w:w="887" w:type="dxa"/>
                  <w:tcBorders>
                    <w:tl2br w:val="nil"/>
                    <w:tr2bl w:val="nil"/>
                  </w:tcBorders>
                  <w:vAlign w:val="center"/>
                </w:tcPr>
                <w:p>
                  <w:pPr>
                    <w:snapToGrid w:val="0"/>
                    <w:jc w:val="center"/>
                    <w:rPr>
                      <w:color w:val="auto"/>
                    </w:rPr>
                  </w:pPr>
                  <w:r>
                    <w:rPr>
                      <w:color w:val="auto"/>
                    </w:rPr>
                    <w:t>60</w:t>
                  </w:r>
                </w:p>
              </w:tc>
              <w:tc>
                <w:tcPr>
                  <w:tcW w:w="888" w:type="dxa"/>
                  <w:tcBorders>
                    <w:tl2br w:val="nil"/>
                    <w:tr2bl w:val="nil"/>
                  </w:tcBorders>
                  <w:vAlign w:val="center"/>
                </w:tcPr>
                <w:p>
                  <w:pPr>
                    <w:snapToGrid w:val="0"/>
                    <w:jc w:val="center"/>
                    <w:rPr>
                      <w:color w:val="auto"/>
                    </w:rPr>
                  </w:pPr>
                  <w:r>
                    <w:rPr>
                      <w:color w:val="auto"/>
                    </w:rPr>
                    <w:t>56</w:t>
                  </w:r>
                </w:p>
              </w:tc>
              <w:tc>
                <w:tcPr>
                  <w:tcW w:w="784" w:type="dxa"/>
                  <w:tcBorders>
                    <w:tl2br w:val="nil"/>
                    <w:tr2bl w:val="nil"/>
                  </w:tcBorders>
                  <w:vAlign w:val="center"/>
                </w:tcPr>
                <w:p>
                  <w:pPr>
                    <w:snapToGrid w:val="0"/>
                    <w:jc w:val="center"/>
                    <w:rPr>
                      <w:color w:val="auto"/>
                    </w:rPr>
                  </w:pPr>
                  <w:r>
                    <w:rPr>
                      <w:color w:val="auto"/>
                    </w:rPr>
                    <w:t>54</w:t>
                  </w:r>
                </w:p>
              </w:tc>
              <w:tc>
                <w:tcPr>
                  <w:tcW w:w="734" w:type="dxa"/>
                  <w:tcBorders>
                    <w:tl2br w:val="nil"/>
                    <w:tr2bl w:val="nil"/>
                  </w:tcBorders>
                  <w:vAlign w:val="center"/>
                </w:tcPr>
                <w:p>
                  <w:pPr>
                    <w:snapToGrid w:val="0"/>
                    <w:jc w:val="center"/>
                    <w:rPr>
                      <w:color w:val="auto"/>
                    </w:rPr>
                  </w:pPr>
                  <w:r>
                    <w:rPr>
                      <w:color w:val="auto"/>
                    </w:rPr>
                    <w:t>46</w:t>
                  </w:r>
                </w:p>
              </w:tc>
              <w:tc>
                <w:tcPr>
                  <w:tcW w:w="750" w:type="dxa"/>
                  <w:tcBorders>
                    <w:tl2br w:val="nil"/>
                    <w:tr2bl w:val="nil"/>
                  </w:tcBorders>
                  <w:vAlign w:val="center"/>
                </w:tcPr>
                <w:p>
                  <w:pPr>
                    <w:snapToGrid w:val="0"/>
                    <w:jc w:val="center"/>
                    <w:rPr>
                      <w:color w:val="auto"/>
                    </w:rPr>
                  </w:pPr>
                  <w:r>
                    <w:rPr>
                      <w:color w:val="auto"/>
                    </w:rPr>
                    <w:t>39</w:t>
                  </w:r>
                </w:p>
              </w:tc>
              <w:tc>
                <w:tcPr>
                  <w:tcW w:w="750" w:type="dxa"/>
                  <w:tcBorders>
                    <w:tl2br w:val="nil"/>
                    <w:tr2bl w:val="nil"/>
                  </w:tcBorders>
                  <w:vAlign w:val="center"/>
                </w:tcPr>
                <w:p>
                  <w:pPr>
                    <w:snapToGrid w:val="0"/>
                    <w:jc w:val="center"/>
                    <w:rPr>
                      <w:color w:val="auto"/>
                    </w:rPr>
                  </w:pPr>
                  <w:r>
                    <w:rPr>
                      <w:color w:val="auto"/>
                    </w:rPr>
                    <w:t>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exact"/>
                <w:jc w:val="center"/>
              </w:trPr>
              <w:tc>
                <w:tcPr>
                  <w:tcW w:w="1433" w:type="dxa"/>
                  <w:vMerge w:val="continue"/>
                  <w:tcBorders>
                    <w:tl2br w:val="nil"/>
                    <w:tr2bl w:val="nil"/>
                  </w:tcBorders>
                  <w:vAlign w:val="center"/>
                </w:tcPr>
                <w:p>
                  <w:pPr>
                    <w:widowControl/>
                    <w:snapToGrid w:val="0"/>
                    <w:jc w:val="center"/>
                    <w:rPr>
                      <w:color w:val="auto"/>
                    </w:rPr>
                  </w:pPr>
                </w:p>
              </w:tc>
              <w:tc>
                <w:tcPr>
                  <w:tcW w:w="1562" w:type="dxa"/>
                  <w:tcBorders>
                    <w:tl2br w:val="nil"/>
                    <w:tr2bl w:val="nil"/>
                  </w:tcBorders>
                  <w:vAlign w:val="center"/>
                </w:tcPr>
                <w:p>
                  <w:pPr>
                    <w:widowControl/>
                    <w:snapToGrid w:val="0"/>
                    <w:jc w:val="center"/>
                    <w:rPr>
                      <w:color w:val="auto"/>
                    </w:rPr>
                  </w:pPr>
                  <w:r>
                    <w:rPr>
                      <w:color w:val="auto"/>
                    </w:rPr>
                    <w:t>混凝土运输车</w:t>
                  </w:r>
                </w:p>
              </w:tc>
              <w:tc>
                <w:tcPr>
                  <w:tcW w:w="1298" w:type="dxa"/>
                  <w:tcBorders>
                    <w:tl2br w:val="nil"/>
                    <w:tr2bl w:val="nil"/>
                  </w:tcBorders>
                  <w:vAlign w:val="center"/>
                </w:tcPr>
                <w:p>
                  <w:pPr>
                    <w:widowControl/>
                    <w:snapToGrid w:val="0"/>
                    <w:jc w:val="center"/>
                    <w:rPr>
                      <w:color w:val="auto"/>
                    </w:rPr>
                  </w:pPr>
                  <w:r>
                    <w:rPr>
                      <w:color w:val="auto"/>
                    </w:rPr>
                    <w:t>66</w:t>
                  </w:r>
                </w:p>
              </w:tc>
              <w:tc>
                <w:tcPr>
                  <w:tcW w:w="887" w:type="dxa"/>
                  <w:tcBorders>
                    <w:tl2br w:val="nil"/>
                    <w:tr2bl w:val="nil"/>
                  </w:tcBorders>
                  <w:vAlign w:val="center"/>
                </w:tcPr>
                <w:p>
                  <w:pPr>
                    <w:snapToGrid w:val="0"/>
                    <w:jc w:val="center"/>
                    <w:rPr>
                      <w:color w:val="auto"/>
                    </w:rPr>
                  </w:pPr>
                  <w:r>
                    <w:rPr>
                      <w:color w:val="auto"/>
                    </w:rPr>
                    <w:t>60</w:t>
                  </w:r>
                </w:p>
              </w:tc>
              <w:tc>
                <w:tcPr>
                  <w:tcW w:w="888" w:type="dxa"/>
                  <w:tcBorders>
                    <w:tl2br w:val="nil"/>
                    <w:tr2bl w:val="nil"/>
                  </w:tcBorders>
                  <w:vAlign w:val="center"/>
                </w:tcPr>
                <w:p>
                  <w:pPr>
                    <w:snapToGrid w:val="0"/>
                    <w:jc w:val="center"/>
                    <w:rPr>
                      <w:color w:val="auto"/>
                    </w:rPr>
                  </w:pPr>
                  <w:r>
                    <w:rPr>
                      <w:color w:val="auto"/>
                    </w:rPr>
                    <w:t>56</w:t>
                  </w:r>
                </w:p>
              </w:tc>
              <w:tc>
                <w:tcPr>
                  <w:tcW w:w="784" w:type="dxa"/>
                  <w:tcBorders>
                    <w:tl2br w:val="nil"/>
                    <w:tr2bl w:val="nil"/>
                  </w:tcBorders>
                  <w:vAlign w:val="center"/>
                </w:tcPr>
                <w:p>
                  <w:pPr>
                    <w:snapToGrid w:val="0"/>
                    <w:jc w:val="center"/>
                    <w:rPr>
                      <w:color w:val="auto"/>
                    </w:rPr>
                  </w:pPr>
                  <w:r>
                    <w:rPr>
                      <w:color w:val="auto"/>
                    </w:rPr>
                    <w:t>54</w:t>
                  </w:r>
                </w:p>
              </w:tc>
              <w:tc>
                <w:tcPr>
                  <w:tcW w:w="734" w:type="dxa"/>
                  <w:tcBorders>
                    <w:tl2br w:val="nil"/>
                    <w:tr2bl w:val="nil"/>
                  </w:tcBorders>
                  <w:vAlign w:val="center"/>
                </w:tcPr>
                <w:p>
                  <w:pPr>
                    <w:snapToGrid w:val="0"/>
                    <w:jc w:val="center"/>
                    <w:rPr>
                      <w:color w:val="auto"/>
                    </w:rPr>
                  </w:pPr>
                  <w:r>
                    <w:rPr>
                      <w:color w:val="auto"/>
                    </w:rPr>
                    <w:t>46</w:t>
                  </w:r>
                </w:p>
              </w:tc>
              <w:tc>
                <w:tcPr>
                  <w:tcW w:w="750" w:type="dxa"/>
                  <w:tcBorders>
                    <w:tl2br w:val="nil"/>
                    <w:tr2bl w:val="nil"/>
                  </w:tcBorders>
                  <w:vAlign w:val="center"/>
                </w:tcPr>
                <w:p>
                  <w:pPr>
                    <w:snapToGrid w:val="0"/>
                    <w:jc w:val="center"/>
                    <w:rPr>
                      <w:color w:val="auto"/>
                    </w:rPr>
                  </w:pPr>
                  <w:r>
                    <w:rPr>
                      <w:color w:val="auto"/>
                    </w:rPr>
                    <w:t>39</w:t>
                  </w:r>
                </w:p>
              </w:tc>
              <w:tc>
                <w:tcPr>
                  <w:tcW w:w="750" w:type="dxa"/>
                  <w:tcBorders>
                    <w:tl2br w:val="nil"/>
                    <w:tr2bl w:val="nil"/>
                  </w:tcBorders>
                  <w:vAlign w:val="center"/>
                </w:tcPr>
                <w:p>
                  <w:pPr>
                    <w:snapToGrid w:val="0"/>
                    <w:jc w:val="center"/>
                    <w:rPr>
                      <w:color w:val="auto"/>
                    </w:rPr>
                  </w:pPr>
                  <w:r>
                    <w:rPr>
                      <w:color w:val="auto"/>
                    </w:rPr>
                    <w:t>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433" w:type="dxa"/>
                  <w:vMerge w:val="restart"/>
                  <w:tcBorders>
                    <w:tl2br w:val="nil"/>
                    <w:tr2bl w:val="nil"/>
                  </w:tcBorders>
                  <w:vAlign w:val="center"/>
                </w:tcPr>
                <w:p>
                  <w:pPr>
                    <w:widowControl/>
                    <w:adjustRightInd w:val="0"/>
                    <w:snapToGrid w:val="0"/>
                    <w:jc w:val="center"/>
                    <w:rPr>
                      <w:color w:val="auto"/>
                    </w:rPr>
                  </w:pPr>
                  <w:r>
                    <w:rPr>
                      <w:color w:val="auto"/>
                    </w:rPr>
                    <w:t>装修阶段</w:t>
                  </w:r>
                </w:p>
              </w:tc>
              <w:tc>
                <w:tcPr>
                  <w:tcW w:w="1562" w:type="dxa"/>
                  <w:tcBorders>
                    <w:tl2br w:val="nil"/>
                    <w:tr2bl w:val="nil"/>
                  </w:tcBorders>
                  <w:vAlign w:val="center"/>
                </w:tcPr>
                <w:p>
                  <w:pPr>
                    <w:widowControl/>
                    <w:snapToGrid w:val="0"/>
                    <w:jc w:val="center"/>
                    <w:rPr>
                      <w:color w:val="auto"/>
                    </w:rPr>
                  </w:pPr>
                  <w:r>
                    <w:rPr>
                      <w:color w:val="auto"/>
                    </w:rPr>
                    <w:t>电钻</w:t>
                  </w:r>
                </w:p>
              </w:tc>
              <w:tc>
                <w:tcPr>
                  <w:tcW w:w="1298" w:type="dxa"/>
                  <w:tcBorders>
                    <w:tl2br w:val="nil"/>
                    <w:tr2bl w:val="nil"/>
                  </w:tcBorders>
                  <w:vAlign w:val="center"/>
                </w:tcPr>
                <w:p>
                  <w:pPr>
                    <w:widowControl/>
                    <w:snapToGrid w:val="0"/>
                    <w:jc w:val="center"/>
                    <w:rPr>
                      <w:color w:val="auto"/>
                    </w:rPr>
                  </w:pPr>
                  <w:r>
                    <w:rPr>
                      <w:color w:val="auto"/>
                    </w:rPr>
                    <w:t>66</w:t>
                  </w:r>
                </w:p>
              </w:tc>
              <w:tc>
                <w:tcPr>
                  <w:tcW w:w="887" w:type="dxa"/>
                  <w:tcBorders>
                    <w:tl2br w:val="nil"/>
                    <w:tr2bl w:val="nil"/>
                  </w:tcBorders>
                  <w:vAlign w:val="center"/>
                </w:tcPr>
                <w:p>
                  <w:pPr>
                    <w:snapToGrid w:val="0"/>
                    <w:jc w:val="center"/>
                    <w:rPr>
                      <w:color w:val="auto"/>
                    </w:rPr>
                  </w:pPr>
                  <w:r>
                    <w:rPr>
                      <w:color w:val="auto"/>
                    </w:rPr>
                    <w:t>60</w:t>
                  </w:r>
                </w:p>
              </w:tc>
              <w:tc>
                <w:tcPr>
                  <w:tcW w:w="888" w:type="dxa"/>
                  <w:tcBorders>
                    <w:tl2br w:val="nil"/>
                    <w:tr2bl w:val="nil"/>
                  </w:tcBorders>
                  <w:vAlign w:val="center"/>
                </w:tcPr>
                <w:p>
                  <w:pPr>
                    <w:snapToGrid w:val="0"/>
                    <w:jc w:val="center"/>
                    <w:rPr>
                      <w:color w:val="auto"/>
                    </w:rPr>
                  </w:pPr>
                  <w:r>
                    <w:rPr>
                      <w:color w:val="auto"/>
                    </w:rPr>
                    <w:t>56</w:t>
                  </w:r>
                </w:p>
              </w:tc>
              <w:tc>
                <w:tcPr>
                  <w:tcW w:w="784" w:type="dxa"/>
                  <w:tcBorders>
                    <w:tl2br w:val="nil"/>
                    <w:tr2bl w:val="nil"/>
                  </w:tcBorders>
                  <w:vAlign w:val="center"/>
                </w:tcPr>
                <w:p>
                  <w:pPr>
                    <w:snapToGrid w:val="0"/>
                    <w:jc w:val="center"/>
                    <w:rPr>
                      <w:color w:val="auto"/>
                    </w:rPr>
                  </w:pPr>
                  <w:r>
                    <w:rPr>
                      <w:color w:val="auto"/>
                    </w:rPr>
                    <w:t>54</w:t>
                  </w:r>
                </w:p>
              </w:tc>
              <w:tc>
                <w:tcPr>
                  <w:tcW w:w="734" w:type="dxa"/>
                  <w:tcBorders>
                    <w:tl2br w:val="nil"/>
                    <w:tr2bl w:val="nil"/>
                  </w:tcBorders>
                  <w:vAlign w:val="center"/>
                </w:tcPr>
                <w:p>
                  <w:pPr>
                    <w:snapToGrid w:val="0"/>
                    <w:jc w:val="center"/>
                    <w:rPr>
                      <w:color w:val="auto"/>
                    </w:rPr>
                  </w:pPr>
                  <w:r>
                    <w:rPr>
                      <w:color w:val="auto"/>
                    </w:rPr>
                    <w:t>46</w:t>
                  </w:r>
                </w:p>
              </w:tc>
              <w:tc>
                <w:tcPr>
                  <w:tcW w:w="750" w:type="dxa"/>
                  <w:tcBorders>
                    <w:tl2br w:val="nil"/>
                    <w:tr2bl w:val="nil"/>
                  </w:tcBorders>
                  <w:vAlign w:val="center"/>
                </w:tcPr>
                <w:p>
                  <w:pPr>
                    <w:snapToGrid w:val="0"/>
                    <w:jc w:val="center"/>
                    <w:rPr>
                      <w:color w:val="auto"/>
                    </w:rPr>
                  </w:pPr>
                  <w:r>
                    <w:rPr>
                      <w:color w:val="auto"/>
                    </w:rPr>
                    <w:t>39</w:t>
                  </w:r>
                </w:p>
              </w:tc>
              <w:tc>
                <w:tcPr>
                  <w:tcW w:w="750" w:type="dxa"/>
                  <w:tcBorders>
                    <w:tl2br w:val="nil"/>
                    <w:tr2bl w:val="nil"/>
                  </w:tcBorders>
                  <w:vAlign w:val="center"/>
                </w:tcPr>
                <w:p>
                  <w:pPr>
                    <w:snapToGrid w:val="0"/>
                    <w:jc w:val="center"/>
                    <w:rPr>
                      <w:color w:val="auto"/>
                    </w:rPr>
                  </w:pPr>
                  <w:r>
                    <w:rPr>
                      <w:color w:val="auto"/>
                    </w:rPr>
                    <w:t>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exact"/>
                <w:jc w:val="center"/>
              </w:trPr>
              <w:tc>
                <w:tcPr>
                  <w:tcW w:w="1433" w:type="dxa"/>
                  <w:vMerge w:val="continue"/>
                  <w:tcBorders>
                    <w:tl2br w:val="nil"/>
                    <w:tr2bl w:val="nil"/>
                  </w:tcBorders>
                  <w:vAlign w:val="center"/>
                </w:tcPr>
                <w:p>
                  <w:pPr>
                    <w:widowControl/>
                    <w:adjustRightInd w:val="0"/>
                    <w:snapToGrid w:val="0"/>
                    <w:jc w:val="center"/>
                    <w:rPr>
                      <w:color w:val="auto"/>
                    </w:rPr>
                  </w:pPr>
                </w:p>
              </w:tc>
              <w:tc>
                <w:tcPr>
                  <w:tcW w:w="1562" w:type="dxa"/>
                  <w:tcBorders>
                    <w:tl2br w:val="nil"/>
                    <w:tr2bl w:val="nil"/>
                  </w:tcBorders>
                  <w:vAlign w:val="center"/>
                </w:tcPr>
                <w:p>
                  <w:pPr>
                    <w:widowControl/>
                    <w:snapToGrid w:val="0"/>
                    <w:jc w:val="center"/>
                    <w:rPr>
                      <w:color w:val="auto"/>
                    </w:rPr>
                  </w:pPr>
                  <w:r>
                    <w:rPr>
                      <w:color w:val="auto"/>
                    </w:rPr>
                    <w:t>切割机</w:t>
                  </w:r>
                </w:p>
              </w:tc>
              <w:tc>
                <w:tcPr>
                  <w:tcW w:w="1298" w:type="dxa"/>
                  <w:tcBorders>
                    <w:tl2br w:val="nil"/>
                    <w:tr2bl w:val="nil"/>
                  </w:tcBorders>
                  <w:vAlign w:val="center"/>
                </w:tcPr>
                <w:p>
                  <w:pPr>
                    <w:widowControl/>
                    <w:snapToGrid w:val="0"/>
                    <w:jc w:val="center"/>
                    <w:rPr>
                      <w:color w:val="auto"/>
                    </w:rPr>
                  </w:pPr>
                  <w:r>
                    <w:rPr>
                      <w:color w:val="auto"/>
                    </w:rPr>
                    <w:t>71</w:t>
                  </w:r>
                </w:p>
              </w:tc>
              <w:tc>
                <w:tcPr>
                  <w:tcW w:w="887" w:type="dxa"/>
                  <w:tcBorders>
                    <w:tl2br w:val="nil"/>
                    <w:tr2bl w:val="nil"/>
                  </w:tcBorders>
                  <w:vAlign w:val="center"/>
                </w:tcPr>
                <w:p>
                  <w:pPr>
                    <w:snapToGrid w:val="0"/>
                    <w:jc w:val="center"/>
                    <w:rPr>
                      <w:color w:val="auto"/>
                    </w:rPr>
                  </w:pPr>
                  <w:r>
                    <w:rPr>
                      <w:color w:val="auto"/>
                    </w:rPr>
                    <w:t>65</w:t>
                  </w:r>
                </w:p>
              </w:tc>
              <w:tc>
                <w:tcPr>
                  <w:tcW w:w="888" w:type="dxa"/>
                  <w:tcBorders>
                    <w:tl2br w:val="nil"/>
                    <w:tr2bl w:val="nil"/>
                  </w:tcBorders>
                  <w:vAlign w:val="center"/>
                </w:tcPr>
                <w:p>
                  <w:pPr>
                    <w:snapToGrid w:val="0"/>
                    <w:jc w:val="center"/>
                    <w:rPr>
                      <w:color w:val="auto"/>
                    </w:rPr>
                  </w:pPr>
                  <w:r>
                    <w:rPr>
                      <w:color w:val="auto"/>
                    </w:rPr>
                    <w:t>61</w:t>
                  </w:r>
                </w:p>
              </w:tc>
              <w:tc>
                <w:tcPr>
                  <w:tcW w:w="784" w:type="dxa"/>
                  <w:tcBorders>
                    <w:tl2br w:val="nil"/>
                    <w:tr2bl w:val="nil"/>
                  </w:tcBorders>
                  <w:vAlign w:val="center"/>
                </w:tcPr>
                <w:p>
                  <w:pPr>
                    <w:snapToGrid w:val="0"/>
                    <w:jc w:val="center"/>
                    <w:rPr>
                      <w:color w:val="auto"/>
                    </w:rPr>
                  </w:pPr>
                  <w:r>
                    <w:rPr>
                      <w:color w:val="auto"/>
                    </w:rPr>
                    <w:t>59</w:t>
                  </w:r>
                </w:p>
              </w:tc>
              <w:tc>
                <w:tcPr>
                  <w:tcW w:w="734" w:type="dxa"/>
                  <w:tcBorders>
                    <w:tl2br w:val="nil"/>
                    <w:tr2bl w:val="nil"/>
                  </w:tcBorders>
                  <w:vAlign w:val="center"/>
                </w:tcPr>
                <w:p>
                  <w:pPr>
                    <w:snapToGrid w:val="0"/>
                    <w:jc w:val="center"/>
                    <w:rPr>
                      <w:color w:val="auto"/>
                    </w:rPr>
                  </w:pPr>
                  <w:r>
                    <w:rPr>
                      <w:color w:val="auto"/>
                    </w:rPr>
                    <w:t>51</w:t>
                  </w:r>
                </w:p>
              </w:tc>
              <w:tc>
                <w:tcPr>
                  <w:tcW w:w="750" w:type="dxa"/>
                  <w:tcBorders>
                    <w:tl2br w:val="nil"/>
                    <w:tr2bl w:val="nil"/>
                  </w:tcBorders>
                  <w:vAlign w:val="center"/>
                </w:tcPr>
                <w:p>
                  <w:pPr>
                    <w:snapToGrid w:val="0"/>
                    <w:jc w:val="center"/>
                    <w:rPr>
                      <w:color w:val="auto"/>
                    </w:rPr>
                  </w:pPr>
                  <w:r>
                    <w:rPr>
                      <w:color w:val="auto"/>
                    </w:rPr>
                    <w:t>45</w:t>
                  </w:r>
                </w:p>
              </w:tc>
              <w:tc>
                <w:tcPr>
                  <w:tcW w:w="750" w:type="dxa"/>
                  <w:tcBorders>
                    <w:tl2br w:val="nil"/>
                    <w:tr2bl w:val="nil"/>
                  </w:tcBorders>
                  <w:vAlign w:val="center"/>
                </w:tcPr>
                <w:p>
                  <w:pPr>
                    <w:snapToGrid w:val="0"/>
                    <w:jc w:val="center"/>
                    <w:rPr>
                      <w:color w:val="auto"/>
                    </w:rPr>
                  </w:pPr>
                  <w:r>
                    <w:rPr>
                      <w:color w:val="auto"/>
                    </w:rPr>
                    <w:t>39</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rPr>
            </w:pPr>
            <w:r>
              <w:rPr>
                <w:color w:val="auto"/>
                <w:sz w:val="24"/>
                <w:szCs w:val="24"/>
                <w:u w:val="none"/>
              </w:rPr>
              <w:t>从表7-</w:t>
            </w:r>
            <w:r>
              <w:rPr>
                <w:rFonts w:hint="eastAsia"/>
                <w:color w:val="auto"/>
                <w:sz w:val="24"/>
                <w:szCs w:val="24"/>
                <w:u w:val="none"/>
              </w:rPr>
              <w:t>3</w:t>
            </w:r>
            <w:r>
              <w:rPr>
                <w:color w:val="auto"/>
                <w:sz w:val="24"/>
                <w:szCs w:val="24"/>
                <w:u w:val="none"/>
              </w:rPr>
              <w:t>中可以看出，在夜间不生产的情况下，施工机械噪声在10m范围内可满足《建筑施工场界环境噪声排放标准》（GB12523-2011）标准要求，</w:t>
            </w:r>
            <w:r>
              <w:rPr>
                <w:rFonts w:hint="eastAsia"/>
                <w:color w:val="auto"/>
                <w:sz w:val="24"/>
                <w:szCs w:val="24"/>
                <w:u w:val="none"/>
              </w:rPr>
              <w:t>本项目10m范围内无居民点。</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rPr>
            </w:pPr>
            <w:r>
              <w:rPr>
                <w:color w:val="auto"/>
                <w:sz w:val="24"/>
                <w:szCs w:val="24"/>
                <w:u w:val="none"/>
              </w:rPr>
              <w:t>项目管线沿线周边都分布有一定居民，管网施工过程中会对周边20m范围内的敏感点产生一定的影响。</w:t>
            </w:r>
            <w:r>
              <w:rPr>
                <w:rFonts w:hint="eastAsia"/>
                <w:color w:val="auto"/>
                <w:sz w:val="24"/>
                <w:szCs w:val="24"/>
                <w:u w:val="none"/>
                <w:lang w:eastAsia="zh-CN"/>
              </w:rPr>
              <w:t>渡头桥镇</w:t>
            </w:r>
            <w:r>
              <w:rPr>
                <w:rFonts w:hint="eastAsia"/>
                <w:color w:val="auto"/>
                <w:sz w:val="24"/>
                <w:szCs w:val="24"/>
                <w:u w:val="none"/>
              </w:rPr>
              <w:t>中学、幼儿园</w:t>
            </w:r>
            <w:r>
              <w:rPr>
                <w:color w:val="auto"/>
                <w:sz w:val="24"/>
                <w:szCs w:val="24"/>
                <w:u w:val="none"/>
              </w:rPr>
              <w:t>等主要敏感点均分布在管网两侧10米左右的范围内，噪声预测值在69db</w:t>
            </w:r>
            <w:r>
              <w:rPr>
                <w:rFonts w:hint="eastAsia"/>
                <w:color w:val="auto"/>
                <w:sz w:val="24"/>
                <w:szCs w:val="24"/>
                <w:u w:val="none"/>
              </w:rPr>
              <w:t>左右</w:t>
            </w:r>
            <w:r>
              <w:rPr>
                <w:color w:val="auto"/>
                <w:sz w:val="24"/>
                <w:szCs w:val="24"/>
                <w:u w:val="none"/>
              </w:rPr>
              <w:t>，对其将造成一定的影响。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rPr>
            </w:pPr>
            <w:r>
              <w:rPr>
                <w:color w:val="auto"/>
                <w:sz w:val="24"/>
                <w:szCs w:val="24"/>
                <w:u w:val="none"/>
              </w:rPr>
              <w:t>为确保项目的施工噪声对周边的环境敏感目标产生不利影响，本环评要求施工期应重视加强噪声防护措施，减小对周边环境的影响，应当采取以下降噪措施：</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rPr>
            </w:pPr>
            <w:r>
              <w:rPr>
                <w:color w:val="auto"/>
                <w:sz w:val="24"/>
                <w:szCs w:val="24"/>
                <w:u w:val="none"/>
              </w:rPr>
              <w:t>（1）严格遵守</w:t>
            </w:r>
            <w:r>
              <w:rPr>
                <w:rFonts w:hint="eastAsia"/>
                <w:color w:val="auto"/>
                <w:sz w:val="24"/>
                <w:szCs w:val="24"/>
                <w:u w:val="none"/>
                <w:lang w:eastAsia="zh-CN"/>
              </w:rPr>
              <w:t>各项法律法规对</w:t>
            </w:r>
            <w:r>
              <w:rPr>
                <w:color w:val="auto"/>
                <w:sz w:val="24"/>
                <w:szCs w:val="24"/>
                <w:u w:val="none"/>
              </w:rPr>
              <w:t>建筑施工的有关规定和《建筑施工场界环境噪声排放标准》（GB12523-2011）中的有关要求。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rPr>
            </w:pPr>
            <w:r>
              <w:rPr>
                <w:color w:val="auto"/>
                <w:sz w:val="24"/>
                <w:szCs w:val="24"/>
                <w:u w:val="none"/>
              </w:rPr>
              <w:t>（2）建设单位应采取措施在声源处减少噪声的产生。在施工时应设置施工围挡，在</w:t>
            </w:r>
            <w:r>
              <w:rPr>
                <w:rFonts w:hint="eastAsia"/>
                <w:color w:val="auto"/>
                <w:sz w:val="24"/>
                <w:szCs w:val="24"/>
                <w:u w:val="none"/>
                <w:lang w:eastAsia="zh-CN"/>
              </w:rPr>
              <w:t>渡头桥镇</w:t>
            </w:r>
            <w:r>
              <w:rPr>
                <w:rFonts w:hint="eastAsia"/>
                <w:color w:val="auto"/>
                <w:sz w:val="24"/>
                <w:szCs w:val="24"/>
                <w:u w:val="none"/>
              </w:rPr>
              <w:t>中学、幼儿园</w:t>
            </w:r>
            <w:r>
              <w:rPr>
                <w:color w:val="auto"/>
                <w:sz w:val="24"/>
                <w:szCs w:val="24"/>
                <w:u w:val="none"/>
              </w:rPr>
              <w:t>等敏感点处设置临时声屏障，同时在午休时间和学校考试期间禁止在附近施工。</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rPr>
            </w:pPr>
            <w:r>
              <w:rPr>
                <w:color w:val="auto"/>
                <w:sz w:val="24"/>
                <w:szCs w:val="24"/>
                <w:u w:val="none"/>
              </w:rPr>
              <w:t>（3）合理设计施工总平面布置图，将高噪声设备尽量布置在项目区中间远离厂界的位置。</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rPr>
            </w:pPr>
            <w:r>
              <w:rPr>
                <w:color w:val="auto"/>
                <w:sz w:val="24"/>
                <w:szCs w:val="24"/>
                <w:u w:val="none"/>
              </w:rPr>
              <w:t>（4）在施工的结构阶段和装修阶段，对建筑物的外部采取围挡，在距噪声敏感建筑物较近的地方设置移动式隔声屏障，以减轻施工噪声对外环境的影响。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rPr>
            </w:pPr>
            <w:r>
              <w:rPr>
                <w:color w:val="auto"/>
                <w:sz w:val="24"/>
                <w:szCs w:val="24"/>
                <w:u w:val="none"/>
              </w:rPr>
              <w:t>（5）禁止夜间10</w:t>
            </w:r>
            <w:r>
              <w:rPr>
                <w:rFonts w:hint="eastAsia"/>
                <w:color w:val="auto"/>
                <w:sz w:val="24"/>
                <w:szCs w:val="24"/>
                <w:u w:val="none"/>
                <w:lang w:eastAsia="zh-CN"/>
              </w:rPr>
              <w:t>：</w:t>
            </w:r>
            <w:r>
              <w:rPr>
                <w:rFonts w:hint="eastAsia"/>
                <w:color w:val="auto"/>
                <w:sz w:val="24"/>
                <w:szCs w:val="24"/>
                <w:u w:val="none"/>
                <w:lang w:val="en-US" w:eastAsia="zh-CN"/>
              </w:rPr>
              <w:t>00</w:t>
            </w:r>
            <w:r>
              <w:rPr>
                <w:color w:val="auto"/>
                <w:sz w:val="24"/>
                <w:szCs w:val="24"/>
                <w:u w:val="none"/>
              </w:rPr>
              <w:t>点以后施工</w:t>
            </w:r>
            <w:r>
              <w:rPr>
                <w:rFonts w:hint="eastAsia"/>
                <w:color w:val="auto"/>
                <w:sz w:val="24"/>
                <w:szCs w:val="24"/>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rPr>
            </w:pPr>
            <w:r>
              <w:rPr>
                <w:rFonts w:hint="eastAsia"/>
                <w:color w:val="auto"/>
                <w:sz w:val="24"/>
                <w:szCs w:val="24"/>
              </w:rPr>
              <w:t>综上所述</w:t>
            </w:r>
            <w:r>
              <w:rPr>
                <w:color w:val="auto"/>
                <w:sz w:val="24"/>
                <w:szCs w:val="24"/>
              </w:rPr>
              <w:t>，建设单位全面落实上述要求</w:t>
            </w:r>
            <w:r>
              <w:rPr>
                <w:rFonts w:hint="eastAsia"/>
                <w:color w:val="auto"/>
                <w:sz w:val="24"/>
                <w:szCs w:val="24"/>
              </w:rPr>
              <w:t>后</w:t>
            </w:r>
            <w:r>
              <w:rPr>
                <w:color w:val="auto"/>
                <w:sz w:val="24"/>
                <w:szCs w:val="24"/>
              </w:rPr>
              <w:t>，施工各阶段的场界噪声</w:t>
            </w:r>
            <w:r>
              <w:rPr>
                <w:rFonts w:hint="eastAsia"/>
                <w:color w:val="auto"/>
                <w:sz w:val="24"/>
                <w:szCs w:val="24"/>
              </w:rPr>
              <w:t>将</w:t>
            </w:r>
            <w:r>
              <w:rPr>
                <w:color w:val="auto"/>
                <w:sz w:val="24"/>
                <w:szCs w:val="24"/>
              </w:rPr>
              <w:t>符合《建筑施工场界环境噪声排放标准》（GB12523-2011）中的规定，对项目周边声环境影响</w:t>
            </w:r>
            <w:r>
              <w:rPr>
                <w:rFonts w:hint="eastAsia"/>
                <w:color w:val="auto"/>
                <w:sz w:val="24"/>
                <w:szCs w:val="24"/>
              </w:rPr>
              <w:t>小</w:t>
            </w:r>
            <w:r>
              <w:rPr>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b/>
                <w:bCs/>
                <w:color w:val="auto"/>
                <w:sz w:val="24"/>
                <w:szCs w:val="24"/>
              </w:rPr>
            </w:pPr>
            <w:r>
              <w:rPr>
                <w:rFonts w:hint="eastAsia"/>
                <w:b/>
                <w:bCs/>
                <w:color w:val="auto"/>
                <w:sz w:val="24"/>
                <w:szCs w:val="24"/>
              </w:rPr>
              <w:t>7.1.4</w:t>
            </w:r>
            <w:r>
              <w:rPr>
                <w:b/>
                <w:bCs/>
                <w:color w:val="auto"/>
                <w:sz w:val="24"/>
                <w:szCs w:val="24"/>
              </w:rPr>
              <w:t>固体废物</w:t>
            </w:r>
            <w:r>
              <w:rPr>
                <w:rFonts w:hint="eastAsia"/>
                <w:b/>
                <w:bCs/>
                <w:color w:val="auto"/>
                <w:sz w:val="24"/>
                <w:szCs w:val="24"/>
              </w:rPr>
              <w:t>对</w:t>
            </w:r>
            <w:r>
              <w:rPr>
                <w:b/>
                <w:bCs/>
                <w:color w:val="auto"/>
                <w:sz w:val="24"/>
                <w:szCs w:val="24"/>
              </w:rPr>
              <w:t>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项目</w:t>
            </w:r>
            <w:r>
              <w:rPr>
                <w:color w:val="auto"/>
                <w:sz w:val="24"/>
                <w:szCs w:val="24"/>
              </w:rPr>
              <w:t>施工</w:t>
            </w:r>
            <w:r>
              <w:rPr>
                <w:rFonts w:hint="eastAsia"/>
                <w:color w:val="auto"/>
                <w:sz w:val="24"/>
                <w:szCs w:val="24"/>
              </w:rPr>
              <w:t>期</w:t>
            </w:r>
            <w:r>
              <w:rPr>
                <w:color w:val="auto"/>
                <w:sz w:val="24"/>
                <w:szCs w:val="24"/>
              </w:rPr>
              <w:t>建筑垃圾产</w:t>
            </w:r>
            <w:r>
              <w:rPr>
                <w:rFonts w:hint="eastAsia"/>
                <w:color w:val="auto"/>
                <w:sz w:val="24"/>
                <w:szCs w:val="24"/>
              </w:rPr>
              <w:t>生</w:t>
            </w:r>
            <w:r>
              <w:rPr>
                <w:color w:val="auto"/>
                <w:sz w:val="24"/>
                <w:szCs w:val="24"/>
              </w:rPr>
              <w:t>量为</w:t>
            </w:r>
            <w:r>
              <w:rPr>
                <w:rFonts w:hint="eastAsia"/>
                <w:color w:val="auto"/>
                <w:sz w:val="24"/>
                <w:szCs w:val="24"/>
                <w:lang w:eastAsia="zh-CN"/>
              </w:rPr>
              <w:t>0.53</w:t>
            </w:r>
            <w:r>
              <w:rPr>
                <w:color w:val="auto"/>
                <w:sz w:val="24"/>
                <w:szCs w:val="24"/>
              </w:rPr>
              <w:t>t</w:t>
            </w:r>
            <w:r>
              <w:rPr>
                <w:rFonts w:hint="eastAsia"/>
                <w:color w:val="auto"/>
                <w:sz w:val="24"/>
                <w:szCs w:val="24"/>
              </w:rPr>
              <w:t>，废弃包装材料的产生量为</w:t>
            </w:r>
            <w:r>
              <w:rPr>
                <w:rFonts w:hint="eastAsia"/>
                <w:color w:val="auto"/>
                <w:sz w:val="24"/>
                <w:szCs w:val="24"/>
                <w:lang w:eastAsia="zh-CN"/>
              </w:rPr>
              <w:t>75kg</w:t>
            </w:r>
            <w:r>
              <w:rPr>
                <w:rFonts w:hint="eastAsia"/>
                <w:color w:val="auto"/>
                <w:sz w:val="24"/>
                <w:szCs w:val="24"/>
              </w:rPr>
              <w:t>，建筑垃圾及废弃包装材料均</w:t>
            </w:r>
            <w:r>
              <w:rPr>
                <w:color w:val="auto"/>
                <w:sz w:val="24"/>
                <w:szCs w:val="24"/>
              </w:rPr>
              <w:t>送当地政府</w:t>
            </w:r>
            <w:r>
              <w:rPr>
                <w:rFonts w:hint="eastAsia"/>
                <w:color w:val="auto"/>
                <w:sz w:val="24"/>
                <w:szCs w:val="24"/>
              </w:rPr>
              <w:t>指</w:t>
            </w:r>
            <w:r>
              <w:rPr>
                <w:color w:val="auto"/>
                <w:sz w:val="24"/>
                <w:szCs w:val="24"/>
              </w:rPr>
              <w:t>定建筑垃圾</w:t>
            </w:r>
            <w:r>
              <w:rPr>
                <w:rFonts w:hint="eastAsia"/>
                <w:color w:val="auto"/>
                <w:sz w:val="24"/>
                <w:szCs w:val="24"/>
              </w:rPr>
              <w:t>处理场所</w:t>
            </w:r>
            <w:r>
              <w:rPr>
                <w:color w:val="auto"/>
                <w:sz w:val="24"/>
                <w:szCs w:val="24"/>
              </w:rPr>
              <w:t>处置</w:t>
            </w:r>
            <w:r>
              <w:rPr>
                <w:rFonts w:hint="eastAsia"/>
                <w:color w:val="auto"/>
                <w:sz w:val="24"/>
                <w:szCs w:val="24"/>
              </w:rPr>
              <w:t>；项目施工过程中产生604.39m</w:t>
            </w:r>
            <w:r>
              <w:rPr>
                <w:rFonts w:hint="eastAsia"/>
                <w:color w:val="auto"/>
                <w:sz w:val="24"/>
                <w:szCs w:val="24"/>
                <w:vertAlign w:val="superscript"/>
              </w:rPr>
              <w:t>3</w:t>
            </w:r>
            <w:r>
              <w:rPr>
                <w:rFonts w:hint="eastAsia"/>
                <w:color w:val="auto"/>
                <w:sz w:val="24"/>
                <w:szCs w:val="24"/>
              </w:rPr>
              <w:t>的废弃土方，均用于厂内回填及修建道路；</w:t>
            </w:r>
            <w:r>
              <w:rPr>
                <w:color w:val="auto"/>
                <w:sz w:val="24"/>
                <w:szCs w:val="24"/>
              </w:rPr>
              <w:t>施工人员</w:t>
            </w:r>
            <w:r>
              <w:rPr>
                <w:rFonts w:hint="eastAsia"/>
                <w:color w:val="auto"/>
                <w:sz w:val="24"/>
                <w:szCs w:val="24"/>
              </w:rPr>
              <w:t>产生的</w:t>
            </w:r>
            <w:r>
              <w:rPr>
                <w:color w:val="auto"/>
                <w:sz w:val="24"/>
                <w:szCs w:val="24"/>
              </w:rPr>
              <w:t>生活垃圾统一收集后交环卫部门处理。</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综上，本项目</w:t>
            </w:r>
            <w:r>
              <w:rPr>
                <w:color w:val="auto"/>
                <w:sz w:val="24"/>
                <w:szCs w:val="24"/>
              </w:rPr>
              <w:t>针对施工期</w:t>
            </w:r>
            <w:r>
              <w:rPr>
                <w:rFonts w:hint="eastAsia"/>
                <w:color w:val="auto"/>
                <w:sz w:val="24"/>
                <w:szCs w:val="24"/>
              </w:rPr>
              <w:t>产生的固体废物均按相应规范处置妥当，同时为控制施工期固体废物对周边环境的影响，本环评提出以</w:t>
            </w:r>
            <w:r>
              <w:rPr>
                <w:color w:val="auto"/>
                <w:sz w:val="24"/>
                <w:szCs w:val="24"/>
              </w:rPr>
              <w:t>下几点</w:t>
            </w:r>
            <w:r>
              <w:rPr>
                <w:rFonts w:hint="eastAsia"/>
                <w:color w:val="auto"/>
                <w:sz w:val="24"/>
                <w:szCs w:val="24"/>
              </w:rPr>
              <w:t>要求</w:t>
            </w:r>
            <w:r>
              <w:rPr>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1）施工过程中合理选购材料和构件。在设计时应尽量运用标准设计，采用标准模数和预制构件，以减少建筑垃圾的产生。在选择建筑材料时，应优先选择建造时产生建筑垃圾少的再生建材，还应选择维修、改造和拆除时</w:t>
            </w:r>
            <w:r>
              <w:rPr>
                <w:rFonts w:hint="eastAsia"/>
                <w:color w:val="auto"/>
                <w:sz w:val="24"/>
                <w:szCs w:val="24"/>
              </w:rPr>
              <w:t>，产生</w:t>
            </w:r>
            <w:r>
              <w:rPr>
                <w:color w:val="auto"/>
                <w:sz w:val="24"/>
                <w:szCs w:val="24"/>
              </w:rPr>
              <w:t>垃圾</w:t>
            </w:r>
            <w:r>
              <w:rPr>
                <w:rFonts w:hint="eastAsia"/>
                <w:color w:val="auto"/>
                <w:sz w:val="24"/>
                <w:szCs w:val="24"/>
              </w:rPr>
              <w:t>少</w:t>
            </w:r>
            <w:r>
              <w:rPr>
                <w:color w:val="auto"/>
                <w:sz w:val="24"/>
                <w:szCs w:val="24"/>
              </w:rPr>
              <w:t>、能再生的建材。并且应尽量采用无包装材料和购买前应先计算好材料用量以免超量。</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2）在施工阶段，采用机械化施工、提高施工技术和施工工艺、加强施工组织管理工作，以避免建筑材料在运输、储存、安装时的损伤和破坏，提高结构的施工精度，避免局部凿除或修补，从而减少建筑垃圾的产生。</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（3）施工车辆在运送渣土时应使用不漏水的翻斗车，设置密闭式加盖装置，渣土不得沿途漏散、飞扬，清运车辆进出施工现场不得带泥污染路面。</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color w:val="auto"/>
                <w:sz w:val="24"/>
                <w:szCs w:val="24"/>
              </w:rPr>
              <w:t>（4）施工垃圾不得随意丢弃，不得造成二次污染。收集后运往政府指定弃渣场堆放或用于附近在建项目的基础回填。</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b/>
                <w:bCs/>
                <w:color w:val="auto"/>
                <w:sz w:val="24"/>
                <w:szCs w:val="24"/>
              </w:rPr>
            </w:pPr>
            <w:r>
              <w:rPr>
                <w:rFonts w:hint="eastAsia"/>
                <w:b/>
                <w:bCs/>
                <w:color w:val="auto"/>
                <w:sz w:val="24"/>
                <w:szCs w:val="24"/>
              </w:rPr>
              <w:t>7.1.5生态环境影响分析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本项目在施工作业过程中对土地利用、植被、水土流失等产生的影响，改变部分原有的地形地貌，破坏现有植被，使地表出现局部裸露，这也就同时破坏了原有的自然风貌及景观，给雨季带来水土流失的条件。</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施工影响区域的陆生野生动物种类均为常见种类，有普通鸟类、兽类、地藏小动物类。施工期间，这些鸟类、兽类的栖息环境受到破坏，施工噪声、扬尘、人员频繁活动，使生活在本区域的野生动物受到惊吓而逃离，生活在本区域的鸟类首先受到影响，它们会暂时到其它地方寻找新的生活环境。但工程影响面积相对较小，且动物具有较强的移动能力，它们会迅速转移到较远、安全的地方，因此，工程对动物的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拟建项目所在区域，人为活动较活跃，场地内部分区域植被覆盖率较低，在本项目施工结束后，对场区绿化完成改造，主要种植圆柏树、香樟、红花玉兰、继木球等。项目用地上重建的植被将获得更完整的群落结构，更多的物种，更大的生态环境效益和环境美化效益。</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同时为降低项目建设对周边生态环境的影响，本环评建议如下生态影响减缓措施：</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（1）施工时严格控制施工范围，以减少施工对周边环境的影响。</w:t>
            </w:r>
            <w:r>
              <w:rPr>
                <w:rFonts w:hint="eastAsia"/>
                <w:color w:val="auto"/>
                <w:sz w:val="24"/>
                <w:szCs w:val="24"/>
              </w:rPr>
              <w:br w:type="textWrapping"/>
            </w:r>
            <w:r>
              <w:rPr>
                <w:rFonts w:hint="eastAsia"/>
                <w:color w:val="auto"/>
                <w:sz w:val="24"/>
                <w:szCs w:val="24"/>
              </w:rPr>
              <w:t xml:space="preserve">    （2）施工期，加强施工人员和管理人员关于生态环境保护知识的宣传，增强生态保护意识，使其在施工过程中，尽可能减小和消除对生态环境的影响范围和程度。</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（3）在工程施工中要合理设计和布局，尽量避免破坏植物，避免占压土地，尽可能减少植被破坏量，对植被的清除应严格控制在所需的开挖面上，同时将难以避免的植被破坏减少到最低限度。</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（4）表土需提前剥离，回用于临时占地复耕和施工迹地恢复，遵循“破坏多少，恢复多少”的原则，施工结束后选择当地适生物种及时对临时占地进行植被恢复和耕地复耕。</w:t>
            </w:r>
          </w:p>
          <w:p>
            <w:pPr>
              <w:keepNext w:val="0"/>
              <w:keepLines w:val="0"/>
              <w:pageBreakBefore w:val="0"/>
              <w:widowControl w:val="0"/>
              <w:kinsoku/>
              <w:wordWrap/>
              <w:overflowPunct/>
              <w:topLinePunct w:val="0"/>
              <w:bidi w:val="0"/>
              <w:adjustRightInd w:val="0"/>
              <w:snapToGrid w:val="0"/>
              <w:spacing w:line="360" w:lineRule="auto"/>
              <w:textAlignment w:val="auto"/>
              <w:rPr>
                <w:b/>
                <w:bCs/>
                <w:color w:val="auto"/>
                <w:kern w:val="24"/>
                <w:sz w:val="28"/>
                <w:szCs w:val="28"/>
              </w:rPr>
            </w:pPr>
            <w:r>
              <w:rPr>
                <w:rFonts w:hint="eastAsia"/>
                <w:b/>
                <w:bCs/>
                <w:color w:val="auto"/>
                <w:kern w:val="24"/>
                <w:sz w:val="28"/>
                <w:szCs w:val="28"/>
              </w:rPr>
              <w:t>7.2营运期环境影响分析</w:t>
            </w:r>
          </w:p>
          <w:p>
            <w:pPr>
              <w:keepNext w:val="0"/>
              <w:keepLines w:val="0"/>
              <w:pageBreakBefore w:val="0"/>
              <w:widowControl w:val="0"/>
              <w:kinsoku/>
              <w:wordWrap/>
              <w:overflowPunct/>
              <w:topLinePunct w:val="0"/>
              <w:bidi w:val="0"/>
              <w:adjustRightInd w:val="0"/>
              <w:snapToGrid w:val="0"/>
              <w:spacing w:line="360" w:lineRule="auto"/>
              <w:ind w:firstLine="462" w:firstLineChars="200"/>
              <w:textAlignment w:val="auto"/>
              <w:rPr>
                <w:b/>
                <w:bCs/>
                <w:color w:val="auto"/>
                <w:sz w:val="24"/>
                <w:szCs w:val="24"/>
              </w:rPr>
            </w:pPr>
            <w:r>
              <w:rPr>
                <w:rFonts w:hint="eastAsia"/>
                <w:b/>
                <w:bCs/>
                <w:color w:val="auto"/>
                <w:sz w:val="24"/>
                <w:szCs w:val="24"/>
              </w:rPr>
              <w:t xml:space="preserve">7.2.1 </w:t>
            </w:r>
            <w:r>
              <w:rPr>
                <w:b/>
                <w:bCs/>
                <w:color w:val="auto"/>
                <w:sz w:val="24"/>
                <w:szCs w:val="24"/>
              </w:rPr>
              <w:t>大气环境影响分析</w:t>
            </w:r>
          </w:p>
          <w:p>
            <w:pPr>
              <w:pStyle w:val="67"/>
              <w:keepNext w:val="0"/>
              <w:keepLines w:val="0"/>
              <w:pageBreakBefore w:val="0"/>
              <w:widowControl w:val="0"/>
              <w:kinsoku/>
              <w:wordWrap/>
              <w:overflowPunct/>
              <w:topLinePunct w:val="0"/>
              <w:bidi w:val="0"/>
              <w:adjustRightInd w:val="0"/>
              <w:snapToGrid w:val="0"/>
              <w:spacing w:line="360" w:lineRule="auto"/>
              <w:ind w:firstLine="460"/>
              <w:textAlignment w:val="auto"/>
              <w:rPr>
                <w:rFonts w:hAnsi="Times New Roman"/>
                <w:color w:val="auto"/>
                <w:szCs w:val="24"/>
              </w:rPr>
            </w:pPr>
            <w:r>
              <w:rPr>
                <w:rFonts w:hAnsi="Times New Roman"/>
                <w:color w:val="auto"/>
                <w:szCs w:val="24"/>
              </w:rPr>
              <w:t>（</w:t>
            </w:r>
            <w:r>
              <w:rPr>
                <w:rFonts w:hint="eastAsia" w:hAnsi="Times New Roman"/>
                <w:color w:val="auto"/>
                <w:szCs w:val="24"/>
              </w:rPr>
              <w:t>1</w:t>
            </w:r>
            <w:r>
              <w:rPr>
                <w:rFonts w:hAnsi="Times New Roman"/>
                <w:color w:val="auto"/>
                <w:szCs w:val="24"/>
              </w:rPr>
              <w:t>）大气评价工作等级</w:t>
            </w:r>
          </w:p>
          <w:p>
            <w:pPr>
              <w:pStyle w:val="26"/>
              <w:keepNext/>
              <w:keepLines/>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right="0" w:firstLine="462" w:firstLineChars="200"/>
              <w:textAlignment w:val="auto"/>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sz w:val="24"/>
                <w:szCs w:val="24"/>
                <w:u w:val="none"/>
              </w:rPr>
              <w:t>①Pmax及D</w:t>
            </w:r>
            <w:r>
              <w:rPr>
                <w:rFonts w:hint="default" w:ascii="Times New Roman" w:hAnsi="Times New Roman" w:eastAsia="宋体" w:cs="Times New Roman"/>
                <w:b w:val="0"/>
                <w:bCs w:val="0"/>
                <w:color w:val="auto"/>
                <w:sz w:val="24"/>
                <w:szCs w:val="24"/>
                <w:u w:val="none"/>
                <w:vertAlign w:val="subscript"/>
              </w:rPr>
              <w:t>10%</w:t>
            </w:r>
            <w:r>
              <w:rPr>
                <w:rFonts w:hint="default" w:ascii="Times New Roman" w:hAnsi="Times New Roman" w:eastAsia="宋体" w:cs="Times New Roman"/>
                <w:b w:val="0"/>
                <w:bCs w:val="0"/>
                <w:color w:val="auto"/>
                <w:sz w:val="24"/>
                <w:szCs w:val="24"/>
                <w:u w:val="none"/>
              </w:rPr>
              <w:t>的确定</w:t>
            </w:r>
          </w:p>
          <w:p>
            <w:pPr>
              <w:pStyle w:val="40"/>
              <w:keepNext w:val="0"/>
              <w:keepLines w:val="0"/>
              <w:pageBreakBefore w:val="0"/>
              <w:widowControl w:val="0"/>
              <w:kinsoku/>
              <w:wordWrap/>
              <w:overflowPunct/>
              <w:topLinePunct w:val="0"/>
              <w:bidi w:val="0"/>
              <w:adjustRightInd w:val="0"/>
              <w:snapToGrid w:val="0"/>
              <w:spacing w:line="360" w:lineRule="auto"/>
              <w:ind w:firstLine="460"/>
              <w:textAlignment w:val="auto"/>
              <w:rPr>
                <w:rFonts w:eastAsia="宋体"/>
                <w:color w:val="auto"/>
                <w:szCs w:val="22"/>
              </w:rPr>
            </w:pPr>
            <w:r>
              <w:rPr>
                <w:rFonts w:eastAsia="宋体"/>
                <w:color w:val="auto"/>
                <w:szCs w:val="22"/>
              </w:rPr>
              <w:t>根据《环境影响评价技术导则-大气环境》（HJ2.2-20</w:t>
            </w:r>
            <w:r>
              <w:rPr>
                <w:rFonts w:hint="eastAsia" w:eastAsia="宋体"/>
                <w:color w:val="auto"/>
                <w:szCs w:val="22"/>
              </w:rPr>
              <w:t>1</w:t>
            </w:r>
            <w:r>
              <w:rPr>
                <w:rFonts w:eastAsia="宋体"/>
                <w:color w:val="auto"/>
                <w:szCs w:val="22"/>
              </w:rPr>
              <w:t>8）推荐模式</w:t>
            </w:r>
            <w:r>
              <w:rPr>
                <w:rFonts w:hint="eastAsia" w:eastAsia="宋体"/>
                <w:color w:val="auto"/>
                <w:szCs w:val="22"/>
              </w:rPr>
              <w:t>AER</w:t>
            </w:r>
            <w:r>
              <w:rPr>
                <w:rFonts w:eastAsia="宋体"/>
                <w:color w:val="auto"/>
                <w:szCs w:val="22"/>
              </w:rPr>
              <w:t>SCREEN的要求，大气环境影响评价等级根据主要污染物的最大地面浓度占标率Pi（第i个污染物），及第i个污染物的地面浓度达标准限值10</w:t>
            </w:r>
            <w:r>
              <w:rPr>
                <w:rFonts w:hint="eastAsia" w:eastAsia="宋体"/>
                <w:color w:val="auto"/>
                <w:szCs w:val="22"/>
                <w:lang w:val="en-US" w:eastAsia="zh-CN"/>
              </w:rPr>
              <w:t>%</w:t>
            </w:r>
            <w:r>
              <w:rPr>
                <w:rFonts w:eastAsia="宋体"/>
                <w:color w:val="auto"/>
                <w:szCs w:val="22"/>
              </w:rPr>
              <w:t>时所对应的最远距离D10</w:t>
            </w:r>
            <w:r>
              <w:rPr>
                <w:rFonts w:hint="eastAsia" w:eastAsia="宋体"/>
                <w:color w:val="auto"/>
                <w:szCs w:val="22"/>
                <w:lang w:val="en-US" w:eastAsia="zh-CN"/>
              </w:rPr>
              <w:t>%</w:t>
            </w:r>
            <w:r>
              <w:rPr>
                <w:rFonts w:eastAsia="宋体"/>
                <w:color w:val="auto"/>
                <w:szCs w:val="22"/>
              </w:rPr>
              <w:t>确定。其中Pi定义为：</w:t>
            </w:r>
          </w:p>
          <w:p>
            <w:pPr>
              <w:pStyle w:val="40"/>
              <w:keepNext w:val="0"/>
              <w:keepLines w:val="0"/>
              <w:pageBreakBefore w:val="0"/>
              <w:widowControl w:val="0"/>
              <w:kinsoku/>
              <w:wordWrap/>
              <w:overflowPunct/>
              <w:topLinePunct w:val="0"/>
              <w:bidi w:val="0"/>
              <w:adjustRightInd w:val="0"/>
              <w:snapToGrid w:val="0"/>
              <w:spacing w:line="360" w:lineRule="auto"/>
              <w:ind w:firstLine="436"/>
              <w:jc w:val="both"/>
              <w:textAlignment w:val="auto"/>
              <w:rPr>
                <w:rFonts w:eastAsia="宋体"/>
                <w:color w:val="auto"/>
                <w:spacing w:val="-6"/>
                <w:szCs w:val="22"/>
              </w:rPr>
            </w:pPr>
            <w:r>
              <w:rPr>
                <w:rFonts w:eastAsia="宋体"/>
                <w:color w:val="auto"/>
                <w:spacing w:val="-6"/>
                <w:szCs w:val="22"/>
              </w:rPr>
              <w:t>Pi=Ci/Coi×100%</w:t>
            </w:r>
          </w:p>
          <w:p>
            <w:pPr>
              <w:pStyle w:val="40"/>
              <w:keepNext w:val="0"/>
              <w:keepLines w:val="0"/>
              <w:pageBreakBefore w:val="0"/>
              <w:widowControl w:val="0"/>
              <w:kinsoku/>
              <w:wordWrap/>
              <w:overflowPunct/>
              <w:topLinePunct w:val="0"/>
              <w:bidi w:val="0"/>
              <w:adjustRightInd w:val="0"/>
              <w:snapToGrid w:val="0"/>
              <w:spacing w:line="360" w:lineRule="auto"/>
              <w:ind w:firstLine="436"/>
              <w:jc w:val="both"/>
              <w:textAlignment w:val="auto"/>
              <w:rPr>
                <w:rFonts w:eastAsia="宋体"/>
                <w:color w:val="auto"/>
                <w:spacing w:val="-6"/>
                <w:szCs w:val="22"/>
              </w:rPr>
            </w:pPr>
            <w:r>
              <w:rPr>
                <w:rFonts w:eastAsia="宋体"/>
                <w:color w:val="auto"/>
                <w:spacing w:val="-6"/>
                <w:szCs w:val="22"/>
              </w:rPr>
              <w:t>式中：Pi－第i个污染物的最大地面浓度占标率，%；</w:t>
            </w:r>
          </w:p>
          <w:p>
            <w:pPr>
              <w:pStyle w:val="40"/>
              <w:keepNext w:val="0"/>
              <w:keepLines w:val="0"/>
              <w:pageBreakBefore w:val="0"/>
              <w:widowControl w:val="0"/>
              <w:kinsoku/>
              <w:wordWrap/>
              <w:overflowPunct/>
              <w:topLinePunct w:val="0"/>
              <w:autoSpaceDE/>
              <w:autoSpaceDN/>
              <w:bidi w:val="0"/>
              <w:adjustRightInd w:val="0"/>
              <w:snapToGrid w:val="0"/>
              <w:spacing w:line="360" w:lineRule="auto"/>
              <w:ind w:firstLine="1095" w:firstLineChars="500"/>
              <w:jc w:val="both"/>
              <w:textAlignment w:val="auto"/>
              <w:rPr>
                <w:rFonts w:eastAsia="宋体"/>
                <w:color w:val="auto"/>
                <w:spacing w:val="-6"/>
                <w:szCs w:val="22"/>
              </w:rPr>
            </w:pPr>
            <w:r>
              <w:rPr>
                <w:rFonts w:eastAsia="宋体"/>
                <w:color w:val="auto"/>
                <w:spacing w:val="-6"/>
                <w:szCs w:val="22"/>
              </w:rPr>
              <w:t>Ci－采用估算模式计算出的第i个污染物的最大地面浓度，ug/m</w:t>
            </w:r>
            <w:r>
              <w:rPr>
                <w:rFonts w:eastAsia="宋体"/>
                <w:color w:val="auto"/>
                <w:spacing w:val="-6"/>
                <w:szCs w:val="22"/>
                <w:vertAlign w:val="superscript"/>
              </w:rPr>
              <w:t>3</w:t>
            </w:r>
            <w:r>
              <w:rPr>
                <w:rFonts w:eastAsia="宋体"/>
                <w:color w:val="auto"/>
                <w:spacing w:val="-6"/>
                <w:szCs w:val="22"/>
              </w:rPr>
              <w:t>；</w:t>
            </w:r>
          </w:p>
          <w:p>
            <w:pPr>
              <w:pStyle w:val="40"/>
              <w:keepNext w:val="0"/>
              <w:keepLines w:val="0"/>
              <w:pageBreakBefore w:val="0"/>
              <w:widowControl w:val="0"/>
              <w:kinsoku/>
              <w:wordWrap/>
              <w:overflowPunct/>
              <w:topLinePunct w:val="0"/>
              <w:autoSpaceDE/>
              <w:autoSpaceDN/>
              <w:bidi w:val="0"/>
              <w:adjustRightInd w:val="0"/>
              <w:snapToGrid w:val="0"/>
              <w:spacing w:line="360" w:lineRule="auto"/>
              <w:ind w:firstLine="1095" w:firstLineChars="500"/>
              <w:jc w:val="both"/>
              <w:textAlignment w:val="auto"/>
              <w:rPr>
                <w:rFonts w:eastAsia="宋体"/>
                <w:color w:val="auto"/>
                <w:spacing w:val="-6"/>
                <w:szCs w:val="22"/>
              </w:rPr>
            </w:pPr>
            <w:r>
              <w:rPr>
                <w:rFonts w:eastAsia="宋体"/>
                <w:color w:val="auto"/>
                <w:spacing w:val="-6"/>
                <w:szCs w:val="22"/>
              </w:rPr>
              <w:t>Coi－第i个污染物的环境空气质量标准</w:t>
            </w:r>
            <w:r>
              <w:rPr>
                <w:rFonts w:hint="eastAsia" w:eastAsia="宋体"/>
                <w:color w:val="auto"/>
                <w:spacing w:val="-6"/>
                <w:szCs w:val="22"/>
              </w:rPr>
              <w:t>u</w:t>
            </w:r>
            <w:r>
              <w:rPr>
                <w:rFonts w:eastAsia="宋体"/>
                <w:color w:val="auto"/>
                <w:spacing w:val="-6"/>
                <w:szCs w:val="22"/>
              </w:rPr>
              <w:t>g/m</w:t>
            </w:r>
            <w:r>
              <w:rPr>
                <w:rFonts w:eastAsia="宋体"/>
                <w:color w:val="auto"/>
                <w:spacing w:val="-6"/>
                <w:szCs w:val="22"/>
                <w:vertAlign w:val="superscript"/>
              </w:rPr>
              <w:t>3</w:t>
            </w:r>
            <w:r>
              <w:rPr>
                <w:rFonts w:eastAsia="宋体"/>
                <w:color w:val="auto"/>
                <w:spacing w:val="-6"/>
                <w:szCs w:val="22"/>
              </w:rPr>
              <w:t>。</w:t>
            </w:r>
          </w:p>
          <w:p>
            <w:pPr>
              <w:pStyle w:val="40"/>
              <w:keepNext w:val="0"/>
              <w:keepLines w:val="0"/>
              <w:pageBreakBefore w:val="0"/>
              <w:widowControl w:val="0"/>
              <w:kinsoku/>
              <w:wordWrap/>
              <w:overflowPunct/>
              <w:topLinePunct w:val="0"/>
              <w:autoSpaceDE/>
              <w:autoSpaceDN/>
              <w:bidi w:val="0"/>
              <w:adjustRightInd w:val="0"/>
              <w:snapToGrid w:val="0"/>
              <w:spacing w:line="360" w:lineRule="auto"/>
              <w:ind w:firstLine="1155" w:firstLineChars="500"/>
              <w:jc w:val="both"/>
              <w:textAlignment w:val="auto"/>
              <w:rPr>
                <w:rFonts w:eastAsia="宋体"/>
                <w:color w:val="auto"/>
                <w:szCs w:val="22"/>
              </w:rPr>
            </w:pPr>
            <w:r>
              <w:rPr>
                <w:rFonts w:eastAsia="宋体"/>
                <w:color w:val="auto"/>
                <w:szCs w:val="22"/>
              </w:rPr>
              <w:t>Coi一般选用GB3095中1小时平均</w:t>
            </w:r>
            <w:r>
              <w:rPr>
                <w:rFonts w:hint="eastAsia" w:eastAsia="宋体"/>
                <w:color w:val="auto"/>
                <w:szCs w:val="22"/>
              </w:rPr>
              <w:t>质量浓度</w:t>
            </w:r>
            <w:r>
              <w:rPr>
                <w:rFonts w:eastAsia="宋体"/>
                <w:color w:val="auto"/>
                <w:szCs w:val="22"/>
              </w:rPr>
              <w:t>的二级标准的浓度限值；对于没有小时浓度限值的污染物，可取</w:t>
            </w:r>
            <w:r>
              <w:rPr>
                <w:rFonts w:hint="eastAsia" w:eastAsia="宋体"/>
                <w:color w:val="auto"/>
                <w:szCs w:val="22"/>
              </w:rPr>
              <w:t>8h平均质量浓度限制的二倍值、</w:t>
            </w:r>
            <w:r>
              <w:rPr>
                <w:rFonts w:eastAsia="宋体"/>
                <w:color w:val="auto"/>
                <w:szCs w:val="22"/>
              </w:rPr>
              <w:t>日平均</w:t>
            </w:r>
            <w:r>
              <w:rPr>
                <w:rFonts w:hint="eastAsia" w:eastAsia="宋体"/>
                <w:color w:val="auto"/>
                <w:szCs w:val="22"/>
              </w:rPr>
              <w:t>质量</w:t>
            </w:r>
            <w:r>
              <w:rPr>
                <w:rFonts w:eastAsia="宋体"/>
                <w:color w:val="auto"/>
                <w:szCs w:val="22"/>
              </w:rPr>
              <w:t>浓度限值的三倍值</w:t>
            </w:r>
            <w:r>
              <w:rPr>
                <w:rFonts w:hint="eastAsia" w:eastAsia="宋体"/>
                <w:color w:val="auto"/>
                <w:szCs w:val="22"/>
              </w:rPr>
              <w:t>、年</w:t>
            </w:r>
            <w:r>
              <w:rPr>
                <w:rFonts w:eastAsia="宋体"/>
                <w:color w:val="auto"/>
                <w:szCs w:val="22"/>
              </w:rPr>
              <w:t>平均</w:t>
            </w:r>
            <w:r>
              <w:rPr>
                <w:rFonts w:hint="eastAsia" w:eastAsia="宋体"/>
                <w:color w:val="auto"/>
                <w:szCs w:val="22"/>
              </w:rPr>
              <w:t>质量</w:t>
            </w:r>
            <w:r>
              <w:rPr>
                <w:rFonts w:eastAsia="宋体"/>
                <w:color w:val="auto"/>
                <w:szCs w:val="22"/>
              </w:rPr>
              <w:t>浓度限值的</w:t>
            </w:r>
            <w:r>
              <w:rPr>
                <w:rFonts w:hint="eastAsia" w:eastAsia="宋体"/>
                <w:color w:val="auto"/>
                <w:szCs w:val="22"/>
              </w:rPr>
              <w:t>六</w:t>
            </w:r>
            <w:r>
              <w:rPr>
                <w:rFonts w:eastAsia="宋体"/>
                <w:color w:val="auto"/>
                <w:szCs w:val="22"/>
              </w:rPr>
              <w:t>倍值。</w:t>
            </w:r>
          </w:p>
          <w:p>
            <w:pPr>
              <w:pStyle w:val="40"/>
              <w:keepNext w:val="0"/>
              <w:keepLines w:val="0"/>
              <w:pageBreakBefore w:val="0"/>
              <w:widowControl w:val="0"/>
              <w:kinsoku/>
              <w:wordWrap/>
              <w:overflowPunct/>
              <w:topLinePunct w:val="0"/>
              <w:bidi w:val="0"/>
              <w:adjustRightInd w:val="0"/>
              <w:snapToGrid w:val="0"/>
              <w:spacing w:line="360" w:lineRule="auto"/>
              <w:ind w:firstLine="460"/>
              <w:jc w:val="both"/>
              <w:textAlignment w:val="auto"/>
              <w:rPr>
                <w:rFonts w:hint="default" w:eastAsia="宋体"/>
                <w:color w:val="auto"/>
                <w:szCs w:val="22"/>
                <w:u w:val="none"/>
                <w:lang w:eastAsia="zh-CN"/>
              </w:rPr>
            </w:pPr>
            <w:r>
              <w:rPr>
                <w:rFonts w:hint="default" w:eastAsia="宋体"/>
                <w:color w:val="auto"/>
                <w:szCs w:val="22"/>
                <w:u w:val="none"/>
              </w:rPr>
              <w:t>②</w:t>
            </w:r>
            <w:r>
              <w:rPr>
                <w:rFonts w:hint="default" w:ascii="Times New Roman" w:hAnsi="Times New Roman" w:eastAsia="宋体" w:cs="Times New Roman"/>
                <w:bCs/>
                <w:color w:val="auto"/>
                <w:sz w:val="24"/>
                <w:szCs w:val="24"/>
                <w:highlight w:val="none"/>
                <w:u w:val="none"/>
              </w:rPr>
              <w:t>评价工作等级</w:t>
            </w:r>
            <w:r>
              <w:rPr>
                <w:rFonts w:hint="default" w:ascii="Times New Roman" w:hAnsi="Times New Roman" w:eastAsia="宋体" w:cs="Times New Roman"/>
                <w:color w:val="auto"/>
                <w:sz w:val="24"/>
                <w:szCs w:val="24"/>
                <w:highlight w:val="none"/>
                <w:u w:val="none"/>
              </w:rPr>
              <w:t>分级判据</w:t>
            </w:r>
          </w:p>
          <w:p>
            <w:pPr>
              <w:pStyle w:val="40"/>
              <w:keepNext w:val="0"/>
              <w:keepLines w:val="0"/>
              <w:pageBreakBefore w:val="0"/>
              <w:widowControl w:val="0"/>
              <w:kinsoku/>
              <w:wordWrap/>
              <w:overflowPunct/>
              <w:topLinePunct w:val="0"/>
              <w:bidi w:val="0"/>
              <w:adjustRightInd w:val="0"/>
              <w:snapToGrid w:val="0"/>
              <w:spacing w:line="360" w:lineRule="auto"/>
              <w:ind w:firstLine="460"/>
              <w:jc w:val="both"/>
              <w:textAlignment w:val="auto"/>
              <w:rPr>
                <w:rFonts w:eastAsia="宋体"/>
                <w:color w:val="auto"/>
                <w:u w:val="none"/>
                <w:vertAlign w:val="subscript"/>
              </w:rPr>
            </w:pPr>
            <w:r>
              <w:rPr>
                <w:rFonts w:eastAsia="宋体"/>
                <w:color w:val="auto"/>
                <w:szCs w:val="22"/>
                <w:u w:val="none"/>
              </w:rPr>
              <w:t>评价工作等级按表</w:t>
            </w:r>
            <w:r>
              <w:rPr>
                <w:rFonts w:hint="eastAsia" w:eastAsia="宋体"/>
                <w:color w:val="auto"/>
                <w:szCs w:val="22"/>
                <w:u w:val="none"/>
                <w:lang w:val="en-US" w:eastAsia="zh-CN"/>
              </w:rPr>
              <w:t>7-4</w:t>
            </w:r>
            <w:r>
              <w:rPr>
                <w:rFonts w:eastAsia="宋体"/>
                <w:color w:val="auto"/>
                <w:szCs w:val="22"/>
                <w:u w:val="none"/>
              </w:rPr>
              <w:t>的分级判据进行划分，如污染物i大于1，取P值中最大者（Pmax）</w:t>
            </w:r>
            <w:r>
              <w:rPr>
                <w:rFonts w:hint="eastAsia" w:eastAsia="宋体"/>
                <w:color w:val="auto"/>
                <w:szCs w:val="22"/>
                <w:u w:val="none"/>
              </w:rPr>
              <w:t>。</w:t>
            </w:r>
          </w:p>
          <w:p>
            <w:pPr>
              <w:jc w:val="center"/>
              <w:rPr>
                <w:b/>
                <w:bCs/>
                <w:color w:val="auto"/>
                <w:szCs w:val="21"/>
                <w:u w:val="none"/>
              </w:rPr>
            </w:pPr>
            <w:r>
              <w:rPr>
                <w:b/>
                <w:bCs/>
                <w:color w:val="auto"/>
                <w:szCs w:val="21"/>
                <w:u w:val="none"/>
              </w:rPr>
              <w:t>表</w:t>
            </w:r>
            <w:r>
              <w:rPr>
                <w:rFonts w:hint="eastAsia"/>
                <w:b/>
                <w:bCs/>
                <w:color w:val="auto"/>
                <w:szCs w:val="21"/>
                <w:u w:val="none"/>
              </w:rPr>
              <w:t>7-4</w:t>
            </w:r>
            <w:r>
              <w:rPr>
                <w:b/>
                <w:bCs/>
                <w:color w:val="auto"/>
                <w:szCs w:val="21"/>
                <w:u w:val="none"/>
              </w:rPr>
              <w:t xml:space="preserve">  大气环境影响评价工作等级判别</w:t>
            </w:r>
          </w:p>
          <w:tbl>
            <w:tblPr>
              <w:tblStyle w:val="27"/>
              <w:tblW w:w="826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18"/>
              <w:gridCol w:w="53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918" w:type="dxa"/>
                  <w:tcBorders>
                    <w:tl2br w:val="nil"/>
                    <w:tr2bl w:val="nil"/>
                  </w:tcBorders>
                  <w:vAlign w:val="center"/>
                </w:tcPr>
                <w:p>
                  <w:pPr>
                    <w:adjustRightInd w:val="0"/>
                    <w:snapToGrid w:val="0"/>
                    <w:jc w:val="center"/>
                    <w:rPr>
                      <w:bCs/>
                      <w:color w:val="auto"/>
                      <w:szCs w:val="21"/>
                      <w:u w:val="none"/>
                    </w:rPr>
                  </w:pPr>
                  <w:r>
                    <w:rPr>
                      <w:bCs/>
                      <w:color w:val="auto"/>
                      <w:szCs w:val="21"/>
                      <w:u w:val="none"/>
                    </w:rPr>
                    <w:t>评价工作等级</w:t>
                  </w:r>
                </w:p>
              </w:tc>
              <w:tc>
                <w:tcPr>
                  <w:tcW w:w="5345" w:type="dxa"/>
                  <w:tcBorders>
                    <w:tl2br w:val="nil"/>
                    <w:tr2bl w:val="nil"/>
                  </w:tcBorders>
                  <w:vAlign w:val="center"/>
                </w:tcPr>
                <w:p>
                  <w:pPr>
                    <w:adjustRightInd w:val="0"/>
                    <w:snapToGrid w:val="0"/>
                    <w:jc w:val="center"/>
                    <w:rPr>
                      <w:bCs/>
                      <w:color w:val="auto"/>
                      <w:szCs w:val="21"/>
                      <w:u w:val="none"/>
                    </w:rPr>
                  </w:pPr>
                  <w:r>
                    <w:rPr>
                      <w:bCs/>
                      <w:color w:val="auto"/>
                      <w:szCs w:val="21"/>
                      <w:u w:val="none"/>
                    </w:rPr>
                    <w:t>评价工作分级判据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918" w:type="dxa"/>
                  <w:tcBorders>
                    <w:tl2br w:val="nil"/>
                    <w:tr2bl w:val="nil"/>
                  </w:tcBorders>
                  <w:vAlign w:val="center"/>
                </w:tcPr>
                <w:p>
                  <w:pPr>
                    <w:adjustRightInd w:val="0"/>
                    <w:snapToGrid w:val="0"/>
                    <w:jc w:val="center"/>
                    <w:rPr>
                      <w:bCs/>
                      <w:color w:val="auto"/>
                      <w:szCs w:val="21"/>
                      <w:u w:val="none"/>
                    </w:rPr>
                  </w:pPr>
                  <w:r>
                    <w:rPr>
                      <w:bCs/>
                      <w:color w:val="auto"/>
                      <w:szCs w:val="21"/>
                      <w:u w:val="none"/>
                    </w:rPr>
                    <w:t>一级</w:t>
                  </w:r>
                </w:p>
              </w:tc>
              <w:tc>
                <w:tcPr>
                  <w:tcW w:w="5345" w:type="dxa"/>
                  <w:tcBorders>
                    <w:tl2br w:val="nil"/>
                    <w:tr2bl w:val="nil"/>
                  </w:tcBorders>
                  <w:vAlign w:val="center"/>
                </w:tcPr>
                <w:p>
                  <w:pPr>
                    <w:adjustRightInd w:val="0"/>
                    <w:snapToGrid w:val="0"/>
                    <w:jc w:val="center"/>
                    <w:rPr>
                      <w:bCs/>
                      <w:color w:val="auto"/>
                      <w:szCs w:val="21"/>
                      <w:u w:val="none"/>
                    </w:rPr>
                  </w:pPr>
                  <w:r>
                    <w:rPr>
                      <w:bCs/>
                      <w:color w:val="auto"/>
                      <w:szCs w:val="21"/>
                      <w:u w:val="none"/>
                    </w:rPr>
                    <w:t>Pmax≥</w:t>
                  </w:r>
                  <w:r>
                    <w:rPr>
                      <w:rFonts w:hint="eastAsia"/>
                      <w:bCs/>
                      <w:color w:val="auto"/>
                      <w:szCs w:val="21"/>
                      <w:u w:val="none"/>
                    </w:rPr>
                    <w:t>1</w:t>
                  </w:r>
                  <w:r>
                    <w:rPr>
                      <w:bCs/>
                      <w:color w:val="auto"/>
                      <w:szCs w:val="21"/>
                      <w:u w:val="none"/>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918" w:type="dxa"/>
                  <w:tcBorders>
                    <w:tl2br w:val="nil"/>
                    <w:tr2bl w:val="nil"/>
                  </w:tcBorders>
                  <w:vAlign w:val="center"/>
                </w:tcPr>
                <w:p>
                  <w:pPr>
                    <w:adjustRightInd w:val="0"/>
                    <w:snapToGrid w:val="0"/>
                    <w:jc w:val="center"/>
                    <w:rPr>
                      <w:bCs/>
                      <w:color w:val="auto"/>
                      <w:szCs w:val="21"/>
                      <w:u w:val="none"/>
                    </w:rPr>
                  </w:pPr>
                  <w:r>
                    <w:rPr>
                      <w:bCs/>
                      <w:color w:val="auto"/>
                      <w:szCs w:val="21"/>
                      <w:u w:val="none"/>
                    </w:rPr>
                    <w:t>二级</w:t>
                  </w:r>
                </w:p>
              </w:tc>
              <w:tc>
                <w:tcPr>
                  <w:tcW w:w="5345" w:type="dxa"/>
                  <w:tcBorders>
                    <w:tl2br w:val="nil"/>
                    <w:tr2bl w:val="nil"/>
                  </w:tcBorders>
                  <w:vAlign w:val="center"/>
                </w:tcPr>
                <w:p>
                  <w:pPr>
                    <w:adjustRightInd w:val="0"/>
                    <w:snapToGrid w:val="0"/>
                    <w:jc w:val="center"/>
                    <w:rPr>
                      <w:bCs/>
                      <w:color w:val="auto"/>
                      <w:szCs w:val="21"/>
                      <w:u w:val="none"/>
                    </w:rPr>
                  </w:pPr>
                  <w:r>
                    <w:rPr>
                      <w:rFonts w:hint="eastAsia"/>
                      <w:bCs/>
                      <w:color w:val="auto"/>
                      <w:szCs w:val="21"/>
                      <w:u w:val="none"/>
                    </w:rPr>
                    <w:t>1%≤</w:t>
                  </w:r>
                  <w:r>
                    <w:rPr>
                      <w:bCs/>
                      <w:color w:val="auto"/>
                      <w:szCs w:val="21"/>
                      <w:u w:val="none"/>
                    </w:rPr>
                    <w:t>Pmax</w:t>
                  </w:r>
                  <w:r>
                    <w:rPr>
                      <w:rFonts w:hint="eastAsia"/>
                      <w:bCs/>
                      <w:color w:val="auto"/>
                      <w:szCs w:val="21"/>
                      <w:u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918" w:type="dxa"/>
                  <w:tcBorders>
                    <w:tl2br w:val="nil"/>
                    <w:tr2bl w:val="nil"/>
                  </w:tcBorders>
                  <w:vAlign w:val="center"/>
                </w:tcPr>
                <w:p>
                  <w:pPr>
                    <w:adjustRightInd w:val="0"/>
                    <w:snapToGrid w:val="0"/>
                    <w:jc w:val="center"/>
                    <w:rPr>
                      <w:bCs/>
                      <w:color w:val="auto"/>
                      <w:szCs w:val="21"/>
                      <w:u w:val="none"/>
                    </w:rPr>
                  </w:pPr>
                  <w:r>
                    <w:rPr>
                      <w:bCs/>
                      <w:color w:val="auto"/>
                      <w:szCs w:val="21"/>
                      <w:u w:val="none"/>
                    </w:rPr>
                    <w:t>三级</w:t>
                  </w:r>
                </w:p>
              </w:tc>
              <w:tc>
                <w:tcPr>
                  <w:tcW w:w="5345" w:type="dxa"/>
                  <w:tcBorders>
                    <w:tl2br w:val="nil"/>
                    <w:tr2bl w:val="nil"/>
                  </w:tcBorders>
                  <w:vAlign w:val="center"/>
                </w:tcPr>
                <w:p>
                  <w:pPr>
                    <w:adjustRightInd w:val="0"/>
                    <w:snapToGrid w:val="0"/>
                    <w:jc w:val="center"/>
                    <w:rPr>
                      <w:bCs/>
                      <w:color w:val="auto"/>
                      <w:szCs w:val="21"/>
                      <w:u w:val="none"/>
                    </w:rPr>
                  </w:pPr>
                  <w:r>
                    <w:rPr>
                      <w:bCs/>
                      <w:color w:val="auto"/>
                      <w:szCs w:val="21"/>
                      <w:u w:val="none"/>
                    </w:rPr>
                    <w:t>Pmax＜1%</w:t>
                  </w:r>
                </w:p>
              </w:tc>
            </w:tr>
          </w:tbl>
          <w:p>
            <w:pPr>
              <w:keepNext/>
              <w:keepLines/>
              <w:pageBreakBefore w:val="0"/>
              <w:widowControl w:val="0"/>
              <w:kinsoku/>
              <w:wordWrap/>
              <w:overflowPunct/>
              <w:topLinePunct w:val="0"/>
              <w:autoSpaceDE/>
              <w:autoSpaceDN/>
              <w:bidi w:val="0"/>
              <w:adjustRightInd w:val="0"/>
              <w:snapToGrid w:val="0"/>
              <w:spacing w:line="360" w:lineRule="auto"/>
              <w:ind w:left="0" w:leftChars="0" w:right="0" w:rightChars="0" w:firstLine="462" w:firstLineChars="200"/>
              <w:jc w:val="both"/>
              <w:textAlignment w:val="auto"/>
              <w:outlineLvl w:val="9"/>
              <w:rPr>
                <w:rFonts w:hint="default" w:ascii="Times New Roman" w:hAnsi="Times New Roman" w:cs="Times New Roman"/>
                <w:b w:val="0"/>
                <w:bCs/>
                <w:color w:val="auto"/>
                <w:sz w:val="24"/>
                <w:szCs w:val="24"/>
                <w:u w:val="none"/>
                <w:lang w:eastAsia="zh-CN"/>
              </w:rPr>
            </w:pPr>
            <w:r>
              <w:rPr>
                <w:rFonts w:hint="default" w:ascii="Times New Roman" w:hAnsi="Times New Roman" w:eastAsia="宋体" w:cs="Times New Roman"/>
                <w:b w:val="0"/>
                <w:bCs w:val="0"/>
                <w:color w:val="auto"/>
                <w:sz w:val="24"/>
                <w:szCs w:val="24"/>
                <w:u w:val="none"/>
              </w:rPr>
              <w:t>③</w:t>
            </w:r>
            <w:r>
              <w:rPr>
                <w:rFonts w:hint="default" w:ascii="Times New Roman" w:hAnsi="Times New Roman" w:cs="Times New Roman"/>
                <w:b w:val="0"/>
                <w:bCs/>
                <w:color w:val="auto"/>
                <w:sz w:val="24"/>
                <w:szCs w:val="24"/>
                <w:u w:val="none"/>
                <w:lang w:eastAsia="zh-CN"/>
              </w:rPr>
              <w:t>污染物评价标准</w:t>
            </w:r>
          </w:p>
          <w:p>
            <w:pPr>
              <w:keepNext/>
              <w:keepLines/>
              <w:pageBreakBefore w:val="0"/>
              <w:widowControl w:val="0"/>
              <w:kinsoku/>
              <w:wordWrap/>
              <w:overflowPunct/>
              <w:topLinePunct w:val="0"/>
              <w:autoSpaceDE/>
              <w:autoSpaceDN/>
              <w:bidi w:val="0"/>
              <w:adjustRightInd w:val="0"/>
              <w:snapToGrid w:val="0"/>
              <w:spacing w:line="360" w:lineRule="auto"/>
              <w:ind w:left="0" w:right="0" w:firstLine="462" w:firstLineChars="200"/>
              <w:textAlignment w:val="auto"/>
              <w:rPr>
                <w:rFonts w:hint="default" w:cs="Times New Roman"/>
                <w:color w:val="auto"/>
                <w:sz w:val="24"/>
                <w:szCs w:val="24"/>
                <w:u w:val="none"/>
                <w:lang w:val="en-US" w:eastAsia="zh-CN"/>
              </w:rPr>
            </w:pPr>
            <w:r>
              <w:rPr>
                <w:rFonts w:hint="default" w:ascii="Times New Roman" w:hAnsi="Times New Roman" w:eastAsia="宋体" w:cs="Times New Roman"/>
                <w:bCs/>
                <w:color w:val="auto"/>
                <w:sz w:val="24"/>
                <w:szCs w:val="24"/>
                <w:highlight w:val="none"/>
                <w:u w:val="none"/>
                <w:lang w:eastAsia="zh-CN"/>
              </w:rPr>
              <w:t>本项目主要大气污染物为</w:t>
            </w:r>
            <w:r>
              <w:rPr>
                <w:rFonts w:hint="eastAsia" w:eastAsia="宋体" w:cs="Times New Roman"/>
                <w:bCs/>
                <w:color w:val="auto"/>
                <w:sz w:val="24"/>
                <w:szCs w:val="24"/>
                <w:highlight w:val="none"/>
                <w:u w:val="none"/>
                <w:lang w:val="en-US" w:eastAsia="zh-CN"/>
              </w:rPr>
              <w:t>NH</w:t>
            </w:r>
            <w:r>
              <w:rPr>
                <w:rFonts w:hint="eastAsia" w:eastAsia="宋体" w:cs="Times New Roman"/>
                <w:bCs/>
                <w:color w:val="auto"/>
                <w:sz w:val="24"/>
                <w:szCs w:val="24"/>
                <w:highlight w:val="none"/>
                <w:u w:val="none"/>
                <w:vertAlign w:val="subscript"/>
                <w:lang w:val="en-US" w:eastAsia="zh-CN"/>
              </w:rPr>
              <w:t>3</w:t>
            </w:r>
            <w:r>
              <w:rPr>
                <w:rFonts w:hint="eastAsia" w:eastAsia="宋体" w:cs="Times New Roman"/>
                <w:bCs/>
                <w:color w:val="auto"/>
                <w:sz w:val="24"/>
                <w:szCs w:val="24"/>
                <w:highlight w:val="none"/>
                <w:u w:val="none"/>
                <w:vertAlign w:val="baseline"/>
                <w:lang w:val="en-US" w:eastAsia="zh-CN"/>
              </w:rPr>
              <w:t>、H</w:t>
            </w:r>
            <w:r>
              <w:rPr>
                <w:rFonts w:hint="eastAsia" w:eastAsia="宋体" w:cs="Times New Roman"/>
                <w:bCs/>
                <w:color w:val="auto"/>
                <w:sz w:val="24"/>
                <w:szCs w:val="24"/>
                <w:highlight w:val="none"/>
                <w:u w:val="none"/>
                <w:vertAlign w:val="subscript"/>
                <w:lang w:val="en-US" w:eastAsia="zh-CN"/>
              </w:rPr>
              <w:t>2</w:t>
            </w:r>
            <w:r>
              <w:rPr>
                <w:rFonts w:hint="eastAsia" w:eastAsia="宋体" w:cs="Times New Roman"/>
                <w:bCs/>
                <w:color w:val="auto"/>
                <w:sz w:val="24"/>
                <w:szCs w:val="24"/>
                <w:highlight w:val="none"/>
                <w:u w:val="none"/>
                <w:vertAlign w:val="baseline"/>
                <w:lang w:val="en-US" w:eastAsia="zh-CN"/>
              </w:rPr>
              <w:t>S，</w:t>
            </w:r>
            <w:r>
              <w:rPr>
                <w:rFonts w:hint="eastAsia" w:cs="Times New Roman"/>
                <w:bCs/>
                <w:color w:val="auto"/>
                <w:sz w:val="24"/>
                <w:szCs w:val="24"/>
                <w:highlight w:val="none"/>
                <w:u w:val="none"/>
                <w:vertAlign w:val="baseline"/>
                <w:lang w:val="en-US" w:eastAsia="zh-CN"/>
              </w:rPr>
              <w:t>参照</w:t>
            </w:r>
            <w:r>
              <w:rPr>
                <w:rFonts w:hint="eastAsia" w:cs="Times New Roman"/>
                <w:color w:val="auto"/>
                <w:sz w:val="24"/>
                <w:szCs w:val="24"/>
                <w:u w:val="none"/>
                <w:lang w:val="en-US" w:eastAsia="zh-CN"/>
              </w:rPr>
              <w:t>《环境影响评价技术导则大气环境》（HJ2.2-2018）附录D中相关标准执行。</w:t>
            </w:r>
          </w:p>
          <w:p>
            <w:pPr>
              <w:keepNext/>
              <w:keepLines/>
              <w:pageBreakBefore w:val="0"/>
              <w:widowControl w:val="0"/>
              <w:kinsoku/>
              <w:wordWrap/>
              <w:overflowPunct/>
              <w:topLinePunct w:val="0"/>
              <w:autoSpaceDE/>
              <w:autoSpaceDN/>
              <w:bidi w:val="0"/>
              <w:adjustRightInd w:val="0"/>
              <w:snapToGrid w:val="0"/>
              <w:spacing w:line="360" w:lineRule="auto"/>
              <w:ind w:left="0" w:leftChars="0" w:right="0" w:rightChars="0" w:firstLine="462" w:firstLineChars="200"/>
              <w:jc w:val="both"/>
              <w:textAlignment w:val="auto"/>
              <w:outlineLvl w:val="9"/>
              <w:rPr>
                <w:rFonts w:hint="default" w:ascii="Times New Roman" w:hAnsi="Times New Roman" w:cs="Times New Roman"/>
                <w:b w:val="0"/>
                <w:bCs/>
                <w:color w:val="auto"/>
                <w:sz w:val="24"/>
                <w:szCs w:val="24"/>
                <w:u w:val="none"/>
                <w:lang w:eastAsia="zh-CN"/>
              </w:rPr>
            </w:pPr>
            <w:r>
              <w:rPr>
                <w:rFonts w:hint="default" w:ascii="Times New Roman" w:hAnsi="Times New Roman" w:eastAsia="宋体" w:cs="Times New Roman"/>
                <w:b w:val="0"/>
                <w:bCs w:val="0"/>
                <w:color w:val="auto"/>
                <w:sz w:val="24"/>
                <w:szCs w:val="24"/>
                <w:u w:val="none"/>
              </w:rPr>
              <w:t>④</w:t>
            </w:r>
            <w:r>
              <w:rPr>
                <w:rFonts w:hint="eastAsia" w:ascii="Times New Roman" w:hAnsi="Times New Roman" w:eastAsia="宋体" w:cs="Times New Roman"/>
                <w:b w:val="0"/>
                <w:bCs w:val="0"/>
                <w:color w:val="auto"/>
                <w:sz w:val="24"/>
                <w:szCs w:val="24"/>
                <w:u w:val="none"/>
                <w:lang w:eastAsia="zh-CN"/>
              </w:rPr>
              <w:t>估算模式及</w:t>
            </w:r>
            <w:r>
              <w:rPr>
                <w:rFonts w:hint="default" w:ascii="Times New Roman" w:hAnsi="Times New Roman" w:cs="Times New Roman"/>
                <w:b w:val="0"/>
                <w:bCs/>
                <w:color w:val="auto"/>
                <w:sz w:val="24"/>
                <w:szCs w:val="24"/>
                <w:u w:val="none"/>
                <w:lang w:eastAsia="zh-CN"/>
              </w:rPr>
              <w:t>污染源参数</w:t>
            </w:r>
          </w:p>
          <w:p>
            <w:pPr>
              <w:keepNext/>
              <w:keepLines/>
              <w:pageBreakBefore w:val="0"/>
              <w:widowControl w:val="0"/>
              <w:kinsoku/>
              <w:wordWrap/>
              <w:overflowPunct/>
              <w:topLinePunct w:val="0"/>
              <w:autoSpaceDE/>
              <w:autoSpaceDN/>
              <w:bidi w:val="0"/>
              <w:adjustRightInd w:val="0"/>
              <w:snapToGrid w:val="0"/>
              <w:spacing w:line="360" w:lineRule="auto"/>
              <w:ind w:left="0" w:right="0" w:firstLine="462" w:firstLineChars="200"/>
              <w:textAlignment w:val="auto"/>
              <w:rPr>
                <w:rFonts w:hint="default" w:ascii="Times New Roman" w:hAnsi="Times New Roman" w:eastAsia="宋体" w:cs="Times New Roman"/>
                <w:bCs/>
                <w:color w:val="auto"/>
                <w:sz w:val="24"/>
                <w:szCs w:val="24"/>
                <w:highlight w:val="none"/>
                <w:u w:val="none"/>
                <w:lang w:eastAsia="zh-CN"/>
              </w:rPr>
            </w:pPr>
            <w:r>
              <w:rPr>
                <w:rFonts w:hint="default" w:ascii="Times New Roman" w:hAnsi="Times New Roman" w:eastAsia="宋体" w:cs="Times New Roman"/>
                <w:bCs/>
                <w:color w:val="auto"/>
                <w:sz w:val="24"/>
                <w:szCs w:val="24"/>
                <w:highlight w:val="none"/>
                <w:u w:val="none"/>
                <w:lang w:eastAsia="zh-CN"/>
              </w:rPr>
              <w:t>本项目估算模型参数表见</w:t>
            </w:r>
            <w:r>
              <w:rPr>
                <w:rFonts w:hint="default" w:ascii="Times New Roman" w:hAnsi="Times New Roman" w:eastAsia="宋体" w:cs="Times New Roman"/>
                <w:bCs/>
                <w:color w:val="auto"/>
                <w:sz w:val="24"/>
                <w:szCs w:val="24"/>
                <w:highlight w:val="none"/>
                <w:u w:val="none"/>
                <w:lang w:eastAsia="zh-CN"/>
              </w:rPr>
              <w:fldChar w:fldCharType="begin"/>
            </w:r>
            <w:r>
              <w:rPr>
                <w:rFonts w:hint="default" w:ascii="Times New Roman" w:hAnsi="Times New Roman" w:eastAsia="宋体" w:cs="Times New Roman"/>
                <w:bCs/>
                <w:color w:val="auto"/>
                <w:sz w:val="24"/>
                <w:szCs w:val="24"/>
                <w:highlight w:val="none"/>
                <w:u w:val="none"/>
                <w:lang w:eastAsia="zh-CN"/>
              </w:rPr>
              <w:instrText xml:space="preserve"> HYPERLINK \l "_bookmark50" </w:instrText>
            </w:r>
            <w:r>
              <w:rPr>
                <w:rFonts w:hint="default" w:ascii="Times New Roman" w:hAnsi="Times New Roman" w:eastAsia="宋体" w:cs="Times New Roman"/>
                <w:bCs/>
                <w:color w:val="auto"/>
                <w:sz w:val="24"/>
                <w:szCs w:val="24"/>
                <w:highlight w:val="none"/>
                <w:u w:val="none"/>
                <w:lang w:eastAsia="zh-CN"/>
              </w:rPr>
              <w:fldChar w:fldCharType="separate"/>
            </w:r>
            <w:r>
              <w:rPr>
                <w:rFonts w:hint="default" w:ascii="Times New Roman" w:hAnsi="Times New Roman" w:eastAsia="宋体" w:cs="Times New Roman"/>
                <w:bCs/>
                <w:color w:val="auto"/>
                <w:sz w:val="24"/>
                <w:szCs w:val="24"/>
                <w:highlight w:val="none"/>
                <w:u w:val="none"/>
                <w:lang w:eastAsia="zh-CN"/>
              </w:rPr>
              <w:t>表</w:t>
            </w:r>
            <w:r>
              <w:rPr>
                <w:rFonts w:hint="default" w:ascii="Times New Roman" w:hAnsi="Times New Roman" w:eastAsia="宋体" w:cs="Times New Roman"/>
                <w:bCs/>
                <w:color w:val="auto"/>
                <w:sz w:val="24"/>
                <w:szCs w:val="24"/>
                <w:highlight w:val="none"/>
                <w:u w:val="none"/>
                <w:lang w:val="en-US" w:eastAsia="zh-CN"/>
              </w:rPr>
              <w:t>7</w:t>
            </w:r>
            <w:r>
              <w:rPr>
                <w:rFonts w:hint="default" w:ascii="Times New Roman" w:hAnsi="Times New Roman" w:eastAsia="宋体" w:cs="Times New Roman"/>
                <w:bCs/>
                <w:color w:val="auto"/>
                <w:sz w:val="24"/>
                <w:szCs w:val="24"/>
                <w:highlight w:val="none"/>
                <w:u w:val="none"/>
                <w:lang w:eastAsia="zh-CN"/>
              </w:rPr>
              <w:fldChar w:fldCharType="end"/>
            </w:r>
            <w:r>
              <w:rPr>
                <w:rFonts w:hint="default" w:ascii="Times New Roman" w:hAnsi="Times New Roman" w:eastAsia="宋体" w:cs="Times New Roman"/>
                <w:bCs/>
                <w:color w:val="auto"/>
                <w:sz w:val="24"/>
                <w:szCs w:val="24"/>
                <w:highlight w:val="none"/>
                <w:u w:val="none"/>
                <w:lang w:val="en-US" w:eastAsia="zh-CN"/>
              </w:rPr>
              <w:t>-</w:t>
            </w:r>
            <w:r>
              <w:rPr>
                <w:rFonts w:hint="eastAsia" w:cs="Times New Roman"/>
                <w:bCs/>
                <w:color w:val="auto"/>
                <w:sz w:val="24"/>
                <w:szCs w:val="24"/>
                <w:highlight w:val="none"/>
                <w:u w:val="none"/>
                <w:lang w:val="en-US" w:eastAsia="zh-CN"/>
              </w:rPr>
              <w:t>5</w:t>
            </w:r>
            <w:r>
              <w:rPr>
                <w:rFonts w:hint="default" w:ascii="Times New Roman" w:hAnsi="Times New Roman" w:eastAsia="宋体" w:cs="Times New Roman"/>
                <w:bCs/>
                <w:color w:val="auto"/>
                <w:sz w:val="24"/>
                <w:szCs w:val="24"/>
                <w:highlight w:val="none"/>
                <w:u w:val="none"/>
                <w:lang w:eastAsia="zh-CN"/>
              </w:rPr>
              <w:t>。</w:t>
            </w:r>
          </w:p>
          <w:p>
            <w:pPr>
              <w:pStyle w:val="9"/>
              <w:keepNext/>
              <w:keepLines/>
              <w:pageBreakBefore w:val="0"/>
              <w:widowControl w:val="0"/>
              <w:kinsoku/>
              <w:wordWrap/>
              <w:overflowPunct/>
              <w:topLinePunct w:val="0"/>
              <w:autoSpaceDE/>
              <w:autoSpaceDN/>
              <w:bidi w:val="0"/>
              <w:adjustRightInd w:val="0"/>
              <w:snapToGrid w:val="0"/>
              <w:spacing w:after="0" w:line="240" w:lineRule="auto"/>
              <w:ind w:left="0" w:right="0"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b/>
                <w:bCs/>
                <w:color w:val="auto"/>
                <w:sz w:val="21"/>
                <w:szCs w:val="21"/>
                <w:u w:val="none"/>
              </w:rPr>
              <w:t>表</w:t>
            </w:r>
            <w:r>
              <w:rPr>
                <w:rFonts w:hint="default" w:ascii="Times New Roman" w:hAnsi="Times New Roman" w:cs="Times New Roman"/>
                <w:b/>
                <w:bCs/>
                <w:color w:val="auto"/>
                <w:sz w:val="21"/>
                <w:szCs w:val="21"/>
                <w:u w:val="none"/>
                <w:lang w:val="en-US" w:eastAsia="zh-CN"/>
              </w:rPr>
              <w:t>7-</w:t>
            </w:r>
            <w:r>
              <w:rPr>
                <w:rFonts w:hint="eastAsia" w:cs="Times New Roman"/>
                <w:b/>
                <w:bCs/>
                <w:color w:val="auto"/>
                <w:sz w:val="21"/>
                <w:szCs w:val="21"/>
                <w:u w:val="none"/>
                <w:lang w:val="en-US" w:eastAsia="zh-CN"/>
              </w:rPr>
              <w:t>5</w:t>
            </w:r>
            <w:r>
              <w:rPr>
                <w:rFonts w:hint="default" w:ascii="Times New Roman" w:hAnsi="Times New Roman" w:eastAsia="宋体" w:cs="Times New Roman"/>
                <w:b/>
                <w:bCs/>
                <w:color w:val="auto"/>
                <w:sz w:val="21"/>
                <w:szCs w:val="21"/>
                <w:u w:val="none"/>
              </w:rPr>
              <w:t xml:space="preserve"> </w:t>
            </w:r>
            <w:r>
              <w:rPr>
                <w:rFonts w:hint="default" w:ascii="Times New Roman" w:hAnsi="Times New Roman" w:cs="Times New Roman"/>
                <w:b/>
                <w:bCs/>
                <w:color w:val="auto"/>
                <w:sz w:val="21"/>
                <w:szCs w:val="21"/>
                <w:u w:val="none"/>
                <w:lang w:val="en-US" w:eastAsia="zh-CN"/>
              </w:rPr>
              <w:t xml:space="preserve"> </w:t>
            </w:r>
            <w:r>
              <w:rPr>
                <w:rFonts w:hint="default" w:ascii="Times New Roman" w:hAnsi="Times New Roman" w:eastAsia="宋体" w:cs="Times New Roman"/>
                <w:b/>
                <w:bCs/>
                <w:color w:val="auto"/>
                <w:sz w:val="21"/>
                <w:szCs w:val="21"/>
                <w:u w:val="none"/>
              </w:rPr>
              <w:t>估算模型参数表</w:t>
            </w:r>
          </w:p>
          <w:tbl>
            <w:tblPr>
              <w:tblStyle w:val="27"/>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97"/>
              <w:gridCol w:w="3277"/>
              <w:gridCol w:w="23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2" w:hRule="atLeast"/>
                <w:jc w:val="center"/>
              </w:trPr>
              <w:tc>
                <w:tcPr>
                  <w:tcW w:w="4874" w:type="dxa"/>
                  <w:gridSpan w:val="2"/>
                  <w:tcBorders>
                    <w:bottom w:val="single" w:color="000000" w:sz="6" w:space="0"/>
                    <w:right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参数</w:t>
                  </w:r>
                </w:p>
              </w:tc>
              <w:tc>
                <w:tcPr>
                  <w:tcW w:w="2345" w:type="dxa"/>
                  <w:tcBorders>
                    <w:left w:val="single" w:color="000000" w:sz="6" w:space="0"/>
                    <w:bottom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取值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7" w:hRule="atLeast"/>
                <w:jc w:val="center"/>
              </w:trPr>
              <w:tc>
                <w:tcPr>
                  <w:tcW w:w="1597" w:type="dxa"/>
                  <w:vMerge w:val="restart"/>
                  <w:tcBorders>
                    <w:top w:val="single" w:color="000000" w:sz="6" w:space="0"/>
                    <w:bottom w:val="single" w:color="000000" w:sz="6" w:space="0"/>
                    <w:right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1"/>
                      <w:u w:val="none"/>
                    </w:rPr>
                  </w:pPr>
                </w:p>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城市</w:t>
                  </w:r>
                  <w:r>
                    <w:rPr>
                      <w:rFonts w:hint="default" w:ascii="Times New Roman" w:hAnsi="Times New Roman" w:eastAsia="Times New Roman" w:cs="Times New Roman"/>
                      <w:color w:val="auto"/>
                      <w:sz w:val="21"/>
                      <w:szCs w:val="21"/>
                      <w:u w:val="none"/>
                    </w:rPr>
                    <w:t>/</w:t>
                  </w:r>
                  <w:r>
                    <w:rPr>
                      <w:rFonts w:hint="default" w:ascii="Times New Roman" w:hAnsi="Times New Roman" w:cs="Times New Roman"/>
                      <w:color w:val="auto"/>
                      <w:sz w:val="21"/>
                      <w:szCs w:val="21"/>
                      <w:u w:val="none"/>
                    </w:rPr>
                    <w:t>农村选项</w:t>
                  </w:r>
                </w:p>
              </w:tc>
              <w:tc>
                <w:tcPr>
                  <w:tcW w:w="3277" w:type="dxa"/>
                  <w:tcBorders>
                    <w:top w:val="single" w:color="000000" w:sz="6" w:space="0"/>
                    <w:left w:val="single" w:color="000000" w:sz="6" w:space="0"/>
                    <w:bottom w:val="single" w:color="000000" w:sz="6" w:space="0"/>
                    <w:right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城市</w:t>
                  </w:r>
                  <w:r>
                    <w:rPr>
                      <w:rFonts w:hint="default" w:ascii="Times New Roman" w:hAnsi="Times New Roman" w:eastAsia="Times New Roman" w:cs="Times New Roman"/>
                      <w:color w:val="auto"/>
                      <w:sz w:val="21"/>
                      <w:szCs w:val="21"/>
                      <w:u w:val="none"/>
                    </w:rPr>
                    <w:t>/</w:t>
                  </w:r>
                  <w:r>
                    <w:rPr>
                      <w:rFonts w:hint="default" w:ascii="Times New Roman" w:hAnsi="Times New Roman" w:cs="Times New Roman"/>
                      <w:color w:val="auto"/>
                      <w:sz w:val="21"/>
                      <w:szCs w:val="21"/>
                      <w:u w:val="none"/>
                    </w:rPr>
                    <w:t>农村</w:t>
                  </w:r>
                </w:p>
              </w:tc>
              <w:tc>
                <w:tcPr>
                  <w:tcW w:w="2345" w:type="dxa"/>
                  <w:tcBorders>
                    <w:top w:val="single" w:color="000000" w:sz="6" w:space="0"/>
                    <w:left w:val="single" w:color="000000" w:sz="6" w:space="0"/>
                    <w:bottom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城市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jc w:val="center"/>
              </w:trPr>
              <w:tc>
                <w:tcPr>
                  <w:tcW w:w="1597" w:type="dxa"/>
                  <w:vMerge w:val="continue"/>
                  <w:tcBorders>
                    <w:top w:val="nil"/>
                    <w:bottom w:val="single" w:color="000000" w:sz="6" w:space="0"/>
                    <w:right w:val="single" w:color="000000" w:sz="6" w:space="0"/>
                  </w:tcBorders>
                  <w:noWrap w:val="0"/>
                  <w:vAlign w:val="center"/>
                </w:tcPr>
                <w:p>
                  <w:pPr>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1"/>
                      <w:u w:val="none"/>
                    </w:rPr>
                  </w:pPr>
                </w:p>
              </w:tc>
              <w:tc>
                <w:tcPr>
                  <w:tcW w:w="3277" w:type="dxa"/>
                  <w:tcBorders>
                    <w:top w:val="single" w:color="000000" w:sz="6" w:space="0"/>
                    <w:left w:val="single" w:color="000000" w:sz="6" w:space="0"/>
                    <w:bottom w:val="single" w:color="000000" w:sz="6" w:space="0"/>
                    <w:right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人口数（城市选项时）</w:t>
                  </w:r>
                </w:p>
              </w:tc>
              <w:tc>
                <w:tcPr>
                  <w:tcW w:w="2345" w:type="dxa"/>
                  <w:tcBorders>
                    <w:top w:val="single" w:color="000000" w:sz="6" w:space="0"/>
                    <w:left w:val="single" w:color="000000" w:sz="6" w:space="0"/>
                    <w:bottom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10万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6" w:hRule="atLeast"/>
                <w:jc w:val="center"/>
              </w:trPr>
              <w:tc>
                <w:tcPr>
                  <w:tcW w:w="4874" w:type="dxa"/>
                  <w:gridSpan w:val="2"/>
                  <w:tcBorders>
                    <w:top w:val="single" w:color="000000" w:sz="6" w:space="0"/>
                    <w:bottom w:val="single" w:color="000000" w:sz="6" w:space="0"/>
                    <w:right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最高环境温度</w:t>
                  </w:r>
                  <w:r>
                    <w:rPr>
                      <w:rFonts w:hint="default" w:ascii="Times New Roman" w:hAnsi="Times New Roman" w:eastAsia="Times New Roman" w:cs="Times New Roman"/>
                      <w:color w:val="auto"/>
                      <w:sz w:val="21"/>
                      <w:szCs w:val="21"/>
                      <w:u w:val="none"/>
                    </w:rPr>
                    <w:t xml:space="preserve">/ </w:t>
                  </w:r>
                  <w:r>
                    <w:rPr>
                      <w:rFonts w:hint="default" w:ascii="Times New Roman" w:hAnsi="Times New Roman" w:cs="Times New Roman"/>
                      <w:color w:val="auto"/>
                      <w:sz w:val="21"/>
                      <w:szCs w:val="21"/>
                      <w:u w:val="none"/>
                    </w:rPr>
                    <w:t>℃</w:t>
                  </w:r>
                </w:p>
              </w:tc>
              <w:tc>
                <w:tcPr>
                  <w:tcW w:w="2345" w:type="dxa"/>
                  <w:tcBorders>
                    <w:top w:val="single" w:color="000000" w:sz="6" w:space="0"/>
                    <w:left w:val="single" w:color="000000" w:sz="6" w:space="0"/>
                    <w:bottom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39.4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7" w:hRule="atLeast"/>
                <w:jc w:val="center"/>
              </w:trPr>
              <w:tc>
                <w:tcPr>
                  <w:tcW w:w="4874" w:type="dxa"/>
                  <w:gridSpan w:val="2"/>
                  <w:tcBorders>
                    <w:top w:val="single" w:color="000000" w:sz="6" w:space="0"/>
                    <w:bottom w:val="single" w:color="000000" w:sz="6" w:space="0"/>
                    <w:right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最低环境温度</w:t>
                  </w:r>
                  <w:r>
                    <w:rPr>
                      <w:rFonts w:hint="default" w:ascii="Times New Roman" w:hAnsi="Times New Roman" w:eastAsia="Times New Roman" w:cs="Times New Roman"/>
                      <w:color w:val="auto"/>
                      <w:sz w:val="21"/>
                      <w:szCs w:val="21"/>
                      <w:u w:val="none"/>
                    </w:rPr>
                    <w:t xml:space="preserve">/ </w:t>
                  </w:r>
                  <w:r>
                    <w:rPr>
                      <w:rFonts w:hint="default" w:ascii="Times New Roman" w:hAnsi="Times New Roman" w:cs="Times New Roman"/>
                      <w:color w:val="auto"/>
                      <w:sz w:val="21"/>
                      <w:szCs w:val="21"/>
                      <w:u w:val="none"/>
                    </w:rPr>
                    <w:t>℃</w:t>
                  </w:r>
                </w:p>
              </w:tc>
              <w:tc>
                <w:tcPr>
                  <w:tcW w:w="2345" w:type="dxa"/>
                  <w:tcBorders>
                    <w:top w:val="single" w:color="000000" w:sz="6" w:space="0"/>
                    <w:left w:val="single" w:color="000000" w:sz="6" w:space="0"/>
                    <w:bottom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w:t>
                  </w:r>
                  <w:r>
                    <w:rPr>
                      <w:rFonts w:hint="eastAsia" w:ascii="Times New Roman" w:hAnsi="Times New Roman" w:cs="Times New Roman"/>
                      <w:color w:val="auto"/>
                      <w:sz w:val="21"/>
                      <w:szCs w:val="21"/>
                      <w:u w:val="none"/>
                      <w:lang w:val="en-US" w:eastAsia="zh-CN"/>
                    </w:rPr>
                    <w:t>4.8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4" w:hRule="atLeast"/>
                <w:jc w:val="center"/>
              </w:trPr>
              <w:tc>
                <w:tcPr>
                  <w:tcW w:w="4874" w:type="dxa"/>
                  <w:gridSpan w:val="2"/>
                  <w:tcBorders>
                    <w:top w:val="single" w:color="000000" w:sz="6" w:space="0"/>
                    <w:bottom w:val="single" w:color="000000" w:sz="6" w:space="0"/>
                    <w:right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区域湿度条件</w:t>
                  </w:r>
                </w:p>
              </w:tc>
              <w:tc>
                <w:tcPr>
                  <w:tcW w:w="2345" w:type="dxa"/>
                  <w:tcBorders>
                    <w:top w:val="single" w:color="000000" w:sz="6" w:space="0"/>
                    <w:left w:val="single" w:color="000000" w:sz="6" w:space="0"/>
                    <w:bottom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6" w:hRule="atLeast"/>
                <w:jc w:val="center"/>
              </w:trPr>
              <w:tc>
                <w:tcPr>
                  <w:tcW w:w="1597" w:type="dxa"/>
                  <w:vMerge w:val="restart"/>
                  <w:tcBorders>
                    <w:top w:val="single" w:color="000000" w:sz="6" w:space="0"/>
                    <w:bottom w:val="single" w:color="000000" w:sz="6" w:space="0"/>
                    <w:right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1"/>
                      <w:u w:val="none"/>
                    </w:rPr>
                  </w:pPr>
                </w:p>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是否考虑地形</w:t>
                  </w:r>
                </w:p>
              </w:tc>
              <w:tc>
                <w:tcPr>
                  <w:tcW w:w="3277" w:type="dxa"/>
                  <w:tcBorders>
                    <w:top w:val="single" w:color="000000" w:sz="6" w:space="0"/>
                    <w:left w:val="single" w:color="000000" w:sz="6" w:space="0"/>
                    <w:bottom w:val="single" w:color="000000" w:sz="6" w:space="0"/>
                    <w:right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考虑地形</w:t>
                  </w:r>
                </w:p>
              </w:tc>
              <w:tc>
                <w:tcPr>
                  <w:tcW w:w="2345" w:type="dxa"/>
                  <w:tcBorders>
                    <w:top w:val="single" w:color="000000" w:sz="6" w:space="0"/>
                    <w:left w:val="single" w:color="000000" w:sz="6" w:space="0"/>
                    <w:bottom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1"/>
                      <w:u w:val="none"/>
                    </w:rPr>
                  </w:pPr>
                  <w:r>
                    <w:rPr>
                      <w:rFonts w:hint="default" w:ascii="Times New Roman" w:hAnsi="Times New Roman" w:eastAsia="仿宋" w:cs="Times New Roman"/>
                      <w:color w:val="auto"/>
                      <w:sz w:val="21"/>
                      <w:szCs w:val="21"/>
                      <w:u w:val="none"/>
                    </w:rPr>
                    <w:sym w:font="Wingdings 2" w:char="0052"/>
                  </w:r>
                  <w:r>
                    <w:rPr>
                      <w:rFonts w:hint="default" w:ascii="Times New Roman" w:hAnsi="Times New Roman" w:cs="Times New Roman"/>
                      <w:color w:val="auto"/>
                      <w:sz w:val="21"/>
                      <w:szCs w:val="21"/>
                      <w:u w:val="none"/>
                    </w:rPr>
                    <w:t xml:space="preserve">是 </w:t>
                  </w:r>
                  <w:r>
                    <w:rPr>
                      <w:rFonts w:hint="default" w:ascii="Times New Roman" w:hAnsi="Times New Roman" w:eastAsia="仿宋" w:cs="Times New Roman"/>
                      <w:color w:val="auto"/>
                      <w:sz w:val="21"/>
                      <w:szCs w:val="21"/>
                      <w:u w:val="none"/>
                    </w:rPr>
                    <w:sym w:font="Wingdings 2" w:char="00A3"/>
                  </w:r>
                  <w:r>
                    <w:rPr>
                      <w:rFonts w:hint="default" w:ascii="Times New Roman" w:hAnsi="Times New Roman" w:cs="Times New Roman"/>
                      <w:color w:val="auto"/>
                      <w:sz w:val="21"/>
                      <w:szCs w:val="21"/>
                      <w:u w:val="none"/>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4" w:hRule="atLeast"/>
                <w:jc w:val="center"/>
              </w:trPr>
              <w:tc>
                <w:tcPr>
                  <w:tcW w:w="1597" w:type="dxa"/>
                  <w:vMerge w:val="continue"/>
                  <w:tcBorders>
                    <w:top w:val="nil"/>
                    <w:bottom w:val="single" w:color="000000" w:sz="6" w:space="0"/>
                    <w:right w:val="single" w:color="000000" w:sz="6" w:space="0"/>
                  </w:tcBorders>
                  <w:noWrap w:val="0"/>
                  <w:vAlign w:val="center"/>
                </w:tcPr>
                <w:p>
                  <w:pPr>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1"/>
                      <w:u w:val="none"/>
                    </w:rPr>
                  </w:pPr>
                </w:p>
              </w:tc>
              <w:tc>
                <w:tcPr>
                  <w:tcW w:w="3277" w:type="dxa"/>
                  <w:tcBorders>
                    <w:top w:val="single" w:color="000000" w:sz="6" w:space="0"/>
                    <w:left w:val="single" w:color="000000" w:sz="6" w:space="0"/>
                    <w:bottom w:val="single" w:color="000000" w:sz="6" w:space="0"/>
                    <w:right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color w:val="auto"/>
                      <w:sz w:val="21"/>
                      <w:szCs w:val="21"/>
                      <w:u w:val="none"/>
                    </w:rPr>
                  </w:pPr>
                  <w:r>
                    <w:rPr>
                      <w:rFonts w:hint="default" w:ascii="Times New Roman" w:hAnsi="Times New Roman" w:cs="Times New Roman"/>
                      <w:color w:val="auto"/>
                      <w:sz w:val="21"/>
                      <w:szCs w:val="21"/>
                      <w:u w:val="none"/>
                    </w:rPr>
                    <w:t>地形数据分辨率</w:t>
                  </w:r>
                  <w:r>
                    <w:rPr>
                      <w:rFonts w:hint="default" w:ascii="Times New Roman" w:hAnsi="Times New Roman" w:eastAsia="Times New Roman" w:cs="Times New Roman"/>
                      <w:color w:val="auto"/>
                      <w:sz w:val="21"/>
                      <w:szCs w:val="21"/>
                      <w:u w:val="none"/>
                    </w:rPr>
                    <w:t>/ m</w:t>
                  </w:r>
                </w:p>
              </w:tc>
              <w:tc>
                <w:tcPr>
                  <w:tcW w:w="2345" w:type="dxa"/>
                  <w:tcBorders>
                    <w:top w:val="single" w:color="000000" w:sz="6" w:space="0"/>
                    <w:left w:val="single" w:color="000000" w:sz="6" w:space="0"/>
                    <w:bottom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jc w:val="center"/>
              </w:trPr>
              <w:tc>
                <w:tcPr>
                  <w:tcW w:w="1597" w:type="dxa"/>
                  <w:vMerge w:val="restart"/>
                  <w:tcBorders>
                    <w:top w:val="single" w:color="000000" w:sz="6" w:space="0"/>
                    <w:right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1"/>
                      <w:u w:val="none"/>
                    </w:rPr>
                  </w:pPr>
                </w:p>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是否考虑岸线熏烟</w:t>
                  </w:r>
                </w:p>
              </w:tc>
              <w:tc>
                <w:tcPr>
                  <w:tcW w:w="3277" w:type="dxa"/>
                  <w:tcBorders>
                    <w:top w:val="single" w:color="000000" w:sz="6" w:space="0"/>
                    <w:left w:val="single" w:color="000000" w:sz="6" w:space="0"/>
                    <w:bottom w:val="single" w:color="000000" w:sz="6" w:space="0"/>
                    <w:right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考虑岸线熏烟</w:t>
                  </w:r>
                </w:p>
              </w:tc>
              <w:tc>
                <w:tcPr>
                  <w:tcW w:w="2345" w:type="dxa"/>
                  <w:tcBorders>
                    <w:top w:val="single" w:color="000000" w:sz="6" w:space="0"/>
                    <w:left w:val="single" w:color="000000" w:sz="6" w:space="0"/>
                    <w:bottom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1"/>
                      <w:u w:val="none"/>
                    </w:rPr>
                  </w:pPr>
                  <w:r>
                    <w:rPr>
                      <w:rFonts w:hint="default" w:ascii="Times New Roman" w:hAnsi="Times New Roman" w:eastAsia="仿宋" w:cs="Times New Roman"/>
                      <w:color w:val="auto"/>
                      <w:sz w:val="21"/>
                      <w:szCs w:val="21"/>
                      <w:u w:val="none"/>
                    </w:rPr>
                    <w:t>□</w:t>
                  </w:r>
                  <w:r>
                    <w:rPr>
                      <w:rFonts w:hint="default" w:ascii="Times New Roman" w:hAnsi="Times New Roman" w:cs="Times New Roman"/>
                      <w:color w:val="auto"/>
                      <w:sz w:val="21"/>
                      <w:szCs w:val="21"/>
                      <w:u w:val="none"/>
                    </w:rPr>
                    <w:t xml:space="preserve">是 </w:t>
                  </w:r>
                  <w:r>
                    <w:rPr>
                      <w:rFonts w:hint="default" w:ascii="Times New Roman" w:hAnsi="Times New Roman" w:eastAsia="仿宋" w:cs="Times New Roman"/>
                      <w:color w:val="auto"/>
                      <w:sz w:val="21"/>
                      <w:szCs w:val="21"/>
                      <w:u w:val="none"/>
                    </w:rPr>
                    <w:sym w:font="Wingdings 2" w:char="0052"/>
                  </w:r>
                  <w:r>
                    <w:rPr>
                      <w:rFonts w:hint="default" w:ascii="Times New Roman" w:hAnsi="Times New Roman" w:cs="Times New Roman"/>
                      <w:color w:val="auto"/>
                      <w:sz w:val="21"/>
                      <w:szCs w:val="21"/>
                      <w:u w:val="none"/>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1597" w:type="dxa"/>
                  <w:vMerge w:val="continue"/>
                  <w:tcBorders>
                    <w:top w:val="nil"/>
                    <w:right w:val="single" w:color="000000" w:sz="6" w:space="0"/>
                  </w:tcBorders>
                  <w:noWrap w:val="0"/>
                  <w:vAlign w:val="center"/>
                </w:tcPr>
                <w:p>
                  <w:pPr>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1"/>
                      <w:u w:val="none"/>
                    </w:rPr>
                  </w:pPr>
                </w:p>
              </w:tc>
              <w:tc>
                <w:tcPr>
                  <w:tcW w:w="3277" w:type="dxa"/>
                  <w:tcBorders>
                    <w:top w:val="single" w:color="000000" w:sz="6" w:space="0"/>
                    <w:left w:val="single" w:color="000000" w:sz="6" w:space="0"/>
                    <w:bottom w:val="single" w:color="000000" w:sz="6" w:space="0"/>
                    <w:right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color w:val="auto"/>
                      <w:sz w:val="21"/>
                      <w:szCs w:val="21"/>
                      <w:u w:val="none"/>
                    </w:rPr>
                  </w:pPr>
                  <w:r>
                    <w:rPr>
                      <w:rFonts w:hint="default" w:ascii="Times New Roman" w:hAnsi="Times New Roman" w:cs="Times New Roman"/>
                      <w:color w:val="auto"/>
                      <w:sz w:val="21"/>
                      <w:szCs w:val="21"/>
                      <w:u w:val="none"/>
                    </w:rPr>
                    <w:t>岸线距离</w:t>
                  </w:r>
                  <w:r>
                    <w:rPr>
                      <w:rFonts w:hint="default" w:ascii="Times New Roman" w:hAnsi="Times New Roman" w:eastAsia="Times New Roman" w:cs="Times New Roman"/>
                      <w:color w:val="auto"/>
                      <w:sz w:val="21"/>
                      <w:szCs w:val="21"/>
                      <w:u w:val="none"/>
                    </w:rPr>
                    <w:t>/ km</w:t>
                  </w:r>
                </w:p>
              </w:tc>
              <w:tc>
                <w:tcPr>
                  <w:tcW w:w="2345" w:type="dxa"/>
                  <w:tcBorders>
                    <w:top w:val="single" w:color="000000" w:sz="6" w:space="0"/>
                    <w:left w:val="single" w:color="000000" w:sz="6" w:space="0"/>
                    <w:bottom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jc w:val="center"/>
              </w:trPr>
              <w:tc>
                <w:tcPr>
                  <w:tcW w:w="1597" w:type="dxa"/>
                  <w:vMerge w:val="continue"/>
                  <w:tcBorders>
                    <w:top w:val="nil"/>
                    <w:right w:val="single" w:color="000000" w:sz="6" w:space="0"/>
                  </w:tcBorders>
                  <w:noWrap w:val="0"/>
                  <w:vAlign w:val="center"/>
                </w:tcPr>
                <w:p>
                  <w:pPr>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21"/>
                      <w:szCs w:val="21"/>
                      <w:u w:val="none"/>
                    </w:rPr>
                  </w:pPr>
                </w:p>
              </w:tc>
              <w:tc>
                <w:tcPr>
                  <w:tcW w:w="3277" w:type="dxa"/>
                  <w:tcBorders>
                    <w:top w:val="single" w:color="000000" w:sz="6" w:space="0"/>
                    <w:left w:val="single" w:color="000000" w:sz="6" w:space="0"/>
                    <w:right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color w:val="auto"/>
                      <w:sz w:val="21"/>
                      <w:szCs w:val="21"/>
                      <w:u w:val="none"/>
                    </w:rPr>
                  </w:pPr>
                  <w:r>
                    <w:rPr>
                      <w:rFonts w:hint="default" w:ascii="Times New Roman" w:hAnsi="Times New Roman" w:cs="Times New Roman"/>
                      <w:color w:val="auto"/>
                      <w:sz w:val="21"/>
                      <w:szCs w:val="21"/>
                      <w:u w:val="none"/>
                    </w:rPr>
                    <w:t>岸线方向</w:t>
                  </w:r>
                  <w:r>
                    <w:rPr>
                      <w:rFonts w:hint="default" w:ascii="Times New Roman" w:hAnsi="Times New Roman" w:eastAsia="Times New Roman" w:cs="Times New Roman"/>
                      <w:color w:val="auto"/>
                      <w:sz w:val="21"/>
                      <w:szCs w:val="21"/>
                      <w:u w:val="none"/>
                    </w:rPr>
                    <w:t>/ °</w:t>
                  </w:r>
                </w:p>
              </w:tc>
              <w:tc>
                <w:tcPr>
                  <w:tcW w:w="2345" w:type="dxa"/>
                  <w:tcBorders>
                    <w:top w:val="single" w:color="000000" w:sz="6" w:space="0"/>
                    <w:left w:val="single" w:color="000000" w:sz="6" w:space="0"/>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w:t>
                  </w:r>
                </w:p>
              </w:tc>
            </w:tr>
          </w:tbl>
          <w:p>
            <w:pPr>
              <w:pStyle w:val="25"/>
              <w:keepNext/>
              <w:keepLines/>
              <w:pageBreakBefore w:val="0"/>
              <w:widowControl w:val="0"/>
              <w:kinsoku/>
              <w:wordWrap/>
              <w:overflowPunct/>
              <w:topLinePunct w:val="0"/>
              <w:autoSpaceDE/>
              <w:autoSpaceDN/>
              <w:bidi w:val="0"/>
              <w:adjustRightInd w:val="0"/>
              <w:snapToGrid w:val="0"/>
              <w:spacing w:beforeLines="0" w:after="0" w:line="360" w:lineRule="auto"/>
              <w:ind w:left="0" w:right="0" w:firstLine="462" w:firstLineChars="200"/>
              <w:textAlignment w:val="auto"/>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lang w:eastAsia="zh-CN"/>
              </w:rPr>
              <w:t>本项</w:t>
            </w:r>
            <w:r>
              <w:rPr>
                <w:rFonts w:hint="eastAsia" w:cs="Times New Roman"/>
                <w:color w:val="auto"/>
                <w:sz w:val="24"/>
                <w:szCs w:val="24"/>
                <w:highlight w:val="none"/>
                <w:u w:val="none"/>
                <w:lang w:eastAsia="zh-CN"/>
              </w:rPr>
              <w:t>目污染源面源</w:t>
            </w:r>
            <w:r>
              <w:rPr>
                <w:rFonts w:hint="default" w:ascii="Times New Roman" w:hAnsi="Times New Roman" w:cs="Times New Roman"/>
                <w:color w:val="auto"/>
                <w:sz w:val="24"/>
                <w:szCs w:val="24"/>
                <w:highlight w:val="none"/>
                <w:u w:val="none"/>
              </w:rPr>
              <w:t>参数表见</w:t>
            </w:r>
            <w:r>
              <w:rPr>
                <w:rFonts w:hint="default" w:ascii="Times New Roman" w:hAnsi="Times New Roman" w:cs="Times New Roman"/>
                <w:color w:val="auto"/>
                <w:sz w:val="24"/>
                <w:szCs w:val="24"/>
                <w:highlight w:val="none"/>
                <w:u w:val="none"/>
              </w:rPr>
              <w:fldChar w:fldCharType="begin"/>
            </w:r>
            <w:r>
              <w:rPr>
                <w:rFonts w:hint="default" w:ascii="Times New Roman" w:hAnsi="Times New Roman" w:cs="Times New Roman"/>
                <w:color w:val="auto"/>
                <w:sz w:val="24"/>
                <w:szCs w:val="24"/>
                <w:highlight w:val="none"/>
                <w:u w:val="none"/>
              </w:rPr>
              <w:instrText xml:space="preserve"> HYPERLINK \l "_bookmark50" </w:instrText>
            </w:r>
            <w:r>
              <w:rPr>
                <w:rFonts w:hint="default" w:ascii="Times New Roman" w:hAnsi="Times New Roman" w:cs="Times New Roman"/>
                <w:color w:val="auto"/>
                <w:sz w:val="24"/>
                <w:szCs w:val="24"/>
                <w:highlight w:val="none"/>
                <w:u w:val="none"/>
              </w:rPr>
              <w:fldChar w:fldCharType="separate"/>
            </w:r>
            <w:r>
              <w:rPr>
                <w:rFonts w:hint="default" w:ascii="Times New Roman" w:hAnsi="Times New Roman" w:cs="Times New Roman"/>
                <w:color w:val="auto"/>
                <w:sz w:val="24"/>
                <w:szCs w:val="24"/>
                <w:highlight w:val="none"/>
                <w:u w:val="none"/>
              </w:rPr>
              <w:t>表</w:t>
            </w:r>
            <w:r>
              <w:rPr>
                <w:rFonts w:hint="default" w:ascii="Times New Roman" w:hAnsi="Times New Roman" w:cs="Times New Roman"/>
                <w:color w:val="auto"/>
                <w:sz w:val="24"/>
                <w:szCs w:val="24"/>
                <w:highlight w:val="none"/>
                <w:u w:val="none"/>
                <w:lang w:val="en-US" w:eastAsia="zh-CN"/>
              </w:rPr>
              <w:t>7</w:t>
            </w:r>
            <w:r>
              <w:rPr>
                <w:rFonts w:hint="default" w:ascii="Times New Roman" w:hAnsi="Times New Roman" w:cs="Times New Roman"/>
                <w:color w:val="auto"/>
                <w:sz w:val="24"/>
                <w:szCs w:val="24"/>
                <w:highlight w:val="none"/>
                <w:u w:val="none"/>
              </w:rPr>
              <w:fldChar w:fldCharType="end"/>
            </w:r>
            <w:r>
              <w:rPr>
                <w:rFonts w:hint="default" w:ascii="Times New Roman" w:hAnsi="Times New Roman" w:cs="Times New Roman"/>
                <w:color w:val="auto"/>
                <w:sz w:val="24"/>
                <w:szCs w:val="24"/>
                <w:highlight w:val="none"/>
                <w:u w:val="none"/>
                <w:lang w:val="en-US" w:eastAsia="zh-CN"/>
              </w:rPr>
              <w:t>-</w:t>
            </w:r>
            <w:r>
              <w:rPr>
                <w:rFonts w:hint="eastAsia" w:cs="Times New Roman"/>
                <w:color w:val="auto"/>
                <w:sz w:val="24"/>
                <w:szCs w:val="24"/>
                <w:highlight w:val="none"/>
                <w:u w:val="none"/>
                <w:lang w:val="en-US" w:eastAsia="zh-CN"/>
              </w:rPr>
              <w:t>6</w:t>
            </w:r>
            <w:r>
              <w:rPr>
                <w:rFonts w:hint="default" w:ascii="Times New Roman" w:hAnsi="Times New Roman" w:cs="Times New Roman"/>
                <w:color w:val="auto"/>
                <w:sz w:val="24"/>
                <w:szCs w:val="24"/>
                <w:highlight w:val="none"/>
                <w:u w:val="none"/>
              </w:rPr>
              <w:t>。</w:t>
            </w:r>
          </w:p>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Cs w:val="21"/>
                <w:u w:val="none"/>
                <w:lang w:eastAsia="zh-CN"/>
              </w:rPr>
            </w:pPr>
            <w:r>
              <w:rPr>
                <w:b/>
                <w:bCs/>
                <w:color w:val="auto"/>
                <w:szCs w:val="21"/>
                <w:u w:val="none"/>
              </w:rPr>
              <w:t>表</w:t>
            </w:r>
            <w:r>
              <w:rPr>
                <w:rFonts w:hint="eastAsia"/>
                <w:b/>
                <w:bCs/>
                <w:color w:val="auto"/>
                <w:szCs w:val="21"/>
                <w:u w:val="none"/>
              </w:rPr>
              <w:t>7-</w:t>
            </w:r>
            <w:r>
              <w:rPr>
                <w:rFonts w:hint="eastAsia"/>
                <w:b/>
                <w:bCs/>
                <w:color w:val="auto"/>
                <w:szCs w:val="21"/>
                <w:u w:val="none"/>
                <w:lang w:val="en-US" w:eastAsia="zh-CN"/>
              </w:rPr>
              <w:t>6</w:t>
            </w:r>
            <w:r>
              <w:rPr>
                <w:b/>
                <w:bCs/>
                <w:color w:val="auto"/>
                <w:szCs w:val="21"/>
                <w:u w:val="none"/>
              </w:rPr>
              <w:t xml:space="preserve">  </w:t>
            </w:r>
            <w:r>
              <w:rPr>
                <w:rFonts w:hint="eastAsia"/>
                <w:b/>
                <w:bCs/>
                <w:color w:val="auto"/>
                <w:szCs w:val="21"/>
                <w:u w:val="none"/>
              </w:rPr>
              <w:t>污染源</w:t>
            </w:r>
            <w:r>
              <w:rPr>
                <w:rFonts w:hint="eastAsia"/>
                <w:b/>
                <w:bCs/>
                <w:color w:val="auto"/>
                <w:szCs w:val="21"/>
                <w:u w:val="none"/>
                <w:lang w:eastAsia="zh-CN"/>
              </w:rPr>
              <w:t>面源参数</w:t>
            </w:r>
          </w:p>
          <w:tbl>
            <w:tblPr>
              <w:tblStyle w:val="27"/>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19"/>
              <w:gridCol w:w="678"/>
              <w:gridCol w:w="865"/>
              <w:gridCol w:w="955"/>
              <w:gridCol w:w="709"/>
              <w:gridCol w:w="592"/>
              <w:gridCol w:w="625"/>
              <w:gridCol w:w="794"/>
              <w:gridCol w:w="718"/>
              <w:gridCol w:w="566"/>
              <w:gridCol w:w="755"/>
              <w:gridCol w:w="7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419" w:type="dxa"/>
                  <w:vMerge w:val="restart"/>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编号</w:t>
                  </w:r>
                </w:p>
              </w:tc>
              <w:tc>
                <w:tcPr>
                  <w:tcW w:w="678" w:type="dxa"/>
                  <w:vMerge w:val="restart"/>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名称</w:t>
                  </w:r>
                </w:p>
              </w:tc>
              <w:tc>
                <w:tcPr>
                  <w:tcW w:w="1820" w:type="dxa"/>
                  <w:gridSpan w:val="2"/>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面源起点坐标/m</w:t>
                  </w:r>
                </w:p>
              </w:tc>
              <w:tc>
                <w:tcPr>
                  <w:tcW w:w="709" w:type="dxa"/>
                  <w:vMerge w:val="restart"/>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面源海拔高度/m</w:t>
                  </w:r>
                </w:p>
              </w:tc>
              <w:tc>
                <w:tcPr>
                  <w:tcW w:w="592" w:type="dxa"/>
                  <w:vMerge w:val="restart"/>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面源长度/m</w:t>
                  </w:r>
                </w:p>
              </w:tc>
              <w:tc>
                <w:tcPr>
                  <w:tcW w:w="625" w:type="dxa"/>
                  <w:vMerge w:val="restart"/>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面源宽度/m</w:t>
                  </w:r>
                </w:p>
              </w:tc>
              <w:tc>
                <w:tcPr>
                  <w:tcW w:w="794" w:type="dxa"/>
                  <w:vMerge w:val="restart"/>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面源有效排放高度/m</w:t>
                  </w:r>
                </w:p>
              </w:tc>
              <w:tc>
                <w:tcPr>
                  <w:tcW w:w="718" w:type="dxa"/>
                  <w:vMerge w:val="restart"/>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年排放小时数/h</w:t>
                  </w:r>
                </w:p>
              </w:tc>
              <w:tc>
                <w:tcPr>
                  <w:tcW w:w="566" w:type="dxa"/>
                  <w:vMerge w:val="restart"/>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排放工况</w:t>
                  </w:r>
                </w:p>
              </w:tc>
              <w:tc>
                <w:tcPr>
                  <w:tcW w:w="1513" w:type="dxa"/>
                  <w:gridSpan w:val="2"/>
                  <w:vMerge w:val="restart"/>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污染物排放速率/（kg/h）</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19" w:type="dxa"/>
                  <w:vMerge w:val="continue"/>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p>
              </w:tc>
              <w:tc>
                <w:tcPr>
                  <w:tcW w:w="678" w:type="dxa"/>
                  <w:vMerge w:val="continue"/>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p>
              </w:tc>
              <w:tc>
                <w:tcPr>
                  <w:tcW w:w="865" w:type="dxa"/>
                  <w:vMerge w:val="restart"/>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X</w:t>
                  </w:r>
                </w:p>
              </w:tc>
              <w:tc>
                <w:tcPr>
                  <w:tcW w:w="955" w:type="dxa"/>
                  <w:vMerge w:val="restart"/>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Y</w:t>
                  </w:r>
                </w:p>
              </w:tc>
              <w:tc>
                <w:tcPr>
                  <w:tcW w:w="709" w:type="dxa"/>
                  <w:vMerge w:val="continue"/>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p>
              </w:tc>
              <w:tc>
                <w:tcPr>
                  <w:tcW w:w="592" w:type="dxa"/>
                  <w:vMerge w:val="continue"/>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p>
              </w:tc>
              <w:tc>
                <w:tcPr>
                  <w:tcW w:w="625" w:type="dxa"/>
                  <w:vMerge w:val="continue"/>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p>
              </w:tc>
              <w:tc>
                <w:tcPr>
                  <w:tcW w:w="794" w:type="dxa"/>
                  <w:vMerge w:val="continue"/>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p>
              </w:tc>
              <w:tc>
                <w:tcPr>
                  <w:tcW w:w="718" w:type="dxa"/>
                  <w:vMerge w:val="continue"/>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p>
              </w:tc>
              <w:tc>
                <w:tcPr>
                  <w:tcW w:w="566" w:type="dxa"/>
                  <w:vMerge w:val="continue"/>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p>
              </w:tc>
              <w:tc>
                <w:tcPr>
                  <w:tcW w:w="1513" w:type="dxa"/>
                  <w:gridSpan w:val="2"/>
                  <w:vMerge w:val="continue"/>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19" w:type="dxa"/>
                  <w:vMerge w:val="continue"/>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p>
              </w:tc>
              <w:tc>
                <w:tcPr>
                  <w:tcW w:w="678" w:type="dxa"/>
                  <w:vMerge w:val="continue"/>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p>
              </w:tc>
              <w:tc>
                <w:tcPr>
                  <w:tcW w:w="865" w:type="dxa"/>
                  <w:vMerge w:val="continue"/>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p>
              </w:tc>
              <w:tc>
                <w:tcPr>
                  <w:tcW w:w="955" w:type="dxa"/>
                  <w:vMerge w:val="continue"/>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p>
              </w:tc>
              <w:tc>
                <w:tcPr>
                  <w:tcW w:w="709" w:type="dxa"/>
                  <w:vMerge w:val="continue"/>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p>
              </w:tc>
              <w:tc>
                <w:tcPr>
                  <w:tcW w:w="592" w:type="dxa"/>
                  <w:vMerge w:val="continue"/>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p>
              </w:tc>
              <w:tc>
                <w:tcPr>
                  <w:tcW w:w="625" w:type="dxa"/>
                  <w:vMerge w:val="continue"/>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p>
              </w:tc>
              <w:tc>
                <w:tcPr>
                  <w:tcW w:w="794" w:type="dxa"/>
                  <w:vMerge w:val="continue"/>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p>
              </w:tc>
              <w:tc>
                <w:tcPr>
                  <w:tcW w:w="718" w:type="dxa"/>
                  <w:vMerge w:val="continue"/>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p>
              </w:tc>
              <w:tc>
                <w:tcPr>
                  <w:tcW w:w="566" w:type="dxa"/>
                  <w:vMerge w:val="continue"/>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p>
              </w:tc>
              <w:tc>
                <w:tcPr>
                  <w:tcW w:w="755" w:type="dxa"/>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vertAlign w:val="baseline"/>
                      <w:lang w:val="en-US" w:eastAsia="zh-CN"/>
                    </w:rPr>
                  </w:pPr>
                  <w:r>
                    <w:rPr>
                      <w:rFonts w:hint="eastAsia" w:ascii="Times New Roman" w:hAnsi="Times New Roman" w:cs="Times New Roman"/>
                      <w:color w:val="auto"/>
                      <w:sz w:val="18"/>
                      <w:szCs w:val="18"/>
                      <w:highlight w:val="none"/>
                      <w:u w:val="none"/>
                      <w:lang w:val="en-US" w:eastAsia="zh-CN"/>
                    </w:rPr>
                    <w:t>NH</w:t>
                  </w:r>
                  <w:r>
                    <w:rPr>
                      <w:rFonts w:hint="eastAsia" w:ascii="Times New Roman" w:hAnsi="Times New Roman" w:cs="Times New Roman"/>
                      <w:color w:val="auto"/>
                      <w:sz w:val="18"/>
                      <w:szCs w:val="18"/>
                      <w:highlight w:val="none"/>
                      <w:u w:val="none"/>
                      <w:vertAlign w:val="subscript"/>
                      <w:lang w:val="en-US" w:eastAsia="zh-CN"/>
                    </w:rPr>
                    <w:t>3</w:t>
                  </w:r>
                </w:p>
              </w:tc>
              <w:tc>
                <w:tcPr>
                  <w:tcW w:w="758" w:type="dxa"/>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vertAlign w:val="baseline"/>
                      <w:lang w:val="en-US" w:eastAsia="zh-CN"/>
                    </w:rPr>
                  </w:pPr>
                  <w:r>
                    <w:rPr>
                      <w:rFonts w:hint="eastAsia" w:ascii="Times New Roman" w:hAnsi="Times New Roman" w:cs="Times New Roman"/>
                      <w:color w:val="auto"/>
                      <w:sz w:val="18"/>
                      <w:szCs w:val="18"/>
                      <w:highlight w:val="none"/>
                      <w:u w:val="none"/>
                      <w:lang w:val="en-US" w:eastAsia="zh-CN"/>
                    </w:rPr>
                    <w:t>H</w:t>
                  </w:r>
                  <w:r>
                    <w:rPr>
                      <w:rFonts w:hint="eastAsia" w:ascii="Times New Roman" w:hAnsi="Times New Roman" w:cs="Times New Roman"/>
                      <w:color w:val="auto"/>
                      <w:sz w:val="18"/>
                      <w:szCs w:val="18"/>
                      <w:highlight w:val="none"/>
                      <w:u w:val="none"/>
                      <w:vertAlign w:val="subscript"/>
                      <w:lang w:val="en-US" w:eastAsia="zh-CN"/>
                    </w:rPr>
                    <w:t>2</w:t>
                  </w:r>
                  <w:r>
                    <w:rPr>
                      <w:rFonts w:hint="eastAsia" w:ascii="Times New Roman" w:hAnsi="Times New Roman" w:cs="Times New Roman"/>
                      <w:color w:val="auto"/>
                      <w:sz w:val="18"/>
                      <w:szCs w:val="18"/>
                      <w:highlight w:val="none"/>
                      <w:u w:val="none"/>
                      <w:vertAlign w:val="baseline"/>
                      <w:lang w:val="en-US" w:eastAsia="zh-CN"/>
                    </w:rPr>
                    <w:t>S</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419" w:type="dxa"/>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1</w:t>
                  </w:r>
                </w:p>
              </w:tc>
              <w:tc>
                <w:tcPr>
                  <w:tcW w:w="678" w:type="dxa"/>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eastAsia" w:ascii="Times New Roman" w:hAnsi="Times New Roman" w:cs="Times New Roman"/>
                      <w:color w:val="auto"/>
                      <w:sz w:val="18"/>
                      <w:szCs w:val="18"/>
                      <w:highlight w:val="none"/>
                      <w:u w:val="none"/>
                      <w:lang w:val="en-US" w:eastAsia="zh-CN"/>
                    </w:rPr>
                    <w:t>污水处理区</w:t>
                  </w:r>
                </w:p>
              </w:tc>
              <w:tc>
                <w:tcPr>
                  <w:tcW w:w="865" w:type="dxa"/>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eastAsia" w:ascii="Times New Roman" w:hAnsi="Times New Roman" w:cs="Times New Roman"/>
                      <w:color w:val="auto"/>
                      <w:sz w:val="18"/>
                      <w:szCs w:val="18"/>
                      <w:highlight w:val="none"/>
                      <w:u w:val="none"/>
                      <w:lang w:val="en-US" w:eastAsia="zh-CN"/>
                    </w:rPr>
                    <w:t>554395.462</w:t>
                  </w:r>
                </w:p>
              </w:tc>
              <w:tc>
                <w:tcPr>
                  <w:tcW w:w="955" w:type="dxa"/>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eastAsia" w:ascii="Times New Roman" w:hAnsi="Times New Roman" w:cs="Times New Roman"/>
                      <w:color w:val="auto"/>
                      <w:sz w:val="18"/>
                      <w:szCs w:val="18"/>
                      <w:highlight w:val="none"/>
                      <w:u w:val="none"/>
                      <w:lang w:val="en-US" w:eastAsia="zh-CN"/>
                    </w:rPr>
                    <w:t>3008129.177</w:t>
                  </w:r>
                </w:p>
              </w:tc>
              <w:tc>
                <w:tcPr>
                  <w:tcW w:w="709" w:type="dxa"/>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eastAsia" w:ascii="Times New Roman" w:hAnsi="Times New Roman" w:cs="Times New Roman"/>
                      <w:color w:val="auto"/>
                      <w:sz w:val="18"/>
                      <w:szCs w:val="18"/>
                      <w:highlight w:val="none"/>
                      <w:u w:val="none"/>
                      <w:lang w:val="en-US" w:eastAsia="zh-CN"/>
                    </w:rPr>
                    <w:t>223.639</w:t>
                  </w:r>
                </w:p>
              </w:tc>
              <w:tc>
                <w:tcPr>
                  <w:tcW w:w="592" w:type="dxa"/>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20</w:t>
                  </w:r>
                </w:p>
              </w:tc>
              <w:tc>
                <w:tcPr>
                  <w:tcW w:w="625" w:type="dxa"/>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100</w:t>
                  </w:r>
                </w:p>
              </w:tc>
              <w:tc>
                <w:tcPr>
                  <w:tcW w:w="794" w:type="dxa"/>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eastAsia" w:ascii="Times New Roman" w:hAnsi="Times New Roman" w:cs="Times New Roman"/>
                      <w:color w:val="auto"/>
                      <w:sz w:val="18"/>
                      <w:szCs w:val="18"/>
                      <w:highlight w:val="none"/>
                      <w:u w:val="none"/>
                      <w:lang w:val="en-US" w:eastAsia="zh-CN"/>
                    </w:rPr>
                    <w:t>5</w:t>
                  </w:r>
                </w:p>
              </w:tc>
              <w:tc>
                <w:tcPr>
                  <w:tcW w:w="718" w:type="dxa"/>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eastAsia" w:ascii="Times New Roman" w:hAnsi="Times New Roman" w:cs="Times New Roman"/>
                      <w:color w:val="auto"/>
                      <w:sz w:val="18"/>
                      <w:szCs w:val="18"/>
                      <w:highlight w:val="none"/>
                      <w:u w:val="none"/>
                      <w:lang w:val="en-US" w:eastAsia="zh-CN"/>
                    </w:rPr>
                    <w:t>8760</w:t>
                  </w:r>
                </w:p>
              </w:tc>
              <w:tc>
                <w:tcPr>
                  <w:tcW w:w="566" w:type="dxa"/>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lang w:val="en-US" w:eastAsia="zh-CN"/>
                    </w:rPr>
                    <w:t>正常</w:t>
                  </w:r>
                </w:p>
              </w:tc>
              <w:tc>
                <w:tcPr>
                  <w:tcW w:w="755" w:type="dxa"/>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eastAsia" w:ascii="Times New Roman" w:hAnsi="Times New Roman" w:cs="Times New Roman"/>
                      <w:color w:val="auto"/>
                      <w:sz w:val="18"/>
                      <w:szCs w:val="18"/>
                      <w:highlight w:val="none"/>
                      <w:u w:val="none"/>
                      <w:lang w:val="en-US" w:eastAsia="zh-CN"/>
                    </w:rPr>
                    <w:t>0.0081</w:t>
                  </w:r>
                </w:p>
              </w:tc>
              <w:tc>
                <w:tcPr>
                  <w:tcW w:w="758" w:type="dxa"/>
                  <w:tcBorders>
                    <w:tl2br w:val="nil"/>
                    <w:tr2bl w:val="nil"/>
                  </w:tcBorders>
                  <w:noWrap w:val="0"/>
                  <w:vAlign w:val="center"/>
                </w:tcPr>
                <w:p>
                  <w:pPr>
                    <w:pStyle w:val="47"/>
                    <w:keepNext/>
                    <w:keepLines/>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 w:val="18"/>
                      <w:szCs w:val="18"/>
                      <w:highlight w:val="none"/>
                      <w:u w:val="none"/>
                      <w:lang w:val="en-US" w:eastAsia="zh-CN"/>
                    </w:rPr>
                  </w:pPr>
                  <w:r>
                    <w:rPr>
                      <w:rFonts w:hint="eastAsia" w:ascii="Times New Roman" w:hAnsi="Times New Roman" w:cs="Times New Roman"/>
                      <w:color w:val="auto"/>
                      <w:sz w:val="18"/>
                      <w:szCs w:val="18"/>
                      <w:highlight w:val="none"/>
                      <w:u w:val="none"/>
                      <w:lang w:val="en-US" w:eastAsia="zh-CN"/>
                    </w:rPr>
                    <w:t>0.0003</w:t>
                  </w:r>
                </w:p>
              </w:tc>
            </w:tr>
          </w:tbl>
          <w:p>
            <w:pPr>
              <w:pStyle w:val="48"/>
              <w:keepNext/>
              <w:keepLines/>
              <w:pageBreakBefore w:val="0"/>
              <w:widowControl w:val="0"/>
              <w:kinsoku/>
              <w:wordWrap/>
              <w:overflowPunct/>
              <w:topLinePunct w:val="0"/>
              <w:autoSpaceDE/>
              <w:autoSpaceDN/>
              <w:bidi w:val="0"/>
              <w:adjustRightInd w:val="0"/>
              <w:snapToGrid w:val="0"/>
              <w:spacing w:line="360" w:lineRule="auto"/>
              <w:ind w:left="0" w:right="0"/>
              <w:textAlignment w:val="auto"/>
              <w:rPr>
                <w:rFonts w:hint="default" w:ascii="Times New Roman" w:hAnsi="Times New Roman" w:cs="Times New Roman"/>
                <w:color w:val="auto"/>
                <w:highlight w:val="none"/>
                <w:u w:val="none"/>
                <w:lang w:eastAsia="zh-CN"/>
              </w:rPr>
            </w:pPr>
            <w:r>
              <w:rPr>
                <w:rFonts w:hint="default" w:ascii="Times New Roman" w:hAnsi="Times New Roman" w:cs="Times New Roman"/>
                <w:color w:val="auto"/>
                <w:highlight w:val="none"/>
                <w:u w:val="none"/>
                <w:lang w:eastAsia="zh-CN"/>
              </w:rPr>
              <w:t>⑤预测结果</w:t>
            </w:r>
          </w:p>
          <w:p>
            <w:pPr>
              <w:pStyle w:val="48"/>
              <w:keepNext/>
              <w:keepLines/>
              <w:pageBreakBefore w:val="0"/>
              <w:widowControl w:val="0"/>
              <w:kinsoku/>
              <w:wordWrap/>
              <w:overflowPunct/>
              <w:topLinePunct w:val="0"/>
              <w:autoSpaceDE/>
              <w:autoSpaceDN/>
              <w:bidi w:val="0"/>
              <w:adjustRightInd w:val="0"/>
              <w:snapToGrid w:val="0"/>
              <w:spacing w:line="360" w:lineRule="auto"/>
              <w:ind w:left="0" w:right="0"/>
              <w:textAlignment w:val="auto"/>
              <w:rPr>
                <w:rFonts w:hint="default" w:ascii="Times New Roman" w:hAnsi="Times New Roman" w:cs="Times New Roman"/>
                <w:color w:val="auto"/>
                <w:highlight w:val="none"/>
                <w:u w:val="none"/>
                <w:lang w:val="en-US" w:eastAsia="zh-CN"/>
              </w:rPr>
            </w:pPr>
            <w:r>
              <w:rPr>
                <w:rFonts w:hint="eastAsia" w:ascii="Times New Roman" w:hAnsi="Times New Roman" w:cs="Times New Roman"/>
                <w:color w:val="auto"/>
                <w:highlight w:val="none"/>
                <w:u w:val="none"/>
                <w:lang w:val="en-US" w:eastAsia="zh-CN"/>
              </w:rPr>
              <w:t>Pmax和D10%结果详见表7-</w:t>
            </w:r>
            <w:r>
              <w:rPr>
                <w:rFonts w:hint="eastAsia" w:cs="Times New Roman"/>
                <w:color w:val="auto"/>
                <w:highlight w:val="none"/>
                <w:u w:val="none"/>
                <w:lang w:val="en-US" w:eastAsia="zh-CN"/>
              </w:rPr>
              <w:t>7</w:t>
            </w:r>
            <w:r>
              <w:rPr>
                <w:rFonts w:hint="eastAsia" w:ascii="Times New Roman" w:hAnsi="Times New Roman" w:cs="Times New Roman"/>
                <w:color w:val="auto"/>
                <w:highlight w:val="none"/>
                <w:u w:val="none"/>
                <w:lang w:val="en-US" w:eastAsia="zh-CN"/>
              </w:rPr>
              <w:t>。</w:t>
            </w:r>
          </w:p>
          <w:p>
            <w:pPr>
              <w:pageBreakBefore w:val="0"/>
              <w:widowControl w:val="0"/>
              <w:kinsoku/>
              <w:wordWrap/>
              <w:overflowPunct/>
              <w:topLinePunct w:val="0"/>
              <w:autoSpaceDE/>
              <w:autoSpaceDN/>
              <w:bidi w:val="0"/>
              <w:adjustRightInd w:val="0"/>
              <w:snapToGrid w:val="0"/>
              <w:spacing w:line="240" w:lineRule="auto"/>
              <w:jc w:val="center"/>
              <w:textAlignment w:val="auto"/>
              <w:rPr>
                <w:b/>
                <w:bCs/>
                <w:color w:val="auto"/>
                <w:szCs w:val="21"/>
                <w:u w:val="none"/>
              </w:rPr>
            </w:pPr>
            <w:r>
              <w:rPr>
                <w:rFonts w:hint="eastAsia"/>
                <w:b/>
                <w:bCs/>
                <w:color w:val="auto"/>
                <w:szCs w:val="21"/>
                <w:u w:val="none"/>
              </w:rPr>
              <w:t>表7-</w:t>
            </w:r>
            <w:r>
              <w:rPr>
                <w:rFonts w:hint="eastAsia"/>
                <w:b/>
                <w:bCs/>
                <w:color w:val="auto"/>
                <w:szCs w:val="21"/>
                <w:u w:val="none"/>
                <w:lang w:val="en-US" w:eastAsia="zh-CN"/>
              </w:rPr>
              <w:t>7</w:t>
            </w:r>
            <w:r>
              <w:rPr>
                <w:rFonts w:hint="eastAsia"/>
                <w:b/>
                <w:bCs/>
                <w:color w:val="auto"/>
                <w:szCs w:val="21"/>
                <w:u w:val="none"/>
              </w:rPr>
              <w:t xml:space="preserve">  Pmax和D10%计算结果一览表</w:t>
            </w:r>
          </w:p>
          <w:tbl>
            <w:tblPr>
              <w:tblStyle w:val="27"/>
              <w:tblW w:w="80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384"/>
              <w:gridCol w:w="1363"/>
              <w:gridCol w:w="1573"/>
              <w:gridCol w:w="1397"/>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270" w:type="dxa"/>
                  <w:tcBorders>
                    <w:tl2br w:val="nil"/>
                    <w:tr2bl w:val="nil"/>
                  </w:tcBorders>
                  <w:vAlign w:val="center"/>
                </w:tcPr>
                <w:p>
                  <w:pPr>
                    <w:adjustRightInd w:val="0"/>
                    <w:snapToGrid w:val="0"/>
                    <w:jc w:val="center"/>
                    <w:rPr>
                      <w:bCs/>
                      <w:color w:val="auto"/>
                      <w:szCs w:val="21"/>
                      <w:u w:val="none"/>
                    </w:rPr>
                  </w:pPr>
                  <w:r>
                    <w:rPr>
                      <w:bCs/>
                      <w:color w:val="auto"/>
                      <w:szCs w:val="21"/>
                      <w:u w:val="none"/>
                    </w:rPr>
                    <w:t>排放源名称</w:t>
                  </w:r>
                </w:p>
              </w:tc>
              <w:tc>
                <w:tcPr>
                  <w:tcW w:w="1384" w:type="dxa"/>
                  <w:tcBorders>
                    <w:tl2br w:val="nil"/>
                    <w:tr2bl w:val="nil"/>
                  </w:tcBorders>
                  <w:vAlign w:val="center"/>
                </w:tcPr>
                <w:p>
                  <w:pPr>
                    <w:adjustRightInd w:val="0"/>
                    <w:snapToGrid w:val="0"/>
                    <w:jc w:val="center"/>
                    <w:rPr>
                      <w:bCs/>
                      <w:color w:val="auto"/>
                      <w:szCs w:val="21"/>
                      <w:u w:val="none"/>
                    </w:rPr>
                  </w:pPr>
                  <w:r>
                    <w:rPr>
                      <w:bCs/>
                      <w:color w:val="auto"/>
                      <w:szCs w:val="21"/>
                      <w:u w:val="none"/>
                    </w:rPr>
                    <w:t>污染物名称</w:t>
                  </w:r>
                </w:p>
              </w:tc>
              <w:tc>
                <w:tcPr>
                  <w:tcW w:w="1363" w:type="dxa"/>
                  <w:tcBorders>
                    <w:tl2br w:val="nil"/>
                    <w:tr2bl w:val="nil"/>
                  </w:tcBorders>
                  <w:vAlign w:val="center"/>
                </w:tcPr>
                <w:p>
                  <w:pPr>
                    <w:adjustRightInd w:val="0"/>
                    <w:snapToGrid w:val="0"/>
                    <w:jc w:val="center"/>
                    <w:rPr>
                      <w:bCs/>
                      <w:color w:val="auto"/>
                      <w:szCs w:val="21"/>
                      <w:u w:val="none"/>
                    </w:rPr>
                  </w:pPr>
                  <w:r>
                    <w:rPr>
                      <w:rFonts w:hint="default" w:ascii="Times New Roman" w:hAnsi="Times New Roman" w:cs="Times New Roman"/>
                      <w:b w:val="0"/>
                      <w:bCs/>
                      <w:color w:val="auto"/>
                      <w:sz w:val="21"/>
                      <w:szCs w:val="21"/>
                      <w:highlight w:val="none"/>
                      <w:u w:val="none"/>
                      <w:vertAlign w:val="baseline"/>
                      <w:lang w:val="en-US" w:eastAsia="zh-CN"/>
                    </w:rPr>
                    <w:t>评价标准（</w:t>
                  </w:r>
                  <w:r>
                    <w:rPr>
                      <w:rFonts w:hint="eastAsia" w:cs="Times New Roman"/>
                      <w:b w:val="0"/>
                      <w:bCs/>
                      <w:color w:val="auto"/>
                      <w:sz w:val="21"/>
                      <w:szCs w:val="21"/>
                      <w:highlight w:val="none"/>
                      <w:u w:val="none"/>
                      <w:vertAlign w:val="baseline"/>
                      <w:lang w:val="en-US" w:eastAsia="zh-CN"/>
                    </w:rPr>
                    <w:t>m</w:t>
                  </w:r>
                  <w:r>
                    <w:rPr>
                      <w:rFonts w:hint="default" w:ascii="Times New Roman" w:hAnsi="Times New Roman" w:eastAsia="黑体" w:cs="Times New Roman"/>
                      <w:color w:val="auto"/>
                      <w:sz w:val="21"/>
                      <w:szCs w:val="21"/>
                      <w:highlight w:val="none"/>
                      <w:u w:val="none"/>
                    </w:rPr>
                    <w:t>g/m</w:t>
                  </w:r>
                  <w:r>
                    <w:rPr>
                      <w:rFonts w:hint="default" w:ascii="Times New Roman" w:hAnsi="Times New Roman" w:eastAsia="黑体" w:cs="Times New Roman"/>
                      <w:color w:val="auto"/>
                      <w:sz w:val="21"/>
                      <w:szCs w:val="21"/>
                      <w:highlight w:val="none"/>
                      <w:u w:val="none"/>
                      <w:vertAlign w:val="superscript"/>
                    </w:rPr>
                    <w:t>3</w:t>
                  </w:r>
                  <w:r>
                    <w:rPr>
                      <w:rFonts w:hint="default" w:ascii="Times New Roman" w:hAnsi="Times New Roman" w:cs="Times New Roman"/>
                      <w:b w:val="0"/>
                      <w:bCs/>
                      <w:color w:val="auto"/>
                      <w:sz w:val="21"/>
                      <w:szCs w:val="21"/>
                      <w:highlight w:val="none"/>
                      <w:u w:val="none"/>
                      <w:vertAlign w:val="baseline"/>
                      <w:lang w:val="en-US" w:eastAsia="zh-CN"/>
                    </w:rPr>
                    <w:t>）</w:t>
                  </w:r>
                </w:p>
              </w:tc>
              <w:tc>
                <w:tcPr>
                  <w:tcW w:w="1573" w:type="dxa"/>
                  <w:tcBorders>
                    <w:tl2br w:val="nil"/>
                    <w:tr2bl w:val="nil"/>
                  </w:tcBorders>
                  <w:vAlign w:val="center"/>
                </w:tcPr>
                <w:p>
                  <w:pPr>
                    <w:pStyle w:val="80"/>
                    <w:keepNext/>
                    <w:keepLines/>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bCs/>
                      <w:color w:val="auto"/>
                      <w:szCs w:val="21"/>
                      <w:u w:val="none"/>
                    </w:rPr>
                  </w:pPr>
                  <w:r>
                    <w:rPr>
                      <w:rFonts w:hint="default" w:ascii="Times New Roman" w:hAnsi="Times New Roman" w:cs="Times New Roman"/>
                      <w:b w:val="0"/>
                      <w:bCs/>
                      <w:color w:val="auto"/>
                      <w:sz w:val="21"/>
                      <w:szCs w:val="21"/>
                      <w:highlight w:val="none"/>
                      <w:u w:val="none"/>
                      <w:vertAlign w:val="baseline"/>
                      <w:lang w:val="en-US" w:eastAsia="zh-CN"/>
                    </w:rPr>
                    <w:t>Cmax（</w:t>
                  </w:r>
                  <w:r>
                    <w:rPr>
                      <w:rFonts w:hint="eastAsia" w:ascii="Times New Roman" w:hAnsi="Times New Roman" w:cs="Times New Roman"/>
                      <w:b w:val="0"/>
                      <w:bCs/>
                      <w:color w:val="auto"/>
                      <w:sz w:val="21"/>
                      <w:szCs w:val="21"/>
                      <w:highlight w:val="none"/>
                      <w:u w:val="none"/>
                      <w:vertAlign w:val="baseline"/>
                      <w:lang w:val="en-US" w:eastAsia="zh-CN"/>
                    </w:rPr>
                    <w:t>m</w:t>
                  </w:r>
                  <w:r>
                    <w:rPr>
                      <w:rFonts w:hint="default" w:ascii="Times New Roman" w:hAnsi="Times New Roman" w:eastAsia="黑体" w:cs="Times New Roman"/>
                      <w:color w:val="auto"/>
                      <w:sz w:val="21"/>
                      <w:szCs w:val="21"/>
                      <w:highlight w:val="none"/>
                      <w:u w:val="none"/>
                    </w:rPr>
                    <w:t>g/m</w:t>
                  </w:r>
                  <w:r>
                    <w:rPr>
                      <w:rFonts w:hint="default" w:ascii="Times New Roman" w:hAnsi="Times New Roman" w:eastAsia="黑体" w:cs="Times New Roman"/>
                      <w:color w:val="auto"/>
                      <w:sz w:val="21"/>
                      <w:szCs w:val="21"/>
                      <w:highlight w:val="none"/>
                      <w:u w:val="none"/>
                      <w:vertAlign w:val="superscript"/>
                    </w:rPr>
                    <w:t>3</w:t>
                  </w:r>
                  <w:r>
                    <w:rPr>
                      <w:rFonts w:hint="default" w:ascii="Times New Roman" w:hAnsi="Times New Roman" w:cs="Times New Roman"/>
                      <w:b w:val="0"/>
                      <w:bCs/>
                      <w:color w:val="auto"/>
                      <w:sz w:val="21"/>
                      <w:szCs w:val="21"/>
                      <w:highlight w:val="none"/>
                      <w:u w:val="none"/>
                      <w:vertAlign w:val="baseline"/>
                      <w:lang w:val="en-US" w:eastAsia="zh-CN"/>
                    </w:rPr>
                    <w:t>）</w:t>
                  </w:r>
                </w:p>
              </w:tc>
              <w:tc>
                <w:tcPr>
                  <w:tcW w:w="1397" w:type="dxa"/>
                  <w:tcBorders>
                    <w:tl2br w:val="nil"/>
                    <w:tr2bl w:val="nil"/>
                  </w:tcBorders>
                  <w:vAlign w:val="center"/>
                </w:tcPr>
                <w:p>
                  <w:pPr>
                    <w:pStyle w:val="80"/>
                    <w:keepNext/>
                    <w:keepLines/>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bCs/>
                      <w:color w:val="auto"/>
                      <w:szCs w:val="21"/>
                      <w:u w:val="none"/>
                    </w:rPr>
                  </w:pPr>
                  <w:r>
                    <w:rPr>
                      <w:rFonts w:hint="default" w:ascii="Times New Roman" w:hAnsi="Times New Roman" w:cs="Times New Roman"/>
                      <w:b w:val="0"/>
                      <w:bCs/>
                      <w:color w:val="auto"/>
                      <w:sz w:val="21"/>
                      <w:szCs w:val="21"/>
                      <w:highlight w:val="none"/>
                      <w:u w:val="none"/>
                      <w:vertAlign w:val="baseline"/>
                      <w:lang w:val="en-US" w:eastAsia="zh-CN"/>
                    </w:rPr>
                    <w:t>Pmax（%）</w:t>
                  </w:r>
                </w:p>
              </w:tc>
              <w:tc>
                <w:tcPr>
                  <w:tcW w:w="1050" w:type="dxa"/>
                  <w:tcBorders>
                    <w:tl2br w:val="nil"/>
                    <w:tr2bl w:val="nil"/>
                  </w:tcBorders>
                  <w:vAlign w:val="center"/>
                </w:tcPr>
                <w:p>
                  <w:pPr>
                    <w:pStyle w:val="80"/>
                    <w:keepNext/>
                    <w:keepLines/>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bCs/>
                      <w:color w:val="auto"/>
                      <w:szCs w:val="21"/>
                      <w:u w:val="none"/>
                    </w:rPr>
                  </w:pPr>
                  <w:r>
                    <w:rPr>
                      <w:rFonts w:hint="default" w:ascii="Times New Roman" w:hAnsi="Times New Roman" w:cs="Times New Roman"/>
                      <w:b w:val="0"/>
                      <w:bCs/>
                      <w:color w:val="auto"/>
                      <w:sz w:val="21"/>
                      <w:szCs w:val="21"/>
                      <w:highlight w:val="none"/>
                      <w:u w:val="none"/>
                      <w:vertAlign w:val="baseline"/>
                      <w:lang w:val="en-US" w:eastAsia="zh-CN"/>
                    </w:rPr>
                    <w:t>D</w:t>
                  </w:r>
                  <w:r>
                    <w:rPr>
                      <w:rFonts w:hint="default" w:ascii="Times New Roman" w:hAnsi="Times New Roman" w:cs="Times New Roman"/>
                      <w:b w:val="0"/>
                      <w:bCs/>
                      <w:color w:val="auto"/>
                      <w:sz w:val="21"/>
                      <w:szCs w:val="21"/>
                      <w:highlight w:val="none"/>
                      <w:u w:val="none"/>
                      <w:vertAlign w:val="subscript"/>
                      <w:lang w:val="en-US" w:eastAsia="zh-CN"/>
                    </w:rPr>
                    <w:t>10%</w:t>
                  </w:r>
                  <w:r>
                    <w:rPr>
                      <w:rFonts w:hint="default" w:ascii="Times New Roman" w:hAnsi="Times New Roman" w:cs="Times New Roman"/>
                      <w:b w:val="0"/>
                      <w:bCs/>
                      <w:color w:val="auto"/>
                      <w:sz w:val="21"/>
                      <w:szCs w:val="21"/>
                      <w:highlight w:val="none"/>
                      <w:u w:val="none"/>
                      <w:vertAlign w:val="baseline"/>
                      <w:lang w:val="en-US" w:eastAsia="zh-CN"/>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270" w:type="dxa"/>
                  <w:vMerge w:val="restart"/>
                  <w:tcBorders>
                    <w:tl2br w:val="nil"/>
                    <w:tr2bl w:val="nil"/>
                  </w:tcBorders>
                  <w:vAlign w:val="center"/>
                </w:tcPr>
                <w:p>
                  <w:pPr>
                    <w:adjustRightInd w:val="0"/>
                    <w:snapToGrid w:val="0"/>
                    <w:jc w:val="center"/>
                    <w:rPr>
                      <w:bCs/>
                      <w:color w:val="auto"/>
                      <w:szCs w:val="21"/>
                      <w:u w:val="none"/>
                    </w:rPr>
                  </w:pPr>
                  <w:r>
                    <w:rPr>
                      <w:rFonts w:hint="eastAsia"/>
                      <w:bCs/>
                      <w:color w:val="auto"/>
                      <w:szCs w:val="21"/>
                      <w:u w:val="none"/>
                      <w:lang w:val="en-US" w:eastAsia="zh-CN"/>
                    </w:rPr>
                    <w:t>污水处理区</w:t>
                  </w:r>
                </w:p>
              </w:tc>
              <w:tc>
                <w:tcPr>
                  <w:tcW w:w="1384" w:type="dxa"/>
                  <w:tcBorders>
                    <w:tl2br w:val="nil"/>
                    <w:tr2bl w:val="nil"/>
                  </w:tcBorders>
                  <w:vAlign w:val="center"/>
                </w:tcPr>
                <w:p>
                  <w:pPr>
                    <w:adjustRightInd w:val="0"/>
                    <w:snapToGrid w:val="0"/>
                    <w:jc w:val="center"/>
                    <w:rPr>
                      <w:bCs/>
                      <w:color w:val="auto"/>
                      <w:szCs w:val="21"/>
                      <w:u w:val="none"/>
                    </w:rPr>
                  </w:pPr>
                  <w:r>
                    <w:rPr>
                      <w:rFonts w:hint="eastAsia" w:ascii="Times New Roman" w:hAnsi="Times New Roman" w:cs="Times New Roman"/>
                      <w:color w:val="auto"/>
                      <w:sz w:val="18"/>
                      <w:szCs w:val="18"/>
                      <w:highlight w:val="none"/>
                      <w:u w:val="none"/>
                      <w:lang w:val="en-US" w:eastAsia="zh-CN"/>
                    </w:rPr>
                    <w:t>NH</w:t>
                  </w:r>
                  <w:r>
                    <w:rPr>
                      <w:rFonts w:hint="eastAsia" w:ascii="Times New Roman" w:hAnsi="Times New Roman" w:cs="Times New Roman"/>
                      <w:color w:val="auto"/>
                      <w:sz w:val="18"/>
                      <w:szCs w:val="18"/>
                      <w:highlight w:val="none"/>
                      <w:u w:val="none"/>
                      <w:vertAlign w:val="subscript"/>
                      <w:lang w:val="en-US" w:eastAsia="zh-CN"/>
                    </w:rPr>
                    <w:t>3</w:t>
                  </w:r>
                </w:p>
              </w:tc>
              <w:tc>
                <w:tcPr>
                  <w:tcW w:w="1363" w:type="dxa"/>
                  <w:tcBorders>
                    <w:tl2br w:val="nil"/>
                    <w:tr2bl w:val="nil"/>
                  </w:tcBorders>
                  <w:vAlign w:val="center"/>
                </w:tcPr>
                <w:p>
                  <w:pPr>
                    <w:adjustRightInd w:val="0"/>
                    <w:snapToGrid w:val="0"/>
                    <w:jc w:val="center"/>
                    <w:rPr>
                      <w:rFonts w:hint="default" w:ascii="Times New Roman" w:hAnsi="Times New Roman" w:cs="Times New Roman"/>
                      <w:color w:val="auto"/>
                      <w:sz w:val="18"/>
                      <w:szCs w:val="18"/>
                      <w:highlight w:val="none"/>
                      <w:u w:val="none"/>
                      <w:lang w:val="en-US" w:eastAsia="zh-CN"/>
                    </w:rPr>
                  </w:pPr>
                  <w:r>
                    <w:rPr>
                      <w:rFonts w:hint="eastAsia" w:ascii="Times New Roman" w:hAnsi="Times New Roman" w:cs="Times New Roman"/>
                      <w:color w:val="auto"/>
                      <w:sz w:val="18"/>
                      <w:szCs w:val="18"/>
                      <w:highlight w:val="none"/>
                      <w:u w:val="none"/>
                      <w:lang w:val="en-US" w:eastAsia="zh-CN"/>
                    </w:rPr>
                    <w:t>0.2</w:t>
                  </w:r>
                </w:p>
              </w:tc>
              <w:tc>
                <w:tcPr>
                  <w:tcW w:w="1573" w:type="dxa"/>
                  <w:tcBorders>
                    <w:tl2br w:val="nil"/>
                    <w:tr2bl w:val="nil"/>
                  </w:tcBorders>
                  <w:vAlign w:val="center"/>
                </w:tcPr>
                <w:p>
                  <w:pPr>
                    <w:adjustRightInd w:val="0"/>
                    <w:snapToGrid w:val="0"/>
                    <w:jc w:val="center"/>
                    <w:rPr>
                      <w:rFonts w:hint="default" w:eastAsia="宋体"/>
                      <w:bCs/>
                      <w:color w:val="auto"/>
                      <w:szCs w:val="21"/>
                      <w:u w:val="none"/>
                      <w:lang w:val="en-US" w:eastAsia="zh-CN"/>
                    </w:rPr>
                  </w:pPr>
                  <w:r>
                    <w:rPr>
                      <w:rFonts w:hint="eastAsia"/>
                      <w:bCs/>
                      <w:color w:val="auto"/>
                      <w:szCs w:val="21"/>
                      <w:u w:val="none"/>
                      <w:lang w:val="en-US" w:eastAsia="zh-CN"/>
                    </w:rPr>
                    <w:t>0.00</w:t>
                  </w:r>
                  <w:r>
                    <w:rPr>
                      <w:rFonts w:hint="default" w:eastAsia="宋体"/>
                      <w:bCs/>
                      <w:color w:val="auto"/>
                      <w:szCs w:val="21"/>
                      <w:u w:val="none"/>
                      <w:lang w:val="en-US" w:eastAsia="zh-CN"/>
                    </w:rPr>
                    <w:t>652</w:t>
                  </w:r>
                </w:p>
              </w:tc>
              <w:tc>
                <w:tcPr>
                  <w:tcW w:w="1397" w:type="dxa"/>
                  <w:tcBorders>
                    <w:tl2br w:val="nil"/>
                    <w:tr2bl w:val="nil"/>
                  </w:tcBorders>
                  <w:vAlign w:val="center"/>
                </w:tcPr>
                <w:p>
                  <w:pPr>
                    <w:adjustRightInd w:val="0"/>
                    <w:snapToGrid w:val="0"/>
                    <w:jc w:val="center"/>
                    <w:rPr>
                      <w:rFonts w:hint="default" w:eastAsia="宋体"/>
                      <w:bCs/>
                      <w:color w:val="auto"/>
                      <w:szCs w:val="21"/>
                      <w:u w:val="none"/>
                      <w:lang w:val="en-US" w:eastAsia="zh-CN"/>
                    </w:rPr>
                  </w:pPr>
                  <w:r>
                    <w:rPr>
                      <w:rFonts w:hint="eastAsia"/>
                      <w:bCs/>
                      <w:color w:val="auto"/>
                      <w:szCs w:val="21"/>
                      <w:u w:val="none"/>
                      <w:lang w:val="en-US" w:eastAsia="zh-CN"/>
                    </w:rPr>
                    <w:t>3.26</w:t>
                  </w:r>
                </w:p>
              </w:tc>
              <w:tc>
                <w:tcPr>
                  <w:tcW w:w="1050" w:type="dxa"/>
                  <w:tcBorders>
                    <w:tl2br w:val="nil"/>
                    <w:tr2bl w:val="nil"/>
                  </w:tcBorders>
                  <w:vAlign w:val="center"/>
                </w:tcPr>
                <w:p>
                  <w:pPr>
                    <w:adjustRightInd w:val="0"/>
                    <w:snapToGrid w:val="0"/>
                    <w:jc w:val="center"/>
                    <w:rPr>
                      <w:rFonts w:hint="default" w:eastAsia="宋体"/>
                      <w:bCs/>
                      <w:color w:val="auto"/>
                      <w:szCs w:val="21"/>
                      <w:u w:val="none"/>
                      <w:lang w:val="en-US" w:eastAsia="zh-CN"/>
                    </w:rPr>
                  </w:pPr>
                  <w:r>
                    <w:rPr>
                      <w:rFonts w:hint="eastAsia"/>
                      <w:bCs/>
                      <w:color w:val="auto"/>
                      <w:szCs w:val="21"/>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70" w:type="dxa"/>
                  <w:vMerge w:val="continue"/>
                  <w:tcBorders>
                    <w:tl2br w:val="nil"/>
                    <w:tr2bl w:val="nil"/>
                  </w:tcBorders>
                  <w:vAlign w:val="center"/>
                </w:tcPr>
                <w:p>
                  <w:pPr>
                    <w:adjustRightInd w:val="0"/>
                    <w:snapToGrid w:val="0"/>
                    <w:jc w:val="center"/>
                    <w:rPr>
                      <w:bCs/>
                      <w:color w:val="auto"/>
                      <w:szCs w:val="21"/>
                      <w:u w:val="none"/>
                    </w:rPr>
                  </w:pPr>
                </w:p>
              </w:tc>
              <w:tc>
                <w:tcPr>
                  <w:tcW w:w="1384" w:type="dxa"/>
                  <w:tcBorders>
                    <w:tl2br w:val="nil"/>
                    <w:tr2bl w:val="nil"/>
                  </w:tcBorders>
                  <w:vAlign w:val="center"/>
                </w:tcPr>
                <w:p>
                  <w:pPr>
                    <w:adjustRightInd w:val="0"/>
                    <w:snapToGrid w:val="0"/>
                    <w:jc w:val="center"/>
                    <w:rPr>
                      <w:bCs/>
                      <w:color w:val="auto"/>
                      <w:szCs w:val="21"/>
                      <w:u w:val="none"/>
                    </w:rPr>
                  </w:pPr>
                  <w:r>
                    <w:rPr>
                      <w:rFonts w:hint="eastAsia" w:ascii="Times New Roman" w:hAnsi="Times New Roman" w:cs="Times New Roman"/>
                      <w:color w:val="auto"/>
                      <w:sz w:val="18"/>
                      <w:szCs w:val="18"/>
                      <w:highlight w:val="none"/>
                      <w:u w:val="none"/>
                      <w:lang w:val="en-US" w:eastAsia="zh-CN"/>
                    </w:rPr>
                    <w:t>H</w:t>
                  </w:r>
                  <w:r>
                    <w:rPr>
                      <w:rFonts w:hint="eastAsia" w:ascii="Times New Roman" w:hAnsi="Times New Roman" w:cs="Times New Roman"/>
                      <w:color w:val="auto"/>
                      <w:sz w:val="18"/>
                      <w:szCs w:val="18"/>
                      <w:highlight w:val="none"/>
                      <w:u w:val="none"/>
                      <w:vertAlign w:val="subscript"/>
                      <w:lang w:val="en-US" w:eastAsia="zh-CN"/>
                    </w:rPr>
                    <w:t>2</w:t>
                  </w:r>
                  <w:r>
                    <w:rPr>
                      <w:rFonts w:hint="eastAsia" w:ascii="Times New Roman" w:hAnsi="Times New Roman" w:cs="Times New Roman"/>
                      <w:color w:val="auto"/>
                      <w:sz w:val="18"/>
                      <w:szCs w:val="18"/>
                      <w:highlight w:val="none"/>
                      <w:u w:val="none"/>
                      <w:vertAlign w:val="baseline"/>
                      <w:lang w:val="en-US" w:eastAsia="zh-CN"/>
                    </w:rPr>
                    <w:t>S</w:t>
                  </w:r>
                </w:p>
              </w:tc>
              <w:tc>
                <w:tcPr>
                  <w:tcW w:w="1363" w:type="dxa"/>
                  <w:tcBorders>
                    <w:tl2br w:val="nil"/>
                    <w:tr2bl w:val="nil"/>
                  </w:tcBorders>
                  <w:vAlign w:val="center"/>
                </w:tcPr>
                <w:p>
                  <w:pPr>
                    <w:adjustRightInd w:val="0"/>
                    <w:snapToGrid w:val="0"/>
                    <w:jc w:val="center"/>
                    <w:rPr>
                      <w:rFonts w:hint="default" w:ascii="Times New Roman" w:hAnsi="Times New Roman" w:cs="Times New Roman"/>
                      <w:color w:val="auto"/>
                      <w:sz w:val="18"/>
                      <w:szCs w:val="18"/>
                      <w:highlight w:val="none"/>
                      <w:u w:val="none"/>
                      <w:lang w:val="en-US" w:eastAsia="zh-CN"/>
                    </w:rPr>
                  </w:pPr>
                  <w:r>
                    <w:rPr>
                      <w:rFonts w:hint="eastAsia" w:ascii="Times New Roman" w:hAnsi="Times New Roman" w:cs="Times New Roman"/>
                      <w:color w:val="auto"/>
                      <w:sz w:val="18"/>
                      <w:szCs w:val="18"/>
                      <w:highlight w:val="none"/>
                      <w:u w:val="none"/>
                      <w:lang w:val="en-US" w:eastAsia="zh-CN"/>
                    </w:rPr>
                    <w:t>0.01</w:t>
                  </w:r>
                </w:p>
              </w:tc>
              <w:tc>
                <w:tcPr>
                  <w:tcW w:w="1573" w:type="dxa"/>
                  <w:tcBorders>
                    <w:tl2br w:val="nil"/>
                    <w:tr2bl w:val="nil"/>
                  </w:tcBorders>
                  <w:vAlign w:val="center"/>
                </w:tcPr>
                <w:p>
                  <w:pPr>
                    <w:adjustRightInd w:val="0"/>
                    <w:snapToGrid w:val="0"/>
                    <w:jc w:val="center"/>
                    <w:rPr>
                      <w:rFonts w:hint="eastAsia" w:eastAsia="宋体"/>
                      <w:bCs/>
                      <w:color w:val="auto"/>
                      <w:szCs w:val="21"/>
                      <w:u w:val="none"/>
                      <w:lang w:val="en-US" w:eastAsia="zh-CN"/>
                    </w:rPr>
                  </w:pPr>
                  <w:r>
                    <w:rPr>
                      <w:rFonts w:hint="eastAsia"/>
                      <w:bCs/>
                      <w:color w:val="auto"/>
                      <w:szCs w:val="21"/>
                      <w:u w:val="none"/>
                      <w:lang w:val="en-US" w:eastAsia="zh-CN"/>
                    </w:rPr>
                    <w:t>0.000</w:t>
                  </w:r>
                  <w:r>
                    <w:rPr>
                      <w:rFonts w:hint="eastAsia"/>
                      <w:bCs/>
                      <w:color w:val="auto"/>
                      <w:szCs w:val="21"/>
                      <w:u w:val="none"/>
                    </w:rPr>
                    <w:t>241</w:t>
                  </w:r>
                </w:p>
              </w:tc>
              <w:tc>
                <w:tcPr>
                  <w:tcW w:w="1397" w:type="dxa"/>
                  <w:tcBorders>
                    <w:tl2br w:val="nil"/>
                    <w:tr2bl w:val="nil"/>
                  </w:tcBorders>
                  <w:vAlign w:val="center"/>
                </w:tcPr>
                <w:p>
                  <w:pPr>
                    <w:adjustRightInd w:val="0"/>
                    <w:snapToGrid w:val="0"/>
                    <w:jc w:val="center"/>
                    <w:rPr>
                      <w:rFonts w:hint="default" w:eastAsia="宋体"/>
                      <w:bCs/>
                      <w:color w:val="auto"/>
                      <w:szCs w:val="21"/>
                      <w:u w:val="none"/>
                      <w:lang w:val="en-US" w:eastAsia="zh-CN"/>
                    </w:rPr>
                  </w:pPr>
                  <w:r>
                    <w:rPr>
                      <w:rFonts w:hint="eastAsia"/>
                      <w:bCs/>
                      <w:color w:val="auto"/>
                      <w:szCs w:val="21"/>
                      <w:u w:val="none"/>
                      <w:lang w:val="en-US" w:eastAsia="zh-CN"/>
                    </w:rPr>
                    <w:t>2.41</w:t>
                  </w:r>
                </w:p>
              </w:tc>
              <w:tc>
                <w:tcPr>
                  <w:tcW w:w="1050" w:type="dxa"/>
                  <w:tcBorders>
                    <w:tl2br w:val="nil"/>
                    <w:tr2bl w:val="nil"/>
                  </w:tcBorders>
                  <w:vAlign w:val="center"/>
                </w:tcPr>
                <w:p>
                  <w:pPr>
                    <w:adjustRightInd w:val="0"/>
                    <w:snapToGrid w:val="0"/>
                    <w:jc w:val="center"/>
                    <w:rPr>
                      <w:rFonts w:hint="default" w:eastAsia="宋体"/>
                      <w:bCs/>
                      <w:color w:val="auto"/>
                      <w:szCs w:val="21"/>
                      <w:u w:val="none"/>
                      <w:lang w:val="en-US" w:eastAsia="zh-CN"/>
                    </w:rPr>
                  </w:pPr>
                  <w:r>
                    <w:rPr>
                      <w:rFonts w:hint="eastAsia"/>
                      <w:bCs/>
                      <w:color w:val="auto"/>
                      <w:szCs w:val="21"/>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37" w:type="dxa"/>
                  <w:gridSpan w:val="6"/>
                  <w:tcBorders>
                    <w:tl2br w:val="nil"/>
                    <w:tr2bl w:val="nil"/>
                  </w:tcBorders>
                  <w:vAlign w:val="center"/>
                </w:tcPr>
                <w:p>
                  <w:pPr>
                    <w:adjustRightInd w:val="0"/>
                    <w:snapToGrid w:val="0"/>
                    <w:jc w:val="center"/>
                    <w:rPr>
                      <w:rFonts w:hint="eastAsia"/>
                      <w:bCs/>
                      <w:color w:val="auto"/>
                      <w:szCs w:val="21"/>
                      <w:u w:val="wave"/>
                      <w:lang w:val="en-US" w:eastAsia="zh-CN"/>
                    </w:rPr>
                  </w:pPr>
                  <w:r>
                    <w:drawing>
                      <wp:inline distT="0" distB="0" distL="114300" distR="114300">
                        <wp:extent cx="4956175" cy="2576830"/>
                        <wp:effectExtent l="0" t="0" r="15875" b="1397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pic:cNvPicPr>
                              </pic:nvPicPr>
                              <pic:blipFill>
                                <a:blip r:embed="rId22"/>
                                <a:stretch>
                                  <a:fillRect/>
                                </a:stretch>
                              </pic:blipFill>
                              <pic:spPr>
                                <a:xfrm>
                                  <a:off x="0" y="0"/>
                                  <a:ext cx="4956175" cy="2576830"/>
                                </a:xfrm>
                                <a:prstGeom prst="rect">
                                  <a:avLst/>
                                </a:prstGeom>
                                <a:noFill/>
                                <a:ln>
                                  <a:noFill/>
                                </a:ln>
                              </pic:spPr>
                            </pic:pic>
                          </a:graphicData>
                        </a:graphic>
                      </wp:inline>
                    </w:drawing>
                  </w:r>
                </w:p>
              </w:tc>
            </w:tr>
          </w:tbl>
          <w:p>
            <w:pPr>
              <w:keepNext/>
              <w:keepLines/>
              <w:pageBreakBefore w:val="0"/>
              <w:widowControl w:val="0"/>
              <w:numPr>
                <w:ilvl w:val="0"/>
                <w:numId w:val="0"/>
              </w:numPr>
              <w:kinsoku/>
              <w:wordWrap/>
              <w:overflowPunct/>
              <w:topLinePunct w:val="0"/>
              <w:autoSpaceDE/>
              <w:autoSpaceDN/>
              <w:bidi w:val="0"/>
              <w:adjustRightInd w:val="0"/>
              <w:snapToGrid w:val="0"/>
              <w:spacing w:line="360" w:lineRule="auto"/>
              <w:ind w:left="0" w:right="0" w:firstLine="462" w:firstLineChars="200"/>
              <w:textAlignment w:val="auto"/>
              <w:rPr>
                <w:rFonts w:hint="default" w:ascii="Times New Roman" w:hAnsi="Times New Roman" w:cs="Times New Roman"/>
                <w:color w:val="auto"/>
                <w:kern w:val="0"/>
                <w:sz w:val="24"/>
                <w:szCs w:val="24"/>
                <w:highlight w:val="none"/>
                <w:u w:val="none"/>
              </w:rPr>
            </w:pPr>
            <w:r>
              <w:rPr>
                <w:rFonts w:hint="default" w:ascii="Times New Roman" w:hAnsi="Times New Roman" w:cs="Times New Roman"/>
                <w:color w:val="auto"/>
                <w:kern w:val="0"/>
                <w:sz w:val="24"/>
                <w:szCs w:val="24"/>
                <w:highlight w:val="none"/>
                <w:u w:val="none"/>
              </w:rPr>
              <w:t>由表</w:t>
            </w:r>
            <w:r>
              <w:rPr>
                <w:rFonts w:hint="eastAsia" w:cs="Times New Roman"/>
                <w:color w:val="auto"/>
                <w:kern w:val="0"/>
                <w:sz w:val="24"/>
                <w:szCs w:val="24"/>
                <w:highlight w:val="none"/>
                <w:u w:val="none"/>
                <w:lang w:val="en-US" w:eastAsia="zh-CN"/>
              </w:rPr>
              <w:t>7-7</w:t>
            </w:r>
            <w:r>
              <w:rPr>
                <w:rFonts w:hint="default" w:ascii="Times New Roman" w:hAnsi="Times New Roman" w:cs="Times New Roman"/>
                <w:color w:val="auto"/>
                <w:kern w:val="0"/>
                <w:sz w:val="24"/>
                <w:szCs w:val="24"/>
                <w:highlight w:val="none"/>
                <w:u w:val="none"/>
              </w:rPr>
              <w:t>可知，项目各污染因子最大地面空气质量浓度占标率最大值为Pmax=</w:t>
            </w:r>
            <w:r>
              <w:rPr>
                <w:rFonts w:hint="eastAsia" w:cs="Times New Roman"/>
                <w:color w:val="auto"/>
                <w:kern w:val="0"/>
                <w:sz w:val="24"/>
                <w:szCs w:val="24"/>
                <w:highlight w:val="none"/>
                <w:u w:val="none"/>
                <w:lang w:val="en-US" w:eastAsia="zh-CN"/>
              </w:rPr>
              <w:t>3.26</w:t>
            </w:r>
            <w:r>
              <w:rPr>
                <w:rFonts w:hint="default" w:ascii="Times New Roman" w:hAnsi="Times New Roman" w:cs="Times New Roman"/>
                <w:color w:val="auto"/>
                <w:kern w:val="0"/>
                <w:sz w:val="24"/>
                <w:szCs w:val="24"/>
                <w:highlight w:val="none"/>
                <w:u w:val="none"/>
              </w:rPr>
              <w:t>%</w:t>
            </w:r>
            <w:r>
              <w:rPr>
                <w:rFonts w:hint="eastAsia" w:cs="Times New Roman"/>
                <w:color w:val="auto"/>
                <w:kern w:val="0"/>
                <w:sz w:val="24"/>
                <w:szCs w:val="24"/>
                <w:highlight w:val="none"/>
                <w:u w:val="none"/>
                <w:lang w:eastAsia="zh-CN"/>
              </w:rPr>
              <w:t>（</w:t>
            </w:r>
            <w:r>
              <w:rPr>
                <w:rFonts w:hint="eastAsia" w:ascii="Times New Roman" w:hAnsi="Times New Roman" w:cs="Times New Roman"/>
                <w:color w:val="auto"/>
                <w:sz w:val="24"/>
                <w:szCs w:val="24"/>
                <w:highlight w:val="none"/>
                <w:u w:val="none"/>
                <w:lang w:val="en-US" w:eastAsia="zh-CN"/>
              </w:rPr>
              <w:t>NH</w:t>
            </w:r>
            <w:r>
              <w:rPr>
                <w:rFonts w:hint="eastAsia" w:ascii="Times New Roman" w:hAnsi="Times New Roman" w:cs="Times New Roman"/>
                <w:color w:val="auto"/>
                <w:sz w:val="24"/>
                <w:szCs w:val="24"/>
                <w:highlight w:val="none"/>
                <w:u w:val="none"/>
                <w:vertAlign w:val="subscript"/>
                <w:lang w:val="en-US" w:eastAsia="zh-CN"/>
              </w:rPr>
              <w:t>3</w:t>
            </w:r>
            <w:r>
              <w:rPr>
                <w:rFonts w:hint="eastAsia" w:cs="Times New Roman"/>
                <w:color w:val="auto"/>
                <w:kern w:val="0"/>
                <w:sz w:val="24"/>
                <w:szCs w:val="24"/>
                <w:highlight w:val="none"/>
                <w:u w:val="none"/>
                <w:lang w:eastAsia="zh-CN"/>
              </w:rPr>
              <w:t>）</w:t>
            </w:r>
            <w:r>
              <w:rPr>
                <w:rFonts w:hint="default" w:ascii="Times New Roman" w:hAnsi="Times New Roman" w:cs="Times New Roman"/>
                <w:color w:val="auto"/>
                <w:kern w:val="0"/>
                <w:sz w:val="24"/>
                <w:szCs w:val="24"/>
                <w:highlight w:val="none"/>
                <w:u w:val="none"/>
              </w:rPr>
              <w:t>，1%≤Pmax＜10%，根据《环境影响评价技术导则 大气环境》（HJ 2.2-2018），确定本项目大气环境影响评价等级为</w:t>
            </w:r>
            <w:r>
              <w:rPr>
                <w:rFonts w:hint="eastAsia" w:ascii="Times New Roman" w:hAnsi="Times New Roman" w:cs="Times New Roman"/>
                <w:color w:val="auto"/>
                <w:kern w:val="0"/>
                <w:sz w:val="24"/>
                <w:szCs w:val="24"/>
                <w:highlight w:val="none"/>
                <w:u w:val="none"/>
                <w:lang w:eastAsia="zh-CN"/>
              </w:rPr>
              <w:t>二</w:t>
            </w:r>
            <w:r>
              <w:rPr>
                <w:rFonts w:hint="default" w:ascii="Times New Roman" w:hAnsi="Times New Roman" w:cs="Times New Roman"/>
                <w:color w:val="auto"/>
                <w:kern w:val="0"/>
                <w:sz w:val="24"/>
                <w:szCs w:val="24"/>
                <w:highlight w:val="none"/>
                <w:u w:val="none"/>
              </w:rPr>
              <w:t>级。</w:t>
            </w:r>
          </w:p>
          <w:p>
            <w:pPr>
              <w:keepNext/>
              <w:keepLines/>
              <w:pageBreakBefore w:val="0"/>
              <w:widowControl w:val="0"/>
              <w:numPr>
                <w:ilvl w:val="0"/>
                <w:numId w:val="0"/>
              </w:numPr>
              <w:kinsoku/>
              <w:wordWrap/>
              <w:overflowPunct/>
              <w:topLinePunct w:val="0"/>
              <w:autoSpaceDE/>
              <w:autoSpaceDN/>
              <w:bidi w:val="0"/>
              <w:adjustRightInd w:val="0"/>
              <w:snapToGrid w:val="0"/>
              <w:spacing w:line="360" w:lineRule="auto"/>
              <w:ind w:left="0" w:right="0" w:firstLine="462" w:firstLineChars="200"/>
              <w:textAlignment w:val="auto"/>
              <w:rPr>
                <w:rFonts w:hint="eastAsia" w:cs="Times New Roman"/>
                <w:b/>
                <w:bCs/>
                <w:color w:val="auto"/>
                <w:sz w:val="24"/>
                <w:szCs w:val="24"/>
                <w:u w:val="none"/>
                <w:lang w:val="en-US" w:eastAsia="zh-CN"/>
              </w:rPr>
            </w:pPr>
            <w:r>
              <w:rPr>
                <w:rFonts w:hint="default" w:ascii="Times New Roman" w:hAnsi="Times New Roman" w:eastAsia="宋体" w:cs="Times New Roman"/>
                <w:color w:val="auto"/>
                <w:sz w:val="24"/>
                <w:szCs w:val="24"/>
                <w:u w:val="none"/>
              </w:rPr>
              <w:t>根据《环境影响评价技术导则—大气环境》（HJ2.2－2018）中8.1大气环境影响预测与评价一般性要求“二级评价项目不进行进一步预测与评价，只对污染物排放量进行核算”，因此本项目不进行进一步预测与评价。</w:t>
            </w:r>
            <w:r>
              <w:rPr>
                <w:rFonts w:hint="default" w:ascii="Times New Roman" w:hAnsi="Times New Roman" w:eastAsia="宋体" w:cs="Times New Roman"/>
                <w:color w:val="auto"/>
                <w:sz w:val="24"/>
                <w:szCs w:val="24"/>
                <w:highlight w:val="none"/>
                <w:u w:val="none"/>
              </w:rPr>
              <w:t>大气环境影响评价完成后，应对大气环境影响评价主要内容与结论进行自查。建设项目大气环境影响评价自查表</w:t>
            </w:r>
            <w:r>
              <w:rPr>
                <w:rFonts w:hint="default" w:ascii="Times New Roman" w:hAnsi="Times New Roman" w:eastAsia="宋体" w:cs="Times New Roman"/>
                <w:color w:val="auto"/>
                <w:sz w:val="24"/>
                <w:szCs w:val="24"/>
                <w:highlight w:val="none"/>
                <w:u w:val="none"/>
                <w:lang w:eastAsia="zh-CN"/>
              </w:rPr>
              <w:t>详见附表</w:t>
            </w:r>
            <w:r>
              <w:rPr>
                <w:rFonts w:hint="default" w:ascii="Times New Roman" w:hAnsi="Times New Roman" w:eastAsia="宋体" w:cs="Times New Roman"/>
                <w:color w:val="auto"/>
                <w:sz w:val="24"/>
                <w:szCs w:val="24"/>
                <w:highlight w:val="none"/>
                <w:u w:val="none"/>
                <w:lang w:val="en-US" w:eastAsia="zh-CN"/>
              </w:rPr>
              <w:t>2。</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cs="Times New Roman"/>
                <w:color w:val="auto"/>
                <w:sz w:val="24"/>
                <w:highlight w:val="none"/>
                <w:u w:val="none"/>
                <w:lang w:bidi="ar"/>
              </w:rPr>
            </w:pPr>
            <w:r>
              <w:rPr>
                <w:rFonts w:hint="eastAsia" w:ascii="Times New Roman" w:hAnsi="Times New Roman" w:cs="Times New Roman"/>
                <w:color w:val="auto"/>
                <w:sz w:val="24"/>
                <w:highlight w:val="none"/>
                <w:u w:val="none"/>
                <w:lang w:eastAsia="zh-CN" w:bidi="ar"/>
              </w:rPr>
              <w:t>（</w:t>
            </w:r>
            <w:r>
              <w:rPr>
                <w:rFonts w:hint="eastAsia" w:ascii="Times New Roman" w:hAnsi="Times New Roman" w:cs="Times New Roman"/>
                <w:color w:val="auto"/>
                <w:sz w:val="24"/>
                <w:highlight w:val="none"/>
                <w:u w:val="none"/>
                <w:lang w:val="en-US" w:eastAsia="zh-CN" w:bidi="ar"/>
              </w:rPr>
              <w:t>2</w:t>
            </w:r>
            <w:r>
              <w:rPr>
                <w:rFonts w:hint="eastAsia" w:ascii="Times New Roman" w:hAnsi="Times New Roman" w:cs="Times New Roman"/>
                <w:color w:val="auto"/>
                <w:sz w:val="24"/>
                <w:highlight w:val="none"/>
                <w:u w:val="none"/>
                <w:lang w:eastAsia="zh-CN" w:bidi="ar"/>
              </w:rPr>
              <w:t>）</w:t>
            </w:r>
            <w:r>
              <w:rPr>
                <w:rFonts w:hint="default" w:ascii="Times New Roman" w:hAnsi="Times New Roman" w:cs="Times New Roman"/>
                <w:color w:val="auto"/>
                <w:sz w:val="24"/>
                <w:highlight w:val="none"/>
                <w:u w:val="none"/>
                <w:lang w:bidi="ar"/>
              </w:rPr>
              <w:t>污染源核算</w:t>
            </w: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正常工况下，项目大气污染物无组织排放量核算表见表</w:t>
            </w:r>
            <w:r>
              <w:rPr>
                <w:rFonts w:hint="eastAsia" w:ascii="Times New Roman" w:hAnsi="Times New Roman" w:cs="Times New Roman"/>
                <w:color w:val="auto"/>
                <w:sz w:val="24"/>
                <w:szCs w:val="24"/>
                <w:highlight w:val="none"/>
                <w:u w:val="none"/>
                <w:lang w:val="en-US" w:eastAsia="zh-CN"/>
              </w:rPr>
              <w:t>7-8</w:t>
            </w:r>
            <w:r>
              <w:rPr>
                <w:rFonts w:hint="default" w:ascii="Times New Roman" w:hAnsi="Times New Roman" w:cs="Times New Roman"/>
                <w:color w:val="auto"/>
                <w:sz w:val="24"/>
                <w:szCs w:val="24"/>
                <w:highlight w:val="none"/>
                <w:u w:val="none"/>
              </w:rPr>
              <w:t xml:space="preserve">。 </w:t>
            </w:r>
          </w:p>
          <w:p>
            <w:pPr>
              <w:pStyle w:val="7"/>
              <w:ind w:firstLine="402" w:firstLineChars="200"/>
              <w:rPr>
                <w:rFonts w:hint="default" w:ascii="Times New Roman" w:hAnsi="Times New Roman" w:cs="Times New Roman"/>
                <w:color w:val="auto"/>
                <w:sz w:val="21"/>
                <w:highlight w:val="none"/>
                <w:u w:val="none"/>
              </w:rPr>
            </w:pPr>
            <w:r>
              <w:rPr>
                <w:rFonts w:hint="default" w:ascii="Times New Roman" w:hAnsi="Times New Roman" w:cs="Times New Roman"/>
                <w:color w:val="auto"/>
                <w:sz w:val="21"/>
                <w:highlight w:val="none"/>
                <w:u w:val="none"/>
              </w:rPr>
              <w:t>表</w:t>
            </w:r>
            <w:r>
              <w:rPr>
                <w:rFonts w:hint="eastAsia" w:ascii="Times New Roman" w:hAnsi="Times New Roman" w:cs="Times New Roman"/>
                <w:color w:val="auto"/>
                <w:sz w:val="21"/>
                <w:highlight w:val="none"/>
                <w:u w:val="none"/>
                <w:lang w:val="en-US" w:eastAsia="zh-CN"/>
              </w:rPr>
              <w:t>7-</w:t>
            </w:r>
            <w:r>
              <w:rPr>
                <w:rFonts w:hint="eastAsia" w:cs="Times New Roman"/>
                <w:color w:val="auto"/>
                <w:sz w:val="21"/>
                <w:highlight w:val="none"/>
                <w:u w:val="none"/>
                <w:lang w:val="en-US" w:eastAsia="zh-CN"/>
              </w:rPr>
              <w:t>8</w:t>
            </w:r>
            <w:r>
              <w:rPr>
                <w:rFonts w:hint="default" w:ascii="Times New Roman" w:hAnsi="Times New Roman" w:cs="Times New Roman"/>
                <w:color w:val="auto"/>
                <w:sz w:val="21"/>
                <w:highlight w:val="none"/>
                <w:u w:val="none"/>
              </w:rPr>
              <w:t xml:space="preserve">  大气污染物无组织排放量核算表</w:t>
            </w:r>
          </w:p>
          <w:tbl>
            <w:tblPr>
              <w:tblStyle w:val="27"/>
              <w:tblW w:w="854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48"/>
              <w:gridCol w:w="675"/>
              <w:gridCol w:w="1117"/>
              <w:gridCol w:w="743"/>
              <w:gridCol w:w="1759"/>
              <w:gridCol w:w="1737"/>
              <w:gridCol w:w="1129"/>
              <w:gridCol w:w="94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448" w:type="dxa"/>
                  <w:vMerge w:val="restart"/>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序号</w:t>
                  </w:r>
                </w:p>
              </w:tc>
              <w:tc>
                <w:tcPr>
                  <w:tcW w:w="675" w:type="dxa"/>
                  <w:vMerge w:val="restart"/>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排放口编号</w:t>
                  </w:r>
                </w:p>
              </w:tc>
              <w:tc>
                <w:tcPr>
                  <w:tcW w:w="1117" w:type="dxa"/>
                  <w:vMerge w:val="restart"/>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产污环节</w:t>
                  </w:r>
                </w:p>
              </w:tc>
              <w:tc>
                <w:tcPr>
                  <w:tcW w:w="743" w:type="dxa"/>
                  <w:vMerge w:val="restart"/>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污染物</w:t>
                  </w:r>
                </w:p>
              </w:tc>
              <w:tc>
                <w:tcPr>
                  <w:tcW w:w="1759" w:type="dxa"/>
                  <w:vMerge w:val="restart"/>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主要污染防治措施</w:t>
                  </w:r>
                </w:p>
              </w:tc>
              <w:tc>
                <w:tcPr>
                  <w:tcW w:w="2866" w:type="dxa"/>
                  <w:gridSpan w:val="2"/>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国家或地方污染物排放标准</w:t>
                  </w:r>
                </w:p>
              </w:tc>
              <w:tc>
                <w:tcPr>
                  <w:tcW w:w="941" w:type="dxa"/>
                  <w:vMerge w:val="restart"/>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年排放量（</w:t>
                  </w:r>
                  <w:r>
                    <w:rPr>
                      <w:rFonts w:hint="eastAsia" w:ascii="Times New Roman" w:hAnsi="Times New Roman" w:eastAsia="宋体" w:cs="Times New Roman"/>
                      <w:color w:val="auto"/>
                      <w:sz w:val="21"/>
                      <w:szCs w:val="21"/>
                      <w:highlight w:val="none"/>
                      <w:u w:val="none"/>
                      <w:lang w:val="en-US" w:eastAsia="zh-CN"/>
                    </w:rPr>
                    <w:t>kg</w:t>
                  </w:r>
                  <w:r>
                    <w:rPr>
                      <w:rFonts w:hint="default" w:ascii="Times New Roman" w:hAnsi="Times New Roman" w:eastAsia="宋体" w:cs="Times New Roman"/>
                      <w:color w:val="auto"/>
                      <w:sz w:val="21"/>
                      <w:szCs w:val="21"/>
                      <w:highlight w:val="none"/>
                      <w:u w:val="none"/>
                    </w:rPr>
                    <w: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44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pacing w:val="-6"/>
                      <w:sz w:val="21"/>
                      <w:szCs w:val="21"/>
                      <w:highlight w:val="none"/>
                      <w:u w:val="none"/>
                      <w:lang w:val="zh-CN" w:bidi="zh-CN"/>
                    </w:rPr>
                  </w:pPr>
                </w:p>
              </w:tc>
              <w:tc>
                <w:tcPr>
                  <w:tcW w:w="67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pacing w:val="-6"/>
                      <w:sz w:val="21"/>
                      <w:szCs w:val="21"/>
                      <w:highlight w:val="none"/>
                      <w:u w:val="none"/>
                      <w:lang w:val="zh-CN" w:bidi="zh-CN"/>
                    </w:rPr>
                  </w:pPr>
                </w:p>
              </w:tc>
              <w:tc>
                <w:tcPr>
                  <w:tcW w:w="111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pacing w:val="-6"/>
                      <w:sz w:val="21"/>
                      <w:szCs w:val="21"/>
                      <w:highlight w:val="none"/>
                      <w:u w:val="none"/>
                      <w:lang w:val="zh-CN" w:bidi="zh-CN"/>
                    </w:rPr>
                  </w:pPr>
                </w:p>
              </w:tc>
              <w:tc>
                <w:tcPr>
                  <w:tcW w:w="74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pacing w:val="-6"/>
                      <w:sz w:val="21"/>
                      <w:szCs w:val="21"/>
                      <w:highlight w:val="none"/>
                      <w:u w:val="none"/>
                      <w:lang w:val="zh-CN" w:bidi="zh-CN"/>
                    </w:rPr>
                  </w:pPr>
                </w:p>
              </w:tc>
              <w:tc>
                <w:tcPr>
                  <w:tcW w:w="175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pacing w:val="-6"/>
                      <w:sz w:val="21"/>
                      <w:szCs w:val="21"/>
                      <w:highlight w:val="none"/>
                      <w:u w:val="none"/>
                      <w:lang w:val="zh-CN" w:bidi="zh-CN"/>
                    </w:rPr>
                  </w:pPr>
                </w:p>
              </w:tc>
              <w:tc>
                <w:tcPr>
                  <w:tcW w:w="1737" w:type="dxa"/>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pacing w:val="-6"/>
                      <w:sz w:val="21"/>
                      <w:szCs w:val="21"/>
                      <w:highlight w:val="none"/>
                      <w:u w:val="none"/>
                    </w:rPr>
                  </w:pPr>
                  <w:r>
                    <w:rPr>
                      <w:rFonts w:hint="default" w:ascii="Times New Roman" w:hAnsi="Times New Roman" w:eastAsia="宋体" w:cs="Times New Roman"/>
                      <w:color w:val="auto"/>
                      <w:spacing w:val="-6"/>
                      <w:sz w:val="21"/>
                      <w:szCs w:val="21"/>
                      <w:highlight w:val="none"/>
                      <w:u w:val="none"/>
                    </w:rPr>
                    <w:t>标准名称</w:t>
                  </w:r>
                </w:p>
              </w:tc>
              <w:tc>
                <w:tcPr>
                  <w:tcW w:w="1129" w:type="dxa"/>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浓度限值</w:t>
                  </w:r>
                </w:p>
              </w:tc>
              <w:tc>
                <w:tcPr>
                  <w:tcW w:w="94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448" w:type="dxa"/>
                  <w:vMerge w:val="restart"/>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lang w:val="en-US"/>
                    </w:rPr>
                  </w:pPr>
                  <w:r>
                    <w:rPr>
                      <w:rFonts w:hint="default" w:ascii="Times New Roman" w:hAnsi="Times New Roman" w:eastAsia="宋体" w:cs="Times New Roman"/>
                      <w:color w:val="auto"/>
                      <w:sz w:val="21"/>
                      <w:szCs w:val="21"/>
                      <w:highlight w:val="none"/>
                      <w:u w:val="none"/>
                      <w:lang w:val="en-US"/>
                    </w:rPr>
                    <w:t>1</w:t>
                  </w:r>
                </w:p>
              </w:tc>
              <w:tc>
                <w:tcPr>
                  <w:tcW w:w="675" w:type="dxa"/>
                  <w:vMerge w:val="restart"/>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lang w:eastAsia="zh-CN"/>
                    </w:rPr>
                  </w:pPr>
                  <w:r>
                    <w:rPr>
                      <w:rFonts w:hint="eastAsia" w:ascii="Times New Roman" w:hAnsi="Times New Roman" w:eastAsia="宋体" w:cs="Times New Roman"/>
                      <w:color w:val="auto"/>
                      <w:sz w:val="21"/>
                      <w:szCs w:val="21"/>
                      <w:highlight w:val="none"/>
                      <w:u w:val="none"/>
                      <w:lang w:eastAsia="zh-CN"/>
                    </w:rPr>
                    <w:t>厂区</w:t>
                  </w:r>
                </w:p>
              </w:tc>
              <w:tc>
                <w:tcPr>
                  <w:tcW w:w="1117"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lang w:eastAsia="zh-CN"/>
                    </w:rPr>
                  </w:pPr>
                  <w:r>
                    <w:rPr>
                      <w:rFonts w:hint="default" w:ascii="Times New Roman" w:hAnsi="Times New Roman" w:eastAsia="宋体" w:cs="Times New Roman"/>
                      <w:color w:val="auto"/>
                      <w:sz w:val="21"/>
                      <w:szCs w:val="21"/>
                      <w:highlight w:val="none"/>
                      <w:u w:val="none"/>
                    </w:rPr>
                    <w:t>污水处理</w:t>
                  </w:r>
                  <w:r>
                    <w:rPr>
                      <w:rFonts w:hint="default" w:ascii="Times New Roman" w:hAnsi="Times New Roman" w:eastAsia="宋体" w:cs="Times New Roman"/>
                      <w:color w:val="auto"/>
                      <w:sz w:val="21"/>
                      <w:szCs w:val="21"/>
                      <w:highlight w:val="none"/>
                      <w:u w:val="none"/>
                      <w:lang w:eastAsia="zh-CN"/>
                    </w:rPr>
                    <w:t>系统</w:t>
                  </w:r>
                </w:p>
              </w:tc>
              <w:tc>
                <w:tcPr>
                  <w:tcW w:w="743" w:type="dxa"/>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NH</w:t>
                  </w:r>
                  <w:r>
                    <w:rPr>
                      <w:rFonts w:hint="default" w:ascii="Times New Roman" w:hAnsi="Times New Roman" w:eastAsia="宋体" w:cs="Times New Roman"/>
                      <w:color w:val="auto"/>
                      <w:sz w:val="21"/>
                      <w:szCs w:val="21"/>
                      <w:highlight w:val="none"/>
                      <w:u w:val="none"/>
                      <w:vertAlign w:val="subscript"/>
                    </w:rPr>
                    <w:t>3</w:t>
                  </w:r>
                </w:p>
              </w:tc>
              <w:tc>
                <w:tcPr>
                  <w:tcW w:w="175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rPr>
                  </w:pPr>
                  <w:r>
                    <w:rPr>
                      <w:rFonts w:hint="eastAsia"/>
                      <w:color w:val="auto"/>
                      <w:kern w:val="0"/>
                      <w:szCs w:val="21"/>
                      <w:highlight w:val="none"/>
                      <w:u w:val="none"/>
                    </w:rPr>
                    <w:t>对全厂所有需除臭的建、构筑物进行全封闭加盖处理，</w:t>
                  </w:r>
                  <w:r>
                    <w:rPr>
                      <w:rFonts w:hint="default" w:ascii="Times New Roman" w:hAnsi="Times New Roman" w:eastAsia="宋体" w:cs="Times New Roman"/>
                      <w:color w:val="auto"/>
                      <w:sz w:val="21"/>
                      <w:szCs w:val="21"/>
                      <w:u w:val="none"/>
                      <w:lang w:eastAsia="zh-CN"/>
                    </w:rPr>
                    <w:t>定期喷洒除臭剂</w:t>
                  </w:r>
                  <w:r>
                    <w:rPr>
                      <w:rFonts w:hint="default" w:ascii="Times New Roman" w:hAnsi="Times New Roman" w:eastAsia="宋体" w:cs="Times New Roman"/>
                      <w:color w:val="auto"/>
                      <w:sz w:val="21"/>
                      <w:szCs w:val="21"/>
                      <w:u w:val="none"/>
                      <w:lang w:val="en-US" w:eastAsia="zh-CN"/>
                    </w:rPr>
                    <w:t>+</w:t>
                  </w:r>
                  <w:r>
                    <w:rPr>
                      <w:rFonts w:hint="default" w:ascii="Times New Roman" w:hAnsi="Times New Roman" w:eastAsia="宋体" w:cs="Times New Roman"/>
                      <w:color w:val="auto"/>
                      <w:sz w:val="21"/>
                      <w:szCs w:val="21"/>
                      <w:u w:val="none"/>
                      <w:lang w:eastAsia="zh-CN"/>
                    </w:rPr>
                    <w:t>周围绿化</w:t>
                  </w:r>
                </w:p>
              </w:tc>
              <w:tc>
                <w:tcPr>
                  <w:tcW w:w="1737" w:type="dxa"/>
                  <w:vMerge w:val="restart"/>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《城镇污水处理厂污染物排放标准》（GB18918-2002）</w:t>
                  </w:r>
                </w:p>
              </w:tc>
              <w:tc>
                <w:tcPr>
                  <w:tcW w:w="1129" w:type="dxa"/>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lang w:val="en-US"/>
                    </w:rPr>
                  </w:pPr>
                  <w:r>
                    <w:rPr>
                      <w:rFonts w:hint="default" w:ascii="Times New Roman" w:hAnsi="Times New Roman" w:eastAsia="宋体" w:cs="Times New Roman"/>
                      <w:bCs/>
                      <w:color w:val="auto"/>
                      <w:sz w:val="21"/>
                      <w:szCs w:val="21"/>
                      <w:highlight w:val="none"/>
                      <w:u w:val="none"/>
                    </w:rPr>
                    <w:t>1.5</w:t>
                  </w:r>
                  <w:r>
                    <w:rPr>
                      <w:rFonts w:hint="default" w:ascii="Times New Roman" w:hAnsi="Times New Roman" w:eastAsia="宋体" w:cs="Times New Roman"/>
                      <w:bCs/>
                      <w:color w:val="auto"/>
                      <w:sz w:val="21"/>
                      <w:szCs w:val="21"/>
                      <w:highlight w:val="none"/>
                      <w:u w:val="none"/>
                      <w:lang w:val="en-US"/>
                    </w:rPr>
                    <w:t>mg/m</w:t>
                  </w:r>
                  <w:r>
                    <w:rPr>
                      <w:rFonts w:hint="default" w:ascii="Times New Roman" w:hAnsi="Times New Roman" w:eastAsia="宋体" w:cs="Times New Roman"/>
                      <w:bCs/>
                      <w:color w:val="auto"/>
                      <w:sz w:val="21"/>
                      <w:szCs w:val="21"/>
                      <w:highlight w:val="none"/>
                      <w:u w:val="none"/>
                      <w:vertAlign w:val="superscript"/>
                      <w:lang w:val="en-US"/>
                    </w:rPr>
                    <w:t>3</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jc w:val="center"/>
                    <w:textAlignment w:val="center"/>
                    <w:rPr>
                      <w:rFonts w:hint="default" w:ascii="Times New Roman" w:hAnsi="Times New Roman" w:eastAsia="宋体"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71.285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448" w:type="dxa"/>
                  <w:vMerge w:val="continue"/>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lang w:val="en-US"/>
                    </w:rPr>
                  </w:pPr>
                </w:p>
              </w:tc>
              <w:tc>
                <w:tcPr>
                  <w:tcW w:w="675" w:type="dxa"/>
                  <w:vMerge w:val="continue"/>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rPr>
                  </w:pPr>
                </w:p>
              </w:tc>
              <w:tc>
                <w:tcPr>
                  <w:tcW w:w="111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rPr>
                  </w:pPr>
                </w:p>
              </w:tc>
              <w:tc>
                <w:tcPr>
                  <w:tcW w:w="743" w:type="dxa"/>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H</w:t>
                  </w:r>
                  <w:r>
                    <w:rPr>
                      <w:rFonts w:hint="default" w:ascii="Times New Roman" w:hAnsi="Times New Roman" w:eastAsia="宋体" w:cs="Times New Roman"/>
                      <w:color w:val="auto"/>
                      <w:sz w:val="21"/>
                      <w:szCs w:val="21"/>
                      <w:highlight w:val="none"/>
                      <w:u w:val="none"/>
                      <w:vertAlign w:val="subscript"/>
                    </w:rPr>
                    <w:t>2</w:t>
                  </w:r>
                  <w:r>
                    <w:rPr>
                      <w:rFonts w:hint="default" w:ascii="Times New Roman" w:hAnsi="Times New Roman" w:eastAsia="宋体" w:cs="Times New Roman"/>
                      <w:color w:val="auto"/>
                      <w:sz w:val="21"/>
                      <w:szCs w:val="21"/>
                      <w:highlight w:val="none"/>
                      <w:u w:val="none"/>
                    </w:rPr>
                    <w:t>S</w:t>
                  </w:r>
                </w:p>
              </w:tc>
              <w:tc>
                <w:tcPr>
                  <w:tcW w:w="1759" w:type="dxa"/>
                  <w:vMerge w:val="continue"/>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rPr>
                  </w:pPr>
                </w:p>
              </w:tc>
              <w:tc>
                <w:tcPr>
                  <w:tcW w:w="1737" w:type="dxa"/>
                  <w:vMerge w:val="continue"/>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rPr>
                  </w:pPr>
                </w:p>
              </w:tc>
              <w:tc>
                <w:tcPr>
                  <w:tcW w:w="1129" w:type="dxa"/>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lang w:val="en-US"/>
                    </w:rPr>
                  </w:pPr>
                  <w:r>
                    <w:rPr>
                      <w:rFonts w:hint="default" w:ascii="Times New Roman" w:hAnsi="Times New Roman" w:eastAsia="宋体" w:cs="Times New Roman"/>
                      <w:bCs/>
                      <w:color w:val="auto"/>
                      <w:sz w:val="21"/>
                      <w:szCs w:val="21"/>
                      <w:highlight w:val="none"/>
                      <w:u w:val="none"/>
                    </w:rPr>
                    <w:t>0.06</w:t>
                  </w:r>
                  <w:r>
                    <w:rPr>
                      <w:rFonts w:hint="default" w:ascii="Times New Roman" w:hAnsi="Times New Roman" w:eastAsia="宋体" w:cs="Times New Roman"/>
                      <w:bCs/>
                      <w:color w:val="auto"/>
                      <w:sz w:val="21"/>
                      <w:szCs w:val="21"/>
                      <w:highlight w:val="none"/>
                      <w:u w:val="none"/>
                      <w:lang w:val="en-US"/>
                    </w:rPr>
                    <w:t>mg/m</w:t>
                  </w:r>
                  <w:r>
                    <w:rPr>
                      <w:rFonts w:hint="default" w:ascii="Times New Roman" w:hAnsi="Times New Roman" w:eastAsia="宋体" w:cs="Times New Roman"/>
                      <w:bCs/>
                      <w:color w:val="auto"/>
                      <w:sz w:val="21"/>
                      <w:szCs w:val="21"/>
                      <w:highlight w:val="none"/>
                      <w:u w:val="none"/>
                      <w:vertAlign w:val="superscript"/>
                      <w:lang w:val="en-US"/>
                    </w:rPr>
                    <w:t>3</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jc w:val="center"/>
                    <w:textAlignment w:val="center"/>
                    <w:rPr>
                      <w:rFonts w:hint="default" w:ascii="Times New Roman" w:hAnsi="Times New Roman" w:eastAsia="宋体"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2.759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8549" w:type="dxa"/>
                  <w:gridSpan w:val="8"/>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无组织排放总计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2983" w:type="dxa"/>
                  <w:gridSpan w:val="4"/>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无组织排放总计</w:t>
                  </w:r>
                </w:p>
              </w:tc>
              <w:tc>
                <w:tcPr>
                  <w:tcW w:w="3496" w:type="dxa"/>
                  <w:gridSpan w:val="2"/>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NH</w:t>
                  </w:r>
                  <w:r>
                    <w:rPr>
                      <w:rFonts w:hint="default" w:ascii="Times New Roman" w:hAnsi="Times New Roman" w:eastAsia="宋体" w:cs="Times New Roman"/>
                      <w:color w:val="auto"/>
                      <w:sz w:val="21"/>
                      <w:szCs w:val="21"/>
                      <w:highlight w:val="none"/>
                      <w:u w:val="none"/>
                      <w:vertAlign w:val="subscript"/>
                    </w:rPr>
                    <w:t>3</w:t>
                  </w:r>
                </w:p>
              </w:tc>
              <w:tc>
                <w:tcPr>
                  <w:tcW w:w="207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rightChars="0"/>
                    <w:jc w:val="center"/>
                    <w:textAlignment w:val="center"/>
                    <w:rPr>
                      <w:rFonts w:hint="default" w:ascii="Times New Roman" w:hAnsi="Times New Roman" w:eastAsia="宋体" w:cs="Times New Roman"/>
                      <w:color w:val="auto"/>
                      <w:sz w:val="21"/>
                      <w:szCs w:val="21"/>
                      <w:highlight w:val="none"/>
                      <w:u w:val="none"/>
                      <w:lang w:val="en-US"/>
                    </w:rPr>
                  </w:pPr>
                  <w:r>
                    <w:rPr>
                      <w:rFonts w:hint="eastAsia" w:cs="Times New Roman"/>
                      <w:color w:val="auto"/>
                      <w:sz w:val="21"/>
                      <w:szCs w:val="21"/>
                      <w:highlight w:val="none"/>
                      <w:u w:val="none"/>
                      <w:lang w:val="en-US" w:eastAsia="zh-CN"/>
                    </w:rPr>
                    <w:t>71.285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2983" w:type="dxa"/>
                  <w:gridSpan w:val="4"/>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rPr>
                  </w:pPr>
                </w:p>
              </w:tc>
              <w:tc>
                <w:tcPr>
                  <w:tcW w:w="3496" w:type="dxa"/>
                  <w:gridSpan w:val="2"/>
                  <w:noWrap w:val="0"/>
                  <w:vAlign w:val="center"/>
                </w:tcPr>
                <w:p>
                  <w:pPr>
                    <w:pStyle w:val="47"/>
                    <w:keepNext w:val="0"/>
                    <w:keepLines w:val="0"/>
                    <w:pageBreakBefore w:val="0"/>
                    <w:kinsoku/>
                    <w:wordWrap/>
                    <w:overflowPunct/>
                    <w:topLinePunct w:val="0"/>
                    <w:autoSpaceDE/>
                    <w:autoSpaceDN/>
                    <w:bidi w:val="0"/>
                    <w:adjustRightInd w:val="0"/>
                    <w:snapToGrid w:val="0"/>
                    <w:spacing w:line="240" w:lineRule="auto"/>
                    <w:ind w:right="0"/>
                    <w:jc w:val="center"/>
                    <w:rPr>
                      <w:rFonts w:hint="default" w:ascii="Times New Roman" w:hAnsi="Times New Roman" w:eastAsia="宋体" w:cs="Times New Roman"/>
                      <w:color w:val="auto"/>
                      <w:sz w:val="21"/>
                      <w:szCs w:val="21"/>
                      <w:highlight w:val="none"/>
                      <w:u w:val="none"/>
                      <w:lang w:val="en-US"/>
                    </w:rPr>
                  </w:pPr>
                  <w:r>
                    <w:rPr>
                      <w:rFonts w:hint="default" w:ascii="Times New Roman" w:hAnsi="Times New Roman" w:eastAsia="宋体" w:cs="Times New Roman"/>
                      <w:color w:val="auto"/>
                      <w:sz w:val="21"/>
                      <w:szCs w:val="21"/>
                      <w:highlight w:val="none"/>
                      <w:u w:val="none"/>
                    </w:rPr>
                    <w:t>H</w:t>
                  </w:r>
                  <w:r>
                    <w:rPr>
                      <w:rFonts w:hint="default" w:ascii="Times New Roman" w:hAnsi="Times New Roman" w:eastAsia="宋体" w:cs="Times New Roman"/>
                      <w:color w:val="auto"/>
                      <w:sz w:val="21"/>
                      <w:szCs w:val="21"/>
                      <w:highlight w:val="none"/>
                      <w:u w:val="none"/>
                      <w:vertAlign w:val="subscript"/>
                    </w:rPr>
                    <w:t>2</w:t>
                  </w:r>
                  <w:r>
                    <w:rPr>
                      <w:rFonts w:hint="default" w:ascii="Times New Roman" w:hAnsi="Times New Roman" w:eastAsia="宋体" w:cs="Times New Roman"/>
                      <w:color w:val="auto"/>
                      <w:sz w:val="21"/>
                      <w:szCs w:val="21"/>
                      <w:highlight w:val="none"/>
                      <w:u w:val="none"/>
                    </w:rPr>
                    <w:t>S</w:t>
                  </w:r>
                </w:p>
              </w:tc>
              <w:tc>
                <w:tcPr>
                  <w:tcW w:w="207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rightChars="0"/>
                    <w:jc w:val="center"/>
                    <w:textAlignment w:val="center"/>
                    <w:rPr>
                      <w:rFonts w:hint="default" w:ascii="Times New Roman" w:hAnsi="Times New Roman" w:eastAsia="宋体" w:cs="Times New Roman"/>
                      <w:color w:val="auto"/>
                      <w:sz w:val="21"/>
                      <w:szCs w:val="21"/>
                      <w:highlight w:val="none"/>
                      <w:u w:val="none"/>
                      <w:lang w:val="en-US"/>
                    </w:rPr>
                  </w:pPr>
                  <w:r>
                    <w:rPr>
                      <w:rFonts w:hint="eastAsia" w:cs="Times New Roman"/>
                      <w:color w:val="auto"/>
                      <w:sz w:val="21"/>
                      <w:szCs w:val="21"/>
                      <w:highlight w:val="none"/>
                      <w:u w:val="none"/>
                      <w:lang w:val="en-US" w:eastAsia="zh-CN"/>
                    </w:rPr>
                    <w:t>2.759</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62" w:firstLineChars="200"/>
              <w:jc w:val="left"/>
              <w:textAlignment w:val="auto"/>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正常工况下，项目大气污染物年排放量核算表见表</w:t>
            </w:r>
            <w:r>
              <w:rPr>
                <w:rFonts w:hint="eastAsia" w:ascii="Times New Roman" w:hAnsi="Times New Roman" w:cs="Times New Roman"/>
                <w:color w:val="auto"/>
                <w:sz w:val="24"/>
                <w:highlight w:val="none"/>
                <w:u w:val="none"/>
                <w:lang w:val="en-US" w:eastAsia="zh-CN"/>
              </w:rPr>
              <w:t>7-</w:t>
            </w:r>
            <w:r>
              <w:rPr>
                <w:rFonts w:hint="eastAsia" w:cs="Times New Roman"/>
                <w:color w:val="auto"/>
                <w:sz w:val="24"/>
                <w:highlight w:val="none"/>
                <w:u w:val="none"/>
                <w:lang w:val="en-US" w:eastAsia="zh-CN"/>
              </w:rPr>
              <w:t>9</w:t>
            </w:r>
            <w:r>
              <w:rPr>
                <w:rFonts w:hint="default" w:ascii="Times New Roman" w:hAnsi="Times New Roman" w:cs="Times New Roman"/>
                <w:color w:val="auto"/>
                <w:sz w:val="24"/>
                <w:highlight w:val="none"/>
                <w:u w:val="none"/>
              </w:rPr>
              <w:t>。</w:t>
            </w:r>
          </w:p>
          <w:p>
            <w:pPr>
              <w:pStyle w:val="7"/>
              <w:ind w:firstLine="402" w:firstLineChars="200"/>
              <w:rPr>
                <w:rFonts w:hint="default" w:ascii="Times New Roman" w:hAnsi="Times New Roman" w:cs="Times New Roman"/>
                <w:color w:val="auto"/>
                <w:sz w:val="21"/>
                <w:highlight w:val="none"/>
                <w:u w:val="none"/>
              </w:rPr>
            </w:pPr>
            <w:r>
              <w:rPr>
                <w:rFonts w:hint="default" w:ascii="Times New Roman" w:hAnsi="Times New Roman" w:cs="Times New Roman"/>
                <w:color w:val="auto"/>
                <w:sz w:val="21"/>
                <w:highlight w:val="none"/>
                <w:u w:val="none"/>
              </w:rPr>
              <w:t>表</w:t>
            </w:r>
            <w:r>
              <w:rPr>
                <w:rFonts w:hint="eastAsia" w:ascii="Times New Roman" w:hAnsi="Times New Roman" w:cs="Times New Roman"/>
                <w:color w:val="auto"/>
                <w:sz w:val="21"/>
                <w:highlight w:val="none"/>
                <w:u w:val="none"/>
                <w:lang w:val="en-US" w:eastAsia="zh-CN"/>
              </w:rPr>
              <w:t>7-</w:t>
            </w:r>
            <w:r>
              <w:rPr>
                <w:rFonts w:hint="eastAsia" w:cs="Times New Roman"/>
                <w:color w:val="auto"/>
                <w:sz w:val="21"/>
                <w:highlight w:val="none"/>
                <w:u w:val="none"/>
                <w:lang w:val="en-US" w:eastAsia="zh-CN"/>
              </w:rPr>
              <w:t>9</w:t>
            </w:r>
            <w:r>
              <w:rPr>
                <w:rFonts w:hint="default" w:ascii="Times New Roman" w:hAnsi="Times New Roman" w:cs="Times New Roman"/>
                <w:color w:val="auto"/>
                <w:sz w:val="21"/>
                <w:highlight w:val="none"/>
                <w:u w:val="none"/>
              </w:rPr>
              <w:tab/>
            </w:r>
            <w:r>
              <w:rPr>
                <w:rFonts w:hint="default" w:ascii="Times New Roman" w:hAnsi="Times New Roman" w:cs="Times New Roman"/>
                <w:color w:val="auto"/>
                <w:sz w:val="21"/>
                <w:highlight w:val="none"/>
                <w:u w:val="none"/>
              </w:rPr>
              <w:t>大气污染物年排放量核算表</w:t>
            </w:r>
          </w:p>
          <w:tbl>
            <w:tblPr>
              <w:tblStyle w:val="27"/>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3477"/>
              <w:gridCol w:w="289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4" w:type="dxa"/>
                  <w:noWrap w:val="0"/>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序号</w:t>
                  </w:r>
                </w:p>
              </w:tc>
              <w:tc>
                <w:tcPr>
                  <w:tcW w:w="3477" w:type="dxa"/>
                  <w:noWrap w:val="0"/>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污染物</w:t>
                  </w:r>
                </w:p>
              </w:tc>
              <w:tc>
                <w:tcPr>
                  <w:tcW w:w="2899" w:type="dxa"/>
                  <w:noWrap w:val="0"/>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年排放量</w:t>
                  </w:r>
                  <w:r>
                    <w:rPr>
                      <w:rFonts w:hint="default" w:ascii="Times New Roman" w:hAnsi="Times New Roman" w:eastAsia="Times New Roman" w:cs="Times New Roman"/>
                      <w:color w:val="auto"/>
                      <w:szCs w:val="21"/>
                      <w:highlight w:val="none"/>
                      <w:u w:val="none"/>
                    </w:rPr>
                    <w:t>/</w:t>
                  </w:r>
                  <w:r>
                    <w:rPr>
                      <w:rFonts w:hint="default" w:ascii="Times New Roman" w:hAnsi="Times New Roman" w:cs="Times New Roman"/>
                      <w:color w:val="auto"/>
                      <w:szCs w:val="21"/>
                      <w:highlight w:val="none"/>
                      <w:u w:val="none"/>
                    </w:rPr>
                    <w:t>（</w:t>
                  </w:r>
                  <w:r>
                    <w:rPr>
                      <w:rFonts w:hint="eastAsia" w:ascii="Times New Roman" w:hAnsi="Times New Roman" w:cs="Times New Roman"/>
                      <w:color w:val="auto"/>
                      <w:szCs w:val="21"/>
                      <w:highlight w:val="none"/>
                      <w:u w:val="none"/>
                      <w:lang w:val="en-US" w:eastAsia="zh-CN"/>
                    </w:rPr>
                    <w:t>k</w:t>
                  </w:r>
                  <w:r>
                    <w:rPr>
                      <w:rFonts w:hint="default" w:ascii="Times New Roman" w:hAnsi="Times New Roman" w:eastAsia="Times New Roman" w:cs="Times New Roman"/>
                      <w:color w:val="auto"/>
                      <w:szCs w:val="21"/>
                      <w:highlight w:val="none"/>
                      <w:u w:val="none"/>
                    </w:rPr>
                    <w:t>/a</w:t>
                  </w:r>
                  <w:r>
                    <w:rPr>
                      <w:rFonts w:hint="default" w:ascii="Times New Roman" w:hAnsi="Times New Roman" w:cs="Times New Roman"/>
                      <w:color w:val="auto"/>
                      <w:szCs w:val="21"/>
                      <w:highlight w:val="none"/>
                      <w:u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4" w:type="dxa"/>
                  <w:noWrap w:val="0"/>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1</w:t>
                  </w:r>
                </w:p>
              </w:tc>
              <w:tc>
                <w:tcPr>
                  <w:tcW w:w="3477" w:type="dxa"/>
                  <w:noWrap w:val="0"/>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highlight w:val="none"/>
                      <w:u w:val="none"/>
                      <w:vertAlign w:val="subscript"/>
                      <w:lang w:val="en-US"/>
                    </w:rPr>
                  </w:pPr>
                  <w:r>
                    <w:rPr>
                      <w:rFonts w:hint="default" w:ascii="Times New Roman" w:hAnsi="Times New Roman" w:cs="Times New Roman"/>
                      <w:color w:val="auto"/>
                      <w:szCs w:val="21"/>
                      <w:highlight w:val="none"/>
                      <w:u w:val="none"/>
                    </w:rPr>
                    <w:t>NH</w:t>
                  </w:r>
                  <w:r>
                    <w:rPr>
                      <w:rFonts w:hint="default" w:ascii="Times New Roman" w:hAnsi="Times New Roman" w:cs="Times New Roman"/>
                      <w:color w:val="auto"/>
                      <w:szCs w:val="21"/>
                      <w:highlight w:val="none"/>
                      <w:u w:val="none"/>
                      <w:vertAlign w:val="subscript"/>
                    </w:rPr>
                    <w:t>3</w:t>
                  </w:r>
                </w:p>
              </w:tc>
              <w:tc>
                <w:tcPr>
                  <w:tcW w:w="289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rightChars="0"/>
                    <w:jc w:val="center"/>
                    <w:textAlignment w:val="center"/>
                    <w:rPr>
                      <w:rFonts w:hint="default" w:ascii="Times New Roman" w:hAnsi="Times New Roman" w:cs="Times New Roman"/>
                      <w:color w:val="auto"/>
                      <w:szCs w:val="21"/>
                      <w:highlight w:val="none"/>
                      <w:u w:val="none"/>
                      <w:lang w:val="en-US"/>
                    </w:rPr>
                  </w:pPr>
                  <w:r>
                    <w:rPr>
                      <w:rFonts w:hint="eastAsia" w:cs="Times New Roman"/>
                      <w:color w:val="auto"/>
                      <w:sz w:val="21"/>
                      <w:szCs w:val="21"/>
                      <w:highlight w:val="none"/>
                      <w:u w:val="none"/>
                      <w:lang w:val="en-US" w:eastAsia="zh-CN"/>
                    </w:rPr>
                    <w:t>71.285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4" w:type="dxa"/>
                  <w:noWrap w:val="0"/>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highlight w:val="none"/>
                      <w:u w:val="none"/>
                      <w:lang w:val="en-US"/>
                    </w:rPr>
                  </w:pPr>
                  <w:r>
                    <w:rPr>
                      <w:rFonts w:hint="default" w:ascii="Times New Roman" w:hAnsi="Times New Roman" w:cs="Times New Roman"/>
                      <w:color w:val="auto"/>
                      <w:szCs w:val="21"/>
                      <w:highlight w:val="none"/>
                      <w:u w:val="none"/>
                      <w:lang w:val="en-US"/>
                    </w:rPr>
                    <w:t>2</w:t>
                  </w:r>
                </w:p>
              </w:tc>
              <w:tc>
                <w:tcPr>
                  <w:tcW w:w="3477" w:type="dxa"/>
                  <w:noWrap w:val="0"/>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H</w:t>
                  </w:r>
                  <w:r>
                    <w:rPr>
                      <w:rFonts w:hint="default" w:ascii="Times New Roman" w:hAnsi="Times New Roman" w:cs="Times New Roman"/>
                      <w:color w:val="auto"/>
                      <w:szCs w:val="21"/>
                      <w:highlight w:val="none"/>
                      <w:u w:val="none"/>
                      <w:vertAlign w:val="subscript"/>
                    </w:rPr>
                    <w:t>2</w:t>
                  </w:r>
                  <w:r>
                    <w:rPr>
                      <w:rFonts w:hint="default" w:ascii="Times New Roman" w:hAnsi="Times New Roman" w:cs="Times New Roman"/>
                      <w:color w:val="auto"/>
                      <w:szCs w:val="21"/>
                      <w:highlight w:val="none"/>
                      <w:u w:val="none"/>
                    </w:rPr>
                    <w:t>S</w:t>
                  </w:r>
                </w:p>
              </w:tc>
              <w:tc>
                <w:tcPr>
                  <w:tcW w:w="289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rightChars="0"/>
                    <w:jc w:val="center"/>
                    <w:textAlignment w:val="center"/>
                    <w:rPr>
                      <w:rFonts w:hint="default" w:ascii="Times New Roman" w:hAnsi="Times New Roman" w:cs="Times New Roman"/>
                      <w:color w:val="auto"/>
                      <w:szCs w:val="21"/>
                      <w:highlight w:val="none"/>
                      <w:u w:val="none"/>
                      <w:lang w:val="en-US"/>
                    </w:rPr>
                  </w:pPr>
                  <w:r>
                    <w:rPr>
                      <w:rFonts w:hint="eastAsia" w:cs="Times New Roman"/>
                      <w:color w:val="auto"/>
                      <w:sz w:val="21"/>
                      <w:szCs w:val="21"/>
                      <w:highlight w:val="none"/>
                      <w:u w:val="none"/>
                      <w:lang w:val="en-US" w:eastAsia="zh-CN"/>
                    </w:rPr>
                    <w:t>2.759</w:t>
                  </w:r>
                </w:p>
              </w:tc>
            </w:tr>
          </w:tbl>
          <w:p>
            <w:pPr>
              <w:pStyle w:val="25"/>
              <w:spacing w:beforeLines="0" w:line="360" w:lineRule="auto"/>
              <w:ind w:firstLine="460"/>
              <w:rPr>
                <w:rFonts w:ascii="Times New Roman" w:hAnsi="Times New Roman" w:eastAsia="宋体" w:cs="Times New Roman"/>
                <w:color w:val="auto"/>
                <w:szCs w:val="22"/>
                <w:u w:val="none"/>
              </w:rPr>
            </w:pPr>
            <w:r>
              <w:rPr>
                <w:rFonts w:hint="eastAsia" w:ascii="Times New Roman" w:hAnsi="Times New Roman" w:eastAsia="宋体" w:cs="Times New Roman"/>
                <w:color w:val="auto"/>
                <w:szCs w:val="22"/>
                <w:u w:val="none"/>
              </w:rPr>
              <w:t>（</w:t>
            </w:r>
            <w:r>
              <w:rPr>
                <w:rFonts w:hint="eastAsia" w:cs="Times New Roman"/>
                <w:color w:val="auto"/>
                <w:szCs w:val="22"/>
                <w:u w:val="none"/>
                <w:lang w:val="en-US" w:eastAsia="zh-CN"/>
              </w:rPr>
              <w:t>3</w:t>
            </w:r>
            <w:r>
              <w:rPr>
                <w:rFonts w:hint="eastAsia" w:ascii="Times New Roman" w:hAnsi="Times New Roman" w:eastAsia="宋体" w:cs="Times New Roman"/>
                <w:color w:val="auto"/>
                <w:szCs w:val="22"/>
                <w:u w:val="none"/>
              </w:rPr>
              <w:t>）大气防护距离计算</w:t>
            </w:r>
          </w:p>
          <w:p>
            <w:pPr>
              <w:pStyle w:val="25"/>
              <w:spacing w:beforeLines="0"/>
              <w:ind w:firstLine="460"/>
              <w:rPr>
                <w:rFonts w:hint="default"/>
                <w:color w:val="auto"/>
                <w:u w:val="none"/>
              </w:rPr>
            </w:pPr>
            <w:r>
              <w:rPr>
                <w:rFonts w:hint="default"/>
                <w:color w:val="auto"/>
                <w:u w:val="none"/>
              </w:rPr>
              <w:t>根据《环境影响评价技术导则-大气环境》</w:t>
            </w:r>
            <w:r>
              <w:rPr>
                <w:rFonts w:hint="default"/>
                <w:color w:val="auto"/>
                <w:u w:val="none"/>
                <w:lang w:eastAsia="zh-CN"/>
              </w:rPr>
              <w:t>（HJ2.2-2018）</w:t>
            </w:r>
            <w:r>
              <w:rPr>
                <w:rFonts w:hint="default"/>
                <w:color w:val="auto"/>
                <w:u w:val="none"/>
                <w:lang w:val="en-US" w:eastAsia="zh-CN"/>
              </w:rPr>
              <w:t>中8.7.5大气环境防护距离相关内容</w:t>
            </w:r>
            <w:r>
              <w:rPr>
                <w:rFonts w:hint="default"/>
                <w:color w:val="auto"/>
                <w:u w:val="none"/>
              </w:rPr>
              <w:t>，</w:t>
            </w:r>
            <w:r>
              <w:rPr>
                <w:rFonts w:hint="default"/>
                <w:color w:val="auto"/>
                <w:u w:val="none"/>
                <w:lang w:val="en-US" w:eastAsia="zh-CN"/>
              </w:rPr>
              <w:t>本项目生产工段区域根据上述估算模型运算，生产工段区域所影响的项目区域厂界浓度满足大气污染物厂界浓度限值，且厂界外大气污染物短期贡献浓度亦未超过环境质量浓度限值，可保证项目区域外污染物贡献浓度满足环境质量标准，故不需设置大气防护距离</w:t>
            </w:r>
            <w:r>
              <w:rPr>
                <w:rFonts w:hint="default"/>
                <w:color w:val="auto"/>
                <w:u w:val="none"/>
              </w:rPr>
              <w:t>。</w:t>
            </w:r>
          </w:p>
          <w:p>
            <w:pPr>
              <w:pStyle w:val="25"/>
              <w:spacing w:beforeLines="0"/>
              <w:ind w:firstLine="460"/>
              <w:rPr>
                <w:color w:val="auto"/>
                <w:u w:val="none"/>
              </w:rPr>
            </w:pPr>
            <w:r>
              <w:rPr>
                <w:rFonts w:hint="eastAsia"/>
                <w:color w:val="auto"/>
                <w:u w:val="none"/>
                <w:lang w:eastAsia="zh-CN"/>
              </w:rPr>
              <w:t>（</w:t>
            </w:r>
            <w:r>
              <w:rPr>
                <w:rFonts w:hint="eastAsia"/>
                <w:color w:val="auto"/>
                <w:u w:val="none"/>
                <w:lang w:val="en-US" w:eastAsia="zh-CN"/>
              </w:rPr>
              <w:t>4</w:t>
            </w:r>
            <w:r>
              <w:rPr>
                <w:rFonts w:hint="eastAsia"/>
                <w:color w:val="auto"/>
                <w:u w:val="none"/>
                <w:lang w:eastAsia="zh-CN"/>
              </w:rPr>
              <w:t>）</w:t>
            </w:r>
            <w:r>
              <w:rPr>
                <w:rFonts w:hint="eastAsia"/>
                <w:color w:val="auto"/>
                <w:u w:val="none"/>
              </w:rPr>
              <w:t>卫生</w:t>
            </w:r>
            <w:r>
              <w:rPr>
                <w:rFonts w:hint="eastAsia" w:ascii="Times New Roman" w:hAnsi="Times New Roman" w:eastAsia="宋体" w:cs="Times New Roman"/>
                <w:color w:val="auto"/>
                <w:szCs w:val="22"/>
                <w:u w:val="none"/>
              </w:rPr>
              <w:t>防护</w:t>
            </w:r>
            <w:r>
              <w:rPr>
                <w:rFonts w:hint="eastAsia"/>
                <w:color w:val="auto"/>
                <w:u w:val="none"/>
              </w:rPr>
              <w:t>距离的计算</w:t>
            </w:r>
          </w:p>
          <w:p>
            <w:pPr>
              <w:pStyle w:val="26"/>
              <w:adjustRightInd w:val="0"/>
              <w:snapToGrid w:val="0"/>
              <w:spacing w:after="0" w:line="360" w:lineRule="auto"/>
              <w:ind w:left="0" w:leftChars="0" w:firstLine="460"/>
              <w:rPr>
                <w:color w:val="auto"/>
                <w:sz w:val="24"/>
                <w:u w:val="none"/>
              </w:rPr>
            </w:pPr>
            <w:r>
              <w:rPr>
                <w:color w:val="auto"/>
                <w:sz w:val="24"/>
                <w:u w:val="none"/>
              </w:rPr>
              <w:t>根据《制定地方大气污染物排放标准的技术方法》（GB/T13201-91）的有关规定，本项目要确定无组织排放源的卫生防护距离，可由下式计算：</w:t>
            </w:r>
          </w:p>
          <w:p>
            <w:pPr>
              <w:pStyle w:val="26"/>
              <w:adjustRightInd w:val="0"/>
              <w:snapToGrid w:val="0"/>
              <w:spacing w:after="0" w:line="360" w:lineRule="auto"/>
              <w:ind w:left="0" w:leftChars="0" w:firstLine="0" w:firstLineChars="0"/>
              <w:jc w:val="center"/>
              <w:rPr>
                <w:color w:val="auto"/>
                <w:sz w:val="24"/>
                <w:u w:val="none"/>
              </w:rPr>
            </w:pPr>
            <w:r>
              <w:rPr>
                <w:color w:val="auto"/>
                <w:sz w:val="24"/>
                <w:u w:val="none"/>
              </w:rPr>
              <w:drawing>
                <wp:inline distT="0" distB="0" distL="114300" distR="114300">
                  <wp:extent cx="2574290" cy="423545"/>
                  <wp:effectExtent l="0" t="0" r="0" b="1524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3" cstate="print"/>
                          <a:stretch>
                            <a:fillRect/>
                          </a:stretch>
                        </pic:blipFill>
                        <pic:spPr>
                          <a:xfrm>
                            <a:off x="0" y="0"/>
                            <a:ext cx="2574290" cy="4235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ascii="Times New Roman" w:hAnsi="Times New Roman" w:eastAsia="宋体" w:cs="Times New Roman"/>
                <w:color w:val="auto"/>
                <w:sz w:val="24"/>
                <w:highlight w:val="none"/>
                <w:u w:val="none"/>
                <w:lang w:eastAsia="zh-CN"/>
              </w:rPr>
            </w:pPr>
            <w:r>
              <w:rPr>
                <w:rFonts w:eastAsia="宋体" w:cs="Times New Roman"/>
                <w:color w:val="auto"/>
                <w:sz w:val="24"/>
                <w:szCs w:val="24"/>
                <w:u w:val="none"/>
              </w:rPr>
              <w:t>式中：</w:t>
            </w:r>
            <w:r>
              <w:rPr>
                <w:rFonts w:hint="default" w:ascii="Times New Roman" w:hAnsi="Times New Roman" w:cs="Times New Roman"/>
                <w:color w:val="auto"/>
                <w:sz w:val="24"/>
                <w:highlight w:val="none"/>
                <w:u w:val="none"/>
              </w:rPr>
              <w:t>C</w:t>
            </w:r>
            <w:r>
              <w:rPr>
                <w:rFonts w:hint="default" w:ascii="Times New Roman" w:hAnsi="Times New Roman" w:cs="Times New Roman"/>
                <w:color w:val="auto"/>
                <w:sz w:val="24"/>
                <w:highlight w:val="none"/>
                <w:u w:val="none"/>
                <w:vertAlign w:val="subscript"/>
              </w:rPr>
              <w:t>m</w:t>
            </w:r>
            <w:r>
              <w:rPr>
                <w:rFonts w:hint="default" w:ascii="Times New Roman" w:hAnsi="Times New Roman" w:cs="Times New Roman"/>
                <w:color w:val="auto"/>
                <w:sz w:val="24"/>
                <w:highlight w:val="none"/>
                <w:u w:val="none"/>
              </w:rPr>
              <w:t>—标准浓度限值，mg/Nm</w:t>
            </w:r>
            <w:r>
              <w:rPr>
                <w:rFonts w:hint="default" w:ascii="Times New Roman" w:hAnsi="Times New Roman" w:cs="Times New Roman"/>
                <w:color w:val="auto"/>
                <w:sz w:val="24"/>
                <w:highlight w:val="none"/>
                <w:u w:val="none"/>
                <w:vertAlign w:val="superscript"/>
              </w:rPr>
              <w:t>3</w:t>
            </w:r>
            <w:r>
              <w:rPr>
                <w:rFonts w:hint="default" w:ascii="Times New Roman" w:hAnsi="Times New Roman" w:cs="Times New Roman"/>
                <w:color w:val="auto"/>
                <w:sz w:val="24"/>
                <w:highlight w:val="none"/>
                <w:u w:val="none"/>
              </w:rPr>
              <w:t>，取值分别为NH</w:t>
            </w:r>
            <w:r>
              <w:rPr>
                <w:rFonts w:hint="default" w:ascii="Times New Roman" w:hAnsi="Times New Roman" w:cs="Times New Roman"/>
                <w:color w:val="auto"/>
                <w:sz w:val="24"/>
                <w:highlight w:val="none"/>
                <w:u w:val="none"/>
                <w:vertAlign w:val="subscript"/>
              </w:rPr>
              <w:t>3</w:t>
            </w:r>
            <w:r>
              <w:rPr>
                <w:rFonts w:hint="default" w:ascii="Times New Roman" w:hAnsi="Times New Roman" w:cs="Times New Roman"/>
                <w:color w:val="auto"/>
                <w:sz w:val="24"/>
                <w:highlight w:val="none"/>
                <w:u w:val="none"/>
              </w:rPr>
              <w:t>为0.2，H</w:t>
            </w:r>
            <w:r>
              <w:rPr>
                <w:rFonts w:hint="default" w:ascii="Times New Roman" w:hAnsi="Times New Roman" w:cs="Times New Roman"/>
                <w:color w:val="auto"/>
                <w:sz w:val="24"/>
                <w:highlight w:val="none"/>
                <w:u w:val="none"/>
                <w:vertAlign w:val="subscript"/>
              </w:rPr>
              <w:t>2</w:t>
            </w:r>
            <w:r>
              <w:rPr>
                <w:rFonts w:hint="default" w:ascii="Times New Roman" w:hAnsi="Times New Roman" w:cs="Times New Roman"/>
                <w:color w:val="auto"/>
                <w:sz w:val="24"/>
                <w:highlight w:val="none"/>
                <w:u w:val="none"/>
              </w:rPr>
              <w:t>S为0.01（</w:t>
            </w:r>
            <w:r>
              <w:rPr>
                <w:rFonts w:hint="eastAsia" w:ascii="Times New Roman" w:hAnsi="Times New Roman" w:cs="Times New Roman"/>
                <w:color w:val="auto"/>
                <w:sz w:val="24"/>
                <w:highlight w:val="none"/>
                <w:u w:val="none"/>
                <w:lang w:eastAsia="zh-CN"/>
              </w:rPr>
              <w:t>参照</w:t>
            </w:r>
            <w:r>
              <w:rPr>
                <w:rFonts w:hint="default" w:ascii="Times New Roman" w:hAnsi="Times New Roman" w:cs="Times New Roman"/>
                <w:color w:val="auto"/>
                <w:spacing w:val="-3"/>
                <w:sz w:val="24"/>
                <w:u w:val="none"/>
              </w:rPr>
              <w:t>《环境影响评价技术导则 大气环境》（HJ 2.2-2018）附录表D.1中的相关标准限值</w:t>
            </w:r>
            <w:r>
              <w:rPr>
                <w:rFonts w:hint="eastAsia" w:ascii="Times New Roman" w:hAnsi="Times New Roman" w:cs="Times New Roman"/>
                <w:color w:val="auto"/>
                <w:spacing w:val="-3"/>
                <w:sz w:val="24"/>
                <w:u w:val="none"/>
                <w:lang w:eastAsia="zh-CN"/>
              </w:rPr>
              <w:t>）</w:t>
            </w:r>
            <w:r>
              <w:rPr>
                <w:rFonts w:hint="eastAsia" w:ascii="Times New Roman" w:hAnsi="Times New Roman" w:cs="Times New Roman"/>
                <w:color w:val="auto"/>
                <w:sz w:val="24"/>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1155" w:firstLineChars="500"/>
              <w:textAlignment w:val="auto"/>
              <w:rPr>
                <w:rFonts w:hint="eastAsia" w:ascii="Times New Roman" w:hAnsi="Times New Roman" w:eastAsia="宋体" w:cs="Times New Roman"/>
                <w:color w:val="auto"/>
                <w:sz w:val="24"/>
                <w:highlight w:val="none"/>
                <w:u w:val="none"/>
                <w:lang w:eastAsia="zh-CN"/>
              </w:rPr>
            </w:pPr>
            <w:r>
              <w:rPr>
                <w:rFonts w:hint="default" w:ascii="Times New Roman" w:hAnsi="Times New Roman" w:cs="Times New Roman"/>
                <w:color w:val="auto"/>
                <w:sz w:val="24"/>
                <w:highlight w:val="none"/>
                <w:u w:val="none"/>
              </w:rPr>
              <w:t>Q</w:t>
            </w:r>
            <w:r>
              <w:rPr>
                <w:rFonts w:hint="default" w:ascii="Times New Roman" w:hAnsi="Times New Roman" w:cs="Times New Roman"/>
                <w:color w:val="auto"/>
                <w:sz w:val="24"/>
                <w:highlight w:val="none"/>
                <w:u w:val="none"/>
                <w:vertAlign w:val="subscript"/>
              </w:rPr>
              <w:t>c</w:t>
            </w:r>
            <w:r>
              <w:rPr>
                <w:rFonts w:hint="default" w:ascii="Times New Roman" w:hAnsi="Times New Roman" w:cs="Times New Roman"/>
                <w:color w:val="auto"/>
                <w:sz w:val="24"/>
                <w:highlight w:val="none"/>
                <w:u w:val="none"/>
              </w:rPr>
              <w:t>—工业企业有害气体无组织排放量可以达到的控制水平，kg/h</w:t>
            </w:r>
            <w:r>
              <w:rPr>
                <w:rFonts w:hint="eastAsia" w:ascii="Times New Roman" w:hAnsi="Times New Roman" w:cs="Times New Roman"/>
                <w:color w:val="auto"/>
                <w:sz w:val="24"/>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1155" w:firstLineChars="500"/>
              <w:textAlignment w:val="auto"/>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rPr>
              <w:t>L—工业企业所需卫生防护距离，m；</w:t>
            </w:r>
          </w:p>
          <w:p>
            <w:pPr>
              <w:keepNext w:val="0"/>
              <w:keepLines w:val="0"/>
              <w:pageBreakBefore w:val="0"/>
              <w:widowControl w:val="0"/>
              <w:kinsoku/>
              <w:wordWrap/>
              <w:overflowPunct/>
              <w:topLinePunct w:val="0"/>
              <w:autoSpaceDE/>
              <w:autoSpaceDN/>
              <w:bidi w:val="0"/>
              <w:adjustRightInd w:val="0"/>
              <w:snapToGrid w:val="0"/>
              <w:spacing w:line="360" w:lineRule="auto"/>
              <w:ind w:firstLine="1155" w:firstLineChars="500"/>
              <w:textAlignment w:val="auto"/>
              <w:rPr>
                <w:rFonts w:hint="eastAsia" w:ascii="Times New Roman" w:hAnsi="Times New Roman" w:eastAsia="宋体" w:cs="Times New Roman"/>
                <w:color w:val="auto"/>
                <w:sz w:val="24"/>
                <w:highlight w:val="none"/>
                <w:u w:val="none"/>
                <w:lang w:eastAsia="zh-CN"/>
              </w:rPr>
            </w:pPr>
            <w:r>
              <w:rPr>
                <w:rFonts w:hint="default" w:ascii="Times New Roman" w:hAnsi="Times New Roman" w:cs="Times New Roman"/>
                <w:color w:val="auto"/>
                <w:sz w:val="24"/>
                <w:highlight w:val="none"/>
                <w:u w:val="none"/>
              </w:rPr>
              <w:t>r —有害气体无组织排放源所在生产单元的等效半径，m。根据该生产单元占地面积S（m</w:t>
            </w:r>
            <w:r>
              <w:rPr>
                <w:rFonts w:hint="default" w:ascii="Times New Roman" w:hAnsi="Times New Roman" w:cs="Times New Roman"/>
                <w:color w:val="auto"/>
                <w:sz w:val="24"/>
                <w:highlight w:val="none"/>
                <w:u w:val="none"/>
                <w:vertAlign w:val="superscript"/>
              </w:rPr>
              <w:t>2</w:t>
            </w:r>
            <w:r>
              <w:rPr>
                <w:rFonts w:hint="default" w:ascii="Times New Roman" w:hAnsi="Times New Roman" w:cs="Times New Roman"/>
                <w:color w:val="auto"/>
                <w:sz w:val="24"/>
                <w:highlight w:val="none"/>
                <w:u w:val="none"/>
              </w:rPr>
              <w:t>）计算，r=（S/π）</w:t>
            </w:r>
            <w:r>
              <w:rPr>
                <w:rFonts w:hint="default" w:ascii="Times New Roman" w:hAnsi="Times New Roman" w:cs="Times New Roman"/>
                <w:color w:val="auto"/>
                <w:sz w:val="24"/>
                <w:highlight w:val="none"/>
                <w:u w:val="none"/>
                <w:vertAlign w:val="superscript"/>
              </w:rPr>
              <w:t>0.5</w:t>
            </w:r>
            <w:r>
              <w:rPr>
                <w:rFonts w:hint="eastAsia" w:ascii="Times New Roman" w:hAnsi="Times New Roman" w:cs="Times New Roman"/>
                <w:color w:val="auto"/>
                <w:sz w:val="24"/>
                <w:highlight w:val="none"/>
                <w:u w:val="none"/>
                <w:lang w:eastAsia="zh-CN"/>
              </w:rPr>
              <w:t>；</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1155" w:firstLineChars="500"/>
              <w:textAlignment w:val="auto"/>
              <w:rPr>
                <w:color w:val="auto"/>
                <w:sz w:val="24"/>
                <w:u w:val="none"/>
              </w:rPr>
            </w:pPr>
            <w:r>
              <w:rPr>
                <w:i/>
                <w:color w:val="auto"/>
                <w:sz w:val="24"/>
                <w:u w:val="none"/>
              </w:rPr>
              <w:t>A</w:t>
            </w:r>
            <w:r>
              <w:rPr>
                <w:color w:val="auto"/>
                <w:sz w:val="24"/>
                <w:u w:val="none"/>
              </w:rPr>
              <w:t>、</w:t>
            </w:r>
            <w:r>
              <w:rPr>
                <w:i/>
                <w:color w:val="auto"/>
                <w:sz w:val="24"/>
                <w:u w:val="none"/>
              </w:rPr>
              <w:t>B</w:t>
            </w:r>
            <w:r>
              <w:rPr>
                <w:color w:val="auto"/>
                <w:sz w:val="24"/>
                <w:u w:val="none"/>
              </w:rPr>
              <w:t>、</w:t>
            </w:r>
            <w:r>
              <w:rPr>
                <w:i/>
                <w:color w:val="auto"/>
                <w:sz w:val="24"/>
                <w:u w:val="none"/>
              </w:rPr>
              <w:t>C</w:t>
            </w:r>
            <w:r>
              <w:rPr>
                <w:color w:val="auto"/>
                <w:sz w:val="24"/>
                <w:u w:val="none"/>
              </w:rPr>
              <w:t>、</w:t>
            </w:r>
            <w:r>
              <w:rPr>
                <w:i/>
                <w:color w:val="auto"/>
                <w:sz w:val="24"/>
                <w:u w:val="none"/>
              </w:rPr>
              <w:t>D</w:t>
            </w:r>
            <w:r>
              <w:rPr>
                <w:color w:val="auto"/>
                <w:sz w:val="24"/>
                <w:u w:val="none"/>
              </w:rPr>
              <w:t>──计算系数，从GB/T13201-91中查取。</w:t>
            </w:r>
            <w:r>
              <w:rPr>
                <w:rFonts w:hint="eastAsia"/>
                <w:color w:val="auto"/>
                <w:sz w:val="24"/>
                <w:u w:val="none"/>
                <w:lang w:val="en-US" w:eastAsia="zh-CN"/>
              </w:rPr>
              <w:t>根据项目所在地所在地区近五年平均风速及工业企业大气污染源构成类别确定；</w:t>
            </w:r>
            <w:r>
              <w:rPr>
                <w:rFonts w:hint="default"/>
                <w:color w:val="auto"/>
                <w:sz w:val="24"/>
                <w:u w:val="none"/>
                <w:lang w:val="en-US" w:eastAsia="zh-CN"/>
              </w:rPr>
              <w:t>v=</w:t>
            </w:r>
            <w:r>
              <w:rPr>
                <w:rFonts w:hint="eastAsia"/>
                <w:color w:val="auto"/>
                <w:sz w:val="24"/>
                <w:u w:val="none"/>
                <w:lang w:val="en-US" w:eastAsia="zh-CN"/>
              </w:rPr>
              <w:t>1.8</w:t>
            </w:r>
            <w:r>
              <w:rPr>
                <w:rFonts w:hint="default"/>
                <w:color w:val="auto"/>
                <w:sz w:val="24"/>
                <w:u w:val="none"/>
                <w:lang w:val="en-US" w:eastAsia="zh-CN"/>
              </w:rPr>
              <w:t>m/s</w:t>
            </w:r>
            <w:r>
              <w:rPr>
                <w:rFonts w:hint="eastAsia"/>
                <w:color w:val="auto"/>
                <w:sz w:val="24"/>
                <w:u w:val="none"/>
                <w:lang w:val="en-US" w:eastAsia="zh-CN"/>
              </w:rPr>
              <w:t>，</w:t>
            </w:r>
            <w:r>
              <w:rPr>
                <w:rFonts w:hint="default"/>
                <w:color w:val="auto"/>
                <w:sz w:val="24"/>
                <w:u w:val="none"/>
                <w:lang w:val="en-US" w:eastAsia="zh-CN"/>
              </w:rPr>
              <w:t>L≤ 1000m</w:t>
            </w:r>
            <w:r>
              <w:rPr>
                <w:rFonts w:hint="eastAsia"/>
                <w:color w:val="auto"/>
                <w:sz w:val="24"/>
                <w:u w:val="none"/>
                <w:lang w:val="en-US" w:eastAsia="zh-CN"/>
              </w:rPr>
              <w:t xml:space="preserve">，工业企业大气污染源构成类型为Ⅲ类，取值 </w:t>
            </w:r>
            <w:r>
              <w:rPr>
                <w:rFonts w:hint="default"/>
                <w:color w:val="auto"/>
                <w:sz w:val="24"/>
                <w:u w:val="none"/>
                <w:lang w:val="en-US" w:eastAsia="zh-CN"/>
              </w:rPr>
              <w:t>A=</w:t>
            </w:r>
            <w:r>
              <w:rPr>
                <w:rFonts w:hint="eastAsia"/>
                <w:color w:val="auto"/>
                <w:sz w:val="24"/>
                <w:u w:val="none"/>
                <w:lang w:val="en-US" w:eastAsia="zh-CN"/>
              </w:rPr>
              <w:t>400，</w:t>
            </w:r>
            <w:r>
              <w:rPr>
                <w:rFonts w:hint="default"/>
                <w:color w:val="auto"/>
                <w:sz w:val="24"/>
                <w:u w:val="none"/>
                <w:lang w:val="en-US" w:eastAsia="zh-CN"/>
              </w:rPr>
              <w:t>B=</w:t>
            </w:r>
            <w:r>
              <w:rPr>
                <w:rFonts w:hint="eastAsia"/>
                <w:color w:val="auto"/>
                <w:sz w:val="24"/>
                <w:u w:val="none"/>
                <w:lang w:val="en-US" w:eastAsia="zh-CN"/>
              </w:rPr>
              <w:t>0.01，</w:t>
            </w:r>
            <w:r>
              <w:rPr>
                <w:rFonts w:hint="default"/>
                <w:color w:val="auto"/>
                <w:sz w:val="24"/>
                <w:u w:val="none"/>
                <w:lang w:val="en-US" w:eastAsia="zh-CN"/>
              </w:rPr>
              <w:t>C=1.85</w:t>
            </w:r>
            <w:r>
              <w:rPr>
                <w:rFonts w:hint="eastAsia"/>
                <w:color w:val="auto"/>
                <w:sz w:val="24"/>
                <w:u w:val="none"/>
                <w:lang w:val="en-US" w:eastAsia="zh-CN"/>
              </w:rPr>
              <w:t>，</w:t>
            </w:r>
            <w:r>
              <w:rPr>
                <w:rFonts w:hint="default"/>
                <w:color w:val="auto"/>
                <w:sz w:val="24"/>
                <w:u w:val="none"/>
                <w:lang w:val="en-US" w:eastAsia="zh-CN"/>
              </w:rPr>
              <w:t>D=0.</w:t>
            </w:r>
            <w:r>
              <w:rPr>
                <w:rFonts w:hint="eastAsia"/>
                <w:color w:val="auto"/>
                <w:sz w:val="24"/>
                <w:u w:val="none"/>
                <w:lang w:val="en-US" w:eastAsia="zh-CN"/>
              </w:rPr>
              <w:t xml:space="preserve">78。 </w:t>
            </w:r>
          </w:p>
          <w:p>
            <w:pPr>
              <w:pStyle w:val="25"/>
              <w:spacing w:beforeLines="0"/>
              <w:ind w:firstLine="460"/>
              <w:rPr>
                <w:color w:val="auto"/>
                <w:szCs w:val="24"/>
                <w:u w:val="none"/>
              </w:rPr>
            </w:pPr>
            <w:r>
              <w:rPr>
                <w:rFonts w:hint="eastAsia"/>
                <w:color w:val="auto"/>
                <w:u w:val="none"/>
                <w:lang w:eastAsia="zh-CN"/>
              </w:rPr>
              <w:t>污染物排放参数见上表</w:t>
            </w:r>
            <w:r>
              <w:rPr>
                <w:rFonts w:hint="eastAsia"/>
                <w:color w:val="auto"/>
                <w:u w:val="none"/>
                <w:lang w:val="en-US" w:eastAsia="zh-CN"/>
              </w:rPr>
              <w:t>7-6。本项目</w:t>
            </w:r>
            <w:r>
              <w:rPr>
                <w:color w:val="auto"/>
                <w:u w:val="none"/>
              </w:rPr>
              <w:t>采用Screen3Model模式进行卫生防护距离的具体计算，具体计算结果</w:t>
            </w:r>
            <w:r>
              <w:rPr>
                <w:rFonts w:hint="eastAsia"/>
                <w:color w:val="auto"/>
                <w:u w:val="none"/>
              </w:rPr>
              <w:t>如下</w:t>
            </w:r>
            <w:r>
              <w:rPr>
                <w:color w:val="auto"/>
                <w:u w:val="none"/>
              </w:rPr>
              <w:t>所示</w:t>
            </w:r>
            <w:r>
              <w:rPr>
                <w:rFonts w:hint="eastAsia"/>
                <w:color w:val="auto"/>
                <w:u w:val="none"/>
              </w:rPr>
              <w:t>：</w:t>
            </w:r>
          </w:p>
          <w:p>
            <w:pPr>
              <w:pStyle w:val="25"/>
              <w:spacing w:beforeLines="0"/>
              <w:ind w:firstLine="0" w:firstLineChars="0"/>
              <w:jc w:val="center"/>
              <w:rPr>
                <w:color w:val="auto"/>
                <w:u w:val="wave"/>
              </w:rPr>
            </w:pPr>
            <w:r>
              <w:drawing>
                <wp:inline distT="0" distB="0" distL="114300" distR="114300">
                  <wp:extent cx="5775960" cy="3898900"/>
                  <wp:effectExtent l="0" t="0" r="1524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4"/>
                          <a:stretch>
                            <a:fillRect/>
                          </a:stretch>
                        </pic:blipFill>
                        <pic:spPr>
                          <a:xfrm>
                            <a:off x="0" y="0"/>
                            <a:ext cx="5775960" cy="38989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color w:val="auto"/>
                <w:szCs w:val="21"/>
                <w:u w:val="none"/>
                <w:lang w:eastAsia="zh-CN"/>
              </w:rPr>
            </w:pPr>
            <w:r>
              <w:rPr>
                <w:rFonts w:hint="eastAsia"/>
                <w:b/>
                <w:bCs/>
                <w:color w:val="auto"/>
                <w:szCs w:val="21"/>
                <w:u w:val="none"/>
              </w:rPr>
              <w:t>图7-</w:t>
            </w:r>
            <w:r>
              <w:rPr>
                <w:rFonts w:hint="eastAsia"/>
                <w:b/>
                <w:bCs/>
                <w:color w:val="auto"/>
                <w:szCs w:val="21"/>
                <w:u w:val="none"/>
                <w:lang w:val="en-US" w:eastAsia="zh-CN"/>
              </w:rPr>
              <w:t>1</w:t>
            </w:r>
            <w:r>
              <w:rPr>
                <w:rFonts w:hint="eastAsia"/>
                <w:b/>
                <w:bCs/>
                <w:color w:val="auto"/>
                <w:szCs w:val="21"/>
                <w:u w:val="none"/>
              </w:rPr>
              <w:t xml:space="preserve">  卫生防护距离计算</w:t>
            </w:r>
            <w:r>
              <w:rPr>
                <w:rFonts w:hint="eastAsia"/>
                <w:b/>
                <w:bCs/>
                <w:color w:val="auto"/>
                <w:szCs w:val="21"/>
                <w:u w:val="none"/>
                <w:lang w:eastAsia="zh-CN"/>
              </w:rPr>
              <w:t>结果图</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60"/>
              <w:textAlignment w:val="auto"/>
              <w:rPr>
                <w:rFonts w:hint="eastAsia"/>
                <w:color w:val="auto"/>
                <w:sz w:val="24"/>
                <w:szCs w:val="24"/>
                <w:u w:val="none"/>
                <w:lang w:val="en-US" w:eastAsia="zh-CN"/>
              </w:rPr>
            </w:pPr>
            <w:r>
              <w:rPr>
                <w:color w:val="auto"/>
                <w:sz w:val="24"/>
                <w:szCs w:val="22"/>
                <w:u w:val="none"/>
              </w:rPr>
              <w:t>根据</w:t>
            </w:r>
            <w:r>
              <w:rPr>
                <w:rFonts w:hint="eastAsia"/>
                <w:color w:val="auto"/>
                <w:sz w:val="24"/>
                <w:szCs w:val="22"/>
                <w:u w:val="none"/>
                <w:lang w:eastAsia="zh-CN"/>
              </w:rPr>
              <w:t>图</w:t>
            </w:r>
            <w:r>
              <w:rPr>
                <w:rFonts w:hint="eastAsia"/>
                <w:color w:val="auto"/>
                <w:sz w:val="24"/>
                <w:szCs w:val="22"/>
                <w:u w:val="none"/>
                <w:lang w:val="en-US" w:eastAsia="zh-CN"/>
              </w:rPr>
              <w:t>7-1及《制定地方大气污染物排放标准的技术方法》（GB/T13201-91）中卫生防护距离的取值方法；1）卫生防护距离在100m以内时，级差为50m，超过100m但小于或等于1000m时，级差为100m，超过1000m以上，级差为200m，经计算本项目污水处理区整体无组织面源NH</w:t>
            </w:r>
            <w:r>
              <w:rPr>
                <w:rFonts w:hint="eastAsia"/>
                <w:color w:val="auto"/>
                <w:sz w:val="24"/>
                <w:szCs w:val="22"/>
                <w:u w:val="none"/>
                <w:vertAlign w:val="subscript"/>
                <w:lang w:val="en-US" w:eastAsia="zh-CN"/>
              </w:rPr>
              <w:t>3</w:t>
            </w:r>
            <w:r>
              <w:rPr>
                <w:rFonts w:hint="eastAsia"/>
                <w:color w:val="auto"/>
                <w:sz w:val="24"/>
                <w:szCs w:val="22"/>
                <w:u w:val="none"/>
                <w:lang w:val="en-US" w:eastAsia="zh-CN"/>
              </w:rPr>
              <w:t>、H</w:t>
            </w:r>
            <w:r>
              <w:rPr>
                <w:rFonts w:hint="eastAsia"/>
                <w:color w:val="auto"/>
                <w:sz w:val="24"/>
                <w:szCs w:val="22"/>
                <w:u w:val="none"/>
                <w:vertAlign w:val="subscript"/>
                <w:lang w:val="en-US" w:eastAsia="zh-CN"/>
              </w:rPr>
              <w:t>2</w:t>
            </w:r>
            <w:r>
              <w:rPr>
                <w:rFonts w:hint="eastAsia"/>
                <w:color w:val="auto"/>
                <w:sz w:val="24"/>
                <w:szCs w:val="22"/>
                <w:u w:val="none"/>
                <w:lang w:val="en-US" w:eastAsia="zh-CN"/>
              </w:rPr>
              <w:t>S防护距离均为50m；2）无组织排放多种有害气体的工业企业，按Qc/Cm的最大值计算其所需卫生防护距离。当两种或两种以上的有害气体的Qc/Cm值计算的卫生防护距离在同一级别时，该类工业企业的卫生防护距离级别应该高一级，因此，本项目卫生防护距离经提级后为100m。</w:t>
            </w:r>
            <w:r>
              <w:rPr>
                <w:rFonts w:hint="eastAsia"/>
                <w:color w:val="auto"/>
                <w:sz w:val="24"/>
                <w:szCs w:val="24"/>
                <w:u w:val="none"/>
              </w:rPr>
              <w:t>根据现场调查，</w:t>
            </w:r>
            <w:r>
              <w:rPr>
                <w:rFonts w:hint="default" w:ascii="Times New Roman" w:hAnsi="Times New Roman" w:cs="Times New Roman"/>
                <w:bCs/>
                <w:color w:val="auto"/>
                <w:sz w:val="24"/>
                <w:highlight w:val="none"/>
                <w:u w:val="none"/>
              </w:rPr>
              <w:t>本项目卫生防护距离范围内无居民住户敏感点。</w:t>
            </w:r>
            <w:r>
              <w:rPr>
                <w:rFonts w:hint="default" w:ascii="Times New Roman" w:hAnsi="Times New Roman" w:cs="Times New Roman"/>
                <w:color w:val="auto"/>
                <w:kern w:val="0"/>
                <w:sz w:val="24"/>
                <w:highlight w:val="none"/>
                <w:u w:val="none"/>
              </w:rPr>
              <w:t>在后期营运过程中，建议</w:t>
            </w:r>
            <w:r>
              <w:rPr>
                <w:rFonts w:hint="default" w:ascii="Times New Roman" w:hAnsi="Times New Roman" w:cs="Times New Roman"/>
                <w:color w:val="auto"/>
                <w:kern w:val="0"/>
                <w:sz w:val="24"/>
                <w:highlight w:val="none"/>
                <w:u w:val="none"/>
                <w:lang w:val="en-US" w:eastAsia="zh-CN"/>
              </w:rPr>
              <w:t>有关部门</w:t>
            </w:r>
            <w:r>
              <w:rPr>
                <w:rFonts w:hint="eastAsia" w:ascii="Times New Roman" w:hAnsi="Times New Roman" w:cs="Times New Roman"/>
                <w:color w:val="auto"/>
                <w:kern w:val="0"/>
                <w:sz w:val="24"/>
                <w:highlight w:val="none"/>
                <w:u w:val="none"/>
                <w:lang w:val="en-US" w:eastAsia="zh-CN"/>
              </w:rPr>
              <w:t>在</w:t>
            </w:r>
            <w:r>
              <w:rPr>
                <w:rFonts w:hint="default" w:ascii="Times New Roman" w:hAnsi="Times New Roman" w:cs="Times New Roman"/>
                <w:color w:val="auto"/>
                <w:kern w:val="0"/>
                <w:sz w:val="24"/>
                <w:highlight w:val="none"/>
                <w:u w:val="none"/>
                <w:lang w:val="en-US" w:eastAsia="zh-CN"/>
              </w:rPr>
              <w:t>今后村镇建设及规划过程中，对此范围内土地利用规划进行控制，禁止新建学校、医院、集中居民区等环境敏感</w:t>
            </w:r>
            <w:r>
              <w:rPr>
                <w:rFonts w:hint="default" w:ascii="Times New Roman" w:hAnsi="Times New Roman" w:cs="Times New Roman"/>
                <w:color w:val="auto"/>
                <w:kern w:val="0"/>
                <w:sz w:val="24"/>
                <w:highlight w:val="none"/>
                <w:u w:val="none"/>
              </w:rPr>
              <w:t>建筑。</w:t>
            </w:r>
          </w:p>
          <w:p>
            <w:pPr>
              <w:keepNext w:val="0"/>
              <w:keepLines w:val="0"/>
              <w:pageBreakBefore w:val="0"/>
              <w:widowControl w:val="0"/>
              <w:numPr>
                <w:ilvl w:val="0"/>
                <w:numId w:val="6"/>
              </w:numPr>
              <w:tabs>
                <w:tab w:val="left" w:pos="1021"/>
              </w:tabs>
              <w:kinsoku/>
              <w:wordWrap/>
              <w:overflowPunct/>
              <w:topLinePunct w:val="0"/>
              <w:autoSpaceDE w:val="0"/>
              <w:autoSpaceDN w:val="0"/>
              <w:bidi w:val="0"/>
              <w:adjustRightInd w:val="0"/>
              <w:snapToGrid w:val="0"/>
              <w:spacing w:line="360" w:lineRule="auto"/>
              <w:ind w:firstLine="462" w:firstLineChars="200"/>
              <w:jc w:val="both"/>
              <w:textAlignment w:val="auto"/>
              <w:rPr>
                <w:rFonts w:hint="eastAsia"/>
                <w:color w:val="auto"/>
                <w:sz w:val="24"/>
                <w:szCs w:val="24"/>
                <w:u w:val="none"/>
                <w:lang w:eastAsia="zh-CN"/>
              </w:rPr>
            </w:pPr>
            <w:r>
              <w:rPr>
                <w:rFonts w:hint="eastAsia"/>
                <w:color w:val="auto"/>
                <w:sz w:val="24"/>
                <w:szCs w:val="24"/>
                <w:u w:val="none"/>
                <w:lang w:eastAsia="zh-CN"/>
              </w:rPr>
              <w:t>大气环境影响结论</w:t>
            </w:r>
          </w:p>
          <w:p>
            <w:pPr>
              <w:keepNext w:val="0"/>
              <w:keepLines w:val="0"/>
              <w:pageBreakBefore w:val="0"/>
              <w:widowControl w:val="0"/>
              <w:tabs>
                <w:tab w:val="left" w:pos="1021"/>
              </w:tabs>
              <w:kinsoku/>
              <w:wordWrap/>
              <w:overflowPunct/>
              <w:topLinePunct w:val="0"/>
              <w:autoSpaceDE w:val="0"/>
              <w:autoSpaceDN w:val="0"/>
              <w:bidi w:val="0"/>
              <w:adjustRightInd w:val="0"/>
              <w:snapToGrid w:val="0"/>
              <w:spacing w:line="360" w:lineRule="auto"/>
              <w:ind w:firstLine="462" w:firstLineChars="200"/>
              <w:jc w:val="both"/>
              <w:textAlignment w:val="auto"/>
              <w:rPr>
                <w:color w:val="auto"/>
                <w:sz w:val="24"/>
                <w:szCs w:val="24"/>
                <w:u w:val="none"/>
              </w:rPr>
            </w:pPr>
            <w:r>
              <w:rPr>
                <w:rFonts w:hint="eastAsia"/>
                <w:color w:val="auto"/>
                <w:sz w:val="24"/>
                <w:u w:val="none"/>
              </w:rPr>
              <w:t>本项目对全厂所有需除臭的建、构筑物进行全封闭加盖处理，尽量减少臭气外溢，</w:t>
            </w:r>
            <w:r>
              <w:rPr>
                <w:rFonts w:hint="eastAsia"/>
                <w:color w:val="auto"/>
                <w:kern w:val="0"/>
                <w:sz w:val="24"/>
                <w:szCs w:val="24"/>
                <w:u w:val="none"/>
              </w:rPr>
              <w:t>同时</w:t>
            </w:r>
            <w:r>
              <w:rPr>
                <w:rFonts w:hint="eastAsia"/>
                <w:color w:val="auto"/>
                <w:kern w:val="0"/>
                <w:sz w:val="24"/>
                <w:szCs w:val="24"/>
                <w:u w:val="none"/>
                <w:lang w:eastAsia="zh-CN"/>
              </w:rPr>
              <w:t>在</w:t>
            </w:r>
            <w:r>
              <w:rPr>
                <w:rFonts w:hint="eastAsia" w:ascii="Times New Roman" w:hAnsi="Times New Roman" w:eastAsia="宋体" w:cs="Times New Roman"/>
                <w:bCs/>
                <w:color w:val="auto"/>
                <w:sz w:val="24"/>
                <w:szCs w:val="24"/>
                <w:u w:val="none"/>
              </w:rPr>
              <w:t>污水处理</w:t>
            </w:r>
            <w:r>
              <w:rPr>
                <w:rFonts w:hint="eastAsia" w:ascii="Times New Roman" w:hAnsi="Times New Roman" w:eastAsia="宋体" w:cs="Times New Roman"/>
                <w:bCs/>
                <w:color w:val="auto"/>
                <w:sz w:val="24"/>
                <w:szCs w:val="24"/>
                <w:u w:val="none"/>
                <w:lang w:eastAsia="zh-CN"/>
              </w:rPr>
              <w:t>区</w:t>
            </w:r>
            <w:r>
              <w:rPr>
                <w:rFonts w:hint="eastAsia" w:ascii="Times New Roman" w:hAnsi="Times New Roman" w:eastAsia="宋体" w:cs="Times New Roman"/>
                <w:bCs/>
                <w:color w:val="auto"/>
                <w:sz w:val="24"/>
                <w:szCs w:val="24"/>
                <w:u w:val="none"/>
              </w:rPr>
              <w:t>外围设置5m宽绿化</w:t>
            </w:r>
            <w:r>
              <w:rPr>
                <w:rFonts w:hint="eastAsia" w:ascii="Times New Roman" w:hAnsi="Times New Roman" w:cs="Times New Roman"/>
                <w:bCs/>
                <w:color w:val="auto"/>
                <w:sz w:val="24"/>
                <w:szCs w:val="24"/>
                <w:u w:val="none"/>
                <w:lang w:eastAsia="zh-CN"/>
              </w:rPr>
              <w:t>带</w:t>
            </w:r>
            <w:r>
              <w:rPr>
                <w:rFonts w:hint="eastAsia" w:cs="Times New Roman"/>
                <w:bCs/>
                <w:color w:val="auto"/>
                <w:sz w:val="24"/>
                <w:szCs w:val="24"/>
                <w:u w:val="none"/>
                <w:lang w:eastAsia="zh-CN"/>
              </w:rPr>
              <w:t>，</w:t>
            </w:r>
            <w:r>
              <w:rPr>
                <w:rFonts w:hint="eastAsia"/>
                <w:color w:val="auto"/>
                <w:kern w:val="0"/>
                <w:sz w:val="24"/>
                <w:szCs w:val="24"/>
                <w:u w:val="none"/>
                <w:lang w:eastAsia="zh-CN"/>
              </w:rPr>
              <w:t>并</w:t>
            </w:r>
            <w:r>
              <w:rPr>
                <w:rFonts w:hint="eastAsia"/>
                <w:color w:val="auto"/>
                <w:sz w:val="24"/>
                <w:u w:val="none"/>
              </w:rPr>
              <w:t>于格栅</w:t>
            </w:r>
            <w:r>
              <w:rPr>
                <w:rFonts w:hint="eastAsia"/>
                <w:color w:val="auto"/>
                <w:sz w:val="24"/>
                <w:u w:val="none"/>
                <w:lang w:eastAsia="zh-CN"/>
              </w:rPr>
              <w:t>渠、</w:t>
            </w:r>
            <w:r>
              <w:rPr>
                <w:rFonts w:hint="eastAsia"/>
                <w:color w:val="auto"/>
                <w:sz w:val="24"/>
                <w:u w:val="none"/>
              </w:rPr>
              <w:t>调节池</w:t>
            </w:r>
            <w:r>
              <w:rPr>
                <w:rFonts w:hint="eastAsia"/>
                <w:color w:val="auto"/>
                <w:sz w:val="24"/>
                <w:u w:val="none"/>
                <w:lang w:eastAsia="zh-CN"/>
              </w:rPr>
              <w:t>周</w:t>
            </w:r>
            <w:r>
              <w:rPr>
                <w:rFonts w:hint="eastAsia"/>
                <w:color w:val="auto"/>
                <w:sz w:val="24"/>
                <w:u w:val="none"/>
              </w:rPr>
              <w:t>边喷洒除臭剂</w:t>
            </w:r>
            <w:r>
              <w:rPr>
                <w:rFonts w:hint="eastAsia" w:ascii="Times New Roman" w:hAnsi="Times New Roman" w:eastAsia="宋体" w:cs="Times New Roman"/>
                <w:bCs/>
                <w:color w:val="auto"/>
                <w:sz w:val="24"/>
                <w:szCs w:val="24"/>
                <w:u w:val="none"/>
                <w:lang w:eastAsia="zh-CN"/>
              </w:rPr>
              <w:t>等措施可有效</w:t>
            </w:r>
            <w:r>
              <w:rPr>
                <w:rFonts w:hint="eastAsia"/>
                <w:color w:val="auto"/>
                <w:kern w:val="0"/>
                <w:sz w:val="24"/>
                <w:szCs w:val="24"/>
                <w:u w:val="none"/>
                <w:lang w:eastAsia="zh-CN"/>
              </w:rPr>
              <w:t>控制恶臭对周边环境的影响。</w:t>
            </w:r>
          </w:p>
          <w:p>
            <w:pPr>
              <w:keepNext w:val="0"/>
              <w:keepLines w:val="0"/>
              <w:pageBreakBefore w:val="0"/>
              <w:widowControl w:val="0"/>
              <w:kinsoku/>
              <w:wordWrap/>
              <w:overflowPunct/>
              <w:topLinePunct w:val="0"/>
              <w:bidi w:val="0"/>
              <w:adjustRightInd w:val="0"/>
              <w:snapToGrid w:val="0"/>
              <w:spacing w:line="360" w:lineRule="auto"/>
              <w:ind w:firstLine="462" w:firstLineChars="200"/>
              <w:textAlignment w:val="auto"/>
              <w:rPr>
                <w:b/>
                <w:bCs/>
                <w:color w:val="auto"/>
                <w:sz w:val="24"/>
                <w:szCs w:val="24"/>
                <w:highlight w:val="none"/>
              </w:rPr>
            </w:pPr>
            <w:r>
              <w:rPr>
                <w:rFonts w:hint="eastAsia"/>
                <w:b/>
                <w:bCs/>
                <w:color w:val="auto"/>
                <w:sz w:val="24"/>
                <w:szCs w:val="24"/>
                <w:highlight w:val="none"/>
              </w:rPr>
              <w:t xml:space="preserve">7.2.2 </w:t>
            </w:r>
            <w:r>
              <w:rPr>
                <w:b/>
                <w:bCs/>
                <w:color w:val="auto"/>
                <w:sz w:val="24"/>
                <w:szCs w:val="24"/>
                <w:highlight w:val="none"/>
              </w:rPr>
              <w:t>地表水环境影响分析</w:t>
            </w:r>
          </w:p>
          <w:p>
            <w:pPr>
              <w:keepNext w:val="0"/>
              <w:keepLines w:val="0"/>
              <w:pageBreakBefore w:val="0"/>
              <w:widowControl w:val="0"/>
              <w:kinsoku/>
              <w:wordWrap/>
              <w:overflowPunct/>
              <w:topLinePunct w:val="0"/>
              <w:bidi w:val="0"/>
              <w:adjustRightInd w:val="0"/>
              <w:snapToGrid w:val="0"/>
              <w:spacing w:line="360" w:lineRule="auto"/>
              <w:ind w:firstLine="462" w:firstLineChars="200"/>
              <w:textAlignment w:val="auto"/>
              <w:rPr>
                <w:color w:val="auto"/>
                <w:sz w:val="24"/>
                <w:szCs w:val="24"/>
                <w:u w:val="none"/>
              </w:rPr>
            </w:pPr>
            <w:r>
              <w:rPr>
                <w:rFonts w:hint="eastAsia"/>
                <w:color w:val="auto"/>
                <w:sz w:val="24"/>
                <w:szCs w:val="24"/>
                <w:u w:val="none"/>
              </w:rPr>
              <w:t>（1）评价等级</w:t>
            </w:r>
          </w:p>
          <w:p>
            <w:pPr>
              <w:keepNext w:val="0"/>
              <w:keepLines w:val="0"/>
              <w:pageBreakBefore w:val="0"/>
              <w:widowControl w:val="0"/>
              <w:kinsoku/>
              <w:wordWrap/>
              <w:overflowPunct/>
              <w:topLinePunct w:val="0"/>
              <w:bidi w:val="0"/>
              <w:adjustRightInd w:val="0"/>
              <w:snapToGrid w:val="0"/>
              <w:spacing w:line="360" w:lineRule="auto"/>
              <w:ind w:firstLine="462" w:firstLineChars="200"/>
              <w:textAlignment w:val="auto"/>
              <w:rPr>
                <w:color w:val="auto"/>
                <w:sz w:val="24"/>
                <w:szCs w:val="24"/>
                <w:u w:val="none"/>
              </w:rPr>
            </w:pPr>
            <w:r>
              <w:rPr>
                <w:rFonts w:hint="eastAsia"/>
                <w:color w:val="auto"/>
                <w:sz w:val="24"/>
                <w:szCs w:val="24"/>
                <w:u w:val="none"/>
              </w:rPr>
              <w:t>根据《环境影响评价技术导则</w:t>
            </w:r>
            <w:r>
              <w:rPr>
                <w:color w:val="auto"/>
                <w:sz w:val="24"/>
                <w:szCs w:val="24"/>
                <w:u w:val="none"/>
              </w:rPr>
              <w:t>-</w:t>
            </w:r>
            <w:r>
              <w:rPr>
                <w:rFonts w:hint="eastAsia"/>
                <w:color w:val="auto"/>
                <w:sz w:val="24"/>
                <w:szCs w:val="24"/>
                <w:u w:val="none"/>
              </w:rPr>
              <w:t>地表水环境》（</w:t>
            </w:r>
            <w:r>
              <w:rPr>
                <w:color w:val="auto"/>
                <w:sz w:val="24"/>
                <w:szCs w:val="24"/>
                <w:u w:val="none"/>
              </w:rPr>
              <w:t>HJ2.3-2018</w:t>
            </w:r>
            <w:r>
              <w:rPr>
                <w:rFonts w:hint="eastAsia"/>
                <w:color w:val="auto"/>
                <w:sz w:val="24"/>
                <w:szCs w:val="24"/>
                <w:u w:val="none"/>
              </w:rPr>
              <w:t>），本项目排放方式为直接排放，</w:t>
            </w:r>
            <w:r>
              <w:rPr>
                <w:rFonts w:hint="eastAsia"/>
                <w:color w:val="auto"/>
                <w:sz w:val="24"/>
                <w:szCs w:val="24"/>
                <w:u w:val="none"/>
                <w:lang w:eastAsia="zh-CN"/>
              </w:rPr>
              <w:t>废水</w:t>
            </w:r>
            <w:r>
              <w:rPr>
                <w:rFonts w:hint="eastAsia"/>
                <w:color w:val="auto"/>
                <w:sz w:val="24"/>
                <w:szCs w:val="24"/>
                <w:u w:val="none"/>
              </w:rPr>
              <w:t>排放量</w:t>
            </w:r>
            <w:r>
              <w:rPr>
                <w:rFonts w:hint="eastAsia"/>
                <w:color w:val="auto"/>
                <w:sz w:val="24"/>
                <w:szCs w:val="24"/>
                <w:u w:val="none"/>
                <w:lang w:eastAsia="zh-CN"/>
              </w:rPr>
              <w:t>为20000≥</w:t>
            </w:r>
            <w:r>
              <w:rPr>
                <w:rFonts w:hint="eastAsia"/>
                <w:color w:val="auto"/>
                <w:sz w:val="24"/>
                <w:szCs w:val="24"/>
                <w:u w:val="none"/>
                <w:lang w:val="en-US" w:eastAsia="zh-CN"/>
              </w:rPr>
              <w:t>Q=1</w:t>
            </w:r>
            <w:r>
              <w:rPr>
                <w:rFonts w:hint="eastAsia"/>
                <w:color w:val="auto"/>
                <w:sz w:val="24"/>
                <w:szCs w:val="24"/>
                <w:u w:val="none"/>
              </w:rPr>
              <w:t>000</w:t>
            </w:r>
            <w:r>
              <w:rPr>
                <w:color w:val="auto"/>
                <w:sz w:val="24"/>
                <w:szCs w:val="24"/>
                <w:u w:val="none"/>
              </w:rPr>
              <w:t>m</w:t>
            </w:r>
            <w:r>
              <w:rPr>
                <w:color w:val="auto"/>
                <w:sz w:val="24"/>
                <w:szCs w:val="24"/>
                <w:u w:val="none"/>
                <w:vertAlign w:val="superscript"/>
              </w:rPr>
              <w:t>3</w:t>
            </w:r>
            <w:r>
              <w:rPr>
                <w:color w:val="auto"/>
                <w:sz w:val="24"/>
                <w:szCs w:val="24"/>
                <w:u w:val="none"/>
              </w:rPr>
              <w:t>/d</w:t>
            </w:r>
            <w:r>
              <w:rPr>
                <w:rFonts w:hint="eastAsia"/>
                <w:color w:val="auto"/>
                <w:sz w:val="24"/>
                <w:szCs w:val="24"/>
                <w:u w:val="none"/>
                <w:lang w:val="en-US" w:eastAsia="zh-CN"/>
              </w:rPr>
              <w:t>＞200m</w:t>
            </w:r>
            <w:r>
              <w:rPr>
                <w:rFonts w:hint="eastAsia"/>
                <w:color w:val="auto"/>
                <w:sz w:val="24"/>
                <w:szCs w:val="24"/>
                <w:u w:val="none"/>
                <w:vertAlign w:val="superscript"/>
                <w:lang w:val="en-US" w:eastAsia="zh-CN"/>
              </w:rPr>
              <w:t>3</w:t>
            </w:r>
            <w:r>
              <w:rPr>
                <w:rFonts w:hint="eastAsia"/>
                <w:color w:val="auto"/>
                <w:sz w:val="24"/>
                <w:szCs w:val="24"/>
                <w:u w:val="none"/>
                <w:lang w:val="en-US" w:eastAsia="zh-CN"/>
              </w:rPr>
              <w:t>/d</w:t>
            </w:r>
            <w:r>
              <w:rPr>
                <w:rFonts w:hint="eastAsia"/>
                <w:color w:val="auto"/>
                <w:sz w:val="24"/>
                <w:szCs w:val="24"/>
                <w:u w:val="none"/>
              </w:rPr>
              <w:t>，本项目COD、BOD</w:t>
            </w:r>
            <w:r>
              <w:rPr>
                <w:rFonts w:hint="eastAsia"/>
                <w:color w:val="auto"/>
                <w:sz w:val="24"/>
                <w:szCs w:val="24"/>
                <w:u w:val="none"/>
                <w:vertAlign w:val="subscript"/>
              </w:rPr>
              <w:t>5</w:t>
            </w:r>
            <w:r>
              <w:rPr>
                <w:rFonts w:hint="eastAsia"/>
                <w:color w:val="auto"/>
                <w:sz w:val="24"/>
                <w:szCs w:val="24"/>
                <w:u w:val="none"/>
              </w:rPr>
              <w:t>、</w:t>
            </w:r>
            <w:r>
              <w:rPr>
                <w:bCs/>
                <w:color w:val="auto"/>
                <w:sz w:val="24"/>
                <w:szCs w:val="24"/>
                <w:u w:val="none"/>
              </w:rPr>
              <w:t>NH</w:t>
            </w:r>
            <w:r>
              <w:rPr>
                <w:bCs/>
                <w:color w:val="auto"/>
                <w:sz w:val="24"/>
                <w:szCs w:val="24"/>
                <w:u w:val="none"/>
                <w:vertAlign w:val="subscript"/>
              </w:rPr>
              <w:t>3</w:t>
            </w:r>
            <w:r>
              <w:rPr>
                <w:bCs/>
                <w:color w:val="auto"/>
                <w:sz w:val="24"/>
                <w:szCs w:val="24"/>
                <w:u w:val="none"/>
              </w:rPr>
              <w:t>-N</w:t>
            </w:r>
            <w:r>
              <w:rPr>
                <w:rFonts w:hint="eastAsia"/>
                <w:bCs/>
                <w:color w:val="auto"/>
                <w:sz w:val="24"/>
                <w:szCs w:val="24"/>
                <w:u w:val="none"/>
              </w:rPr>
              <w:t>、SS、TP的</w:t>
            </w:r>
            <w:r>
              <w:rPr>
                <w:color w:val="auto"/>
                <w:sz w:val="24"/>
                <w:szCs w:val="24"/>
                <w:u w:val="none"/>
              </w:rPr>
              <w:t>污染物当量W值</w:t>
            </w:r>
            <w:r>
              <w:rPr>
                <w:rFonts w:hint="eastAsia"/>
                <w:color w:val="auto"/>
                <w:sz w:val="24"/>
                <w:szCs w:val="24"/>
                <w:u w:val="none"/>
              </w:rPr>
              <w:t>最大值</w:t>
            </w:r>
            <w:r>
              <w:rPr>
                <w:rFonts w:hint="eastAsia"/>
                <w:color w:val="auto"/>
                <w:sz w:val="24"/>
                <w:szCs w:val="24"/>
                <w:u w:val="none"/>
                <w:lang w:eastAsia="zh-CN"/>
              </w:rPr>
              <w:t>为600000≥</w:t>
            </w:r>
            <w:r>
              <w:rPr>
                <w:rFonts w:hint="eastAsia"/>
                <w:color w:val="auto"/>
                <w:sz w:val="24"/>
                <w:szCs w:val="24"/>
                <w:u w:val="none"/>
                <w:lang w:val="en-US" w:eastAsia="zh-CN"/>
              </w:rPr>
              <w:t>21900＞6000。</w:t>
            </w:r>
            <w:r>
              <w:rPr>
                <w:rFonts w:hint="eastAsia"/>
                <w:color w:val="auto"/>
                <w:sz w:val="24"/>
                <w:szCs w:val="24"/>
                <w:u w:val="none"/>
              </w:rPr>
              <w:t>根据导则中“表</w:t>
            </w:r>
            <w:r>
              <w:rPr>
                <w:color w:val="auto"/>
                <w:sz w:val="24"/>
                <w:szCs w:val="24"/>
                <w:u w:val="none"/>
              </w:rPr>
              <w:t xml:space="preserve">1 </w:t>
            </w:r>
            <w:r>
              <w:rPr>
                <w:rFonts w:hint="eastAsia"/>
                <w:color w:val="auto"/>
                <w:sz w:val="24"/>
                <w:szCs w:val="24"/>
                <w:u w:val="none"/>
              </w:rPr>
              <w:t>水污染影响型建设项目评价等级判定”，本项目地表水环境影响评价等级为二级。</w:t>
            </w:r>
          </w:p>
          <w:p>
            <w:pPr>
              <w:jc w:val="center"/>
              <w:rPr>
                <w:b/>
                <w:bCs/>
                <w:color w:val="auto"/>
                <w:szCs w:val="21"/>
                <w:u w:val="none"/>
              </w:rPr>
            </w:pPr>
            <w:r>
              <w:rPr>
                <w:b/>
                <w:bCs/>
                <w:color w:val="auto"/>
                <w:szCs w:val="21"/>
                <w:u w:val="none"/>
              </w:rPr>
              <w:t>表</w:t>
            </w:r>
            <w:r>
              <w:rPr>
                <w:rFonts w:hint="eastAsia"/>
                <w:b/>
                <w:bCs/>
                <w:color w:val="auto"/>
                <w:szCs w:val="21"/>
                <w:u w:val="none"/>
              </w:rPr>
              <w:t>7-</w:t>
            </w:r>
            <w:r>
              <w:rPr>
                <w:rFonts w:hint="eastAsia"/>
                <w:b/>
                <w:bCs/>
                <w:color w:val="auto"/>
                <w:szCs w:val="21"/>
                <w:u w:val="none"/>
                <w:lang w:val="en-US" w:eastAsia="zh-CN"/>
              </w:rPr>
              <w:t>10</w:t>
            </w:r>
            <w:r>
              <w:rPr>
                <w:b/>
                <w:bCs/>
                <w:color w:val="auto"/>
                <w:szCs w:val="21"/>
                <w:u w:val="none"/>
              </w:rPr>
              <w:t xml:space="preserve">  水污染影响型建设项目评价等级判定</w:t>
            </w:r>
          </w:p>
          <w:tbl>
            <w:tblPr>
              <w:tblStyle w:val="28"/>
              <w:tblW w:w="90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508"/>
              <w:gridCol w:w="60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6" w:type="dxa"/>
                  <w:vMerge w:val="restart"/>
                  <w:tcBorders>
                    <w:tl2br w:val="nil"/>
                    <w:tr2bl w:val="nil"/>
                  </w:tcBorders>
                  <w:vAlign w:val="center"/>
                </w:tcPr>
                <w:p>
                  <w:pPr>
                    <w:adjustRightInd w:val="0"/>
                    <w:snapToGrid w:val="0"/>
                    <w:jc w:val="center"/>
                    <w:rPr>
                      <w:bCs/>
                      <w:color w:val="auto"/>
                      <w:szCs w:val="21"/>
                      <w:u w:val="none"/>
                    </w:rPr>
                  </w:pPr>
                  <w:r>
                    <w:rPr>
                      <w:bCs/>
                      <w:color w:val="auto"/>
                      <w:szCs w:val="21"/>
                      <w:u w:val="none"/>
                    </w:rPr>
                    <w:t>评价等级</w:t>
                  </w:r>
                </w:p>
              </w:tc>
              <w:tc>
                <w:tcPr>
                  <w:tcW w:w="7550" w:type="dxa"/>
                  <w:gridSpan w:val="2"/>
                  <w:tcBorders>
                    <w:tl2br w:val="nil"/>
                    <w:tr2bl w:val="nil"/>
                  </w:tcBorders>
                  <w:vAlign w:val="center"/>
                </w:tcPr>
                <w:p>
                  <w:pPr>
                    <w:adjustRightInd w:val="0"/>
                    <w:snapToGrid w:val="0"/>
                    <w:jc w:val="center"/>
                    <w:rPr>
                      <w:bCs/>
                      <w:color w:val="auto"/>
                      <w:szCs w:val="21"/>
                      <w:u w:val="none"/>
                    </w:rPr>
                  </w:pPr>
                  <w:r>
                    <w:rPr>
                      <w:bCs/>
                      <w:color w:val="auto"/>
                      <w:szCs w:val="21"/>
                      <w:u w:val="none"/>
                    </w:rPr>
                    <w:t>判定依据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36" w:type="dxa"/>
                  <w:vMerge w:val="continue"/>
                  <w:tcBorders>
                    <w:tl2br w:val="nil"/>
                    <w:tr2bl w:val="nil"/>
                  </w:tcBorders>
                  <w:vAlign w:val="center"/>
                </w:tcPr>
                <w:p>
                  <w:pPr>
                    <w:adjustRightInd w:val="0"/>
                    <w:snapToGrid w:val="0"/>
                    <w:jc w:val="center"/>
                    <w:rPr>
                      <w:bCs/>
                      <w:color w:val="auto"/>
                      <w:szCs w:val="21"/>
                      <w:u w:val="none"/>
                    </w:rPr>
                  </w:pPr>
                </w:p>
              </w:tc>
              <w:tc>
                <w:tcPr>
                  <w:tcW w:w="1508" w:type="dxa"/>
                  <w:tcBorders>
                    <w:tl2br w:val="nil"/>
                    <w:tr2bl w:val="nil"/>
                  </w:tcBorders>
                  <w:vAlign w:val="center"/>
                </w:tcPr>
                <w:p>
                  <w:pPr>
                    <w:adjustRightInd w:val="0"/>
                    <w:snapToGrid w:val="0"/>
                    <w:jc w:val="center"/>
                    <w:rPr>
                      <w:bCs/>
                      <w:color w:val="auto"/>
                      <w:szCs w:val="21"/>
                      <w:u w:val="none"/>
                    </w:rPr>
                  </w:pPr>
                  <w:r>
                    <w:rPr>
                      <w:bCs/>
                      <w:color w:val="auto"/>
                      <w:szCs w:val="21"/>
                      <w:u w:val="none"/>
                    </w:rPr>
                    <w:t>排放方式</w:t>
                  </w:r>
                </w:p>
              </w:tc>
              <w:tc>
                <w:tcPr>
                  <w:tcW w:w="6042" w:type="dxa"/>
                  <w:tcBorders>
                    <w:tl2br w:val="nil"/>
                    <w:tr2bl w:val="nil"/>
                  </w:tcBorders>
                  <w:vAlign w:val="center"/>
                </w:tcPr>
                <w:p>
                  <w:pPr>
                    <w:adjustRightInd w:val="0"/>
                    <w:snapToGrid w:val="0"/>
                    <w:jc w:val="center"/>
                    <w:rPr>
                      <w:bCs/>
                      <w:color w:val="auto"/>
                      <w:szCs w:val="21"/>
                      <w:u w:val="none"/>
                    </w:rPr>
                  </w:pPr>
                  <w:r>
                    <w:rPr>
                      <w:bCs/>
                      <w:color w:val="auto"/>
                      <w:szCs w:val="21"/>
                      <w:u w:val="none"/>
                    </w:rPr>
                    <w:t>废水排放量Q/（m</w:t>
                  </w:r>
                  <w:r>
                    <w:rPr>
                      <w:bCs/>
                      <w:color w:val="auto"/>
                      <w:szCs w:val="21"/>
                      <w:u w:val="none"/>
                      <w:vertAlign w:val="superscript"/>
                    </w:rPr>
                    <w:t>3</w:t>
                  </w:r>
                  <w:r>
                    <w:rPr>
                      <w:bCs/>
                      <w:color w:val="auto"/>
                      <w:szCs w:val="21"/>
                      <w:u w:val="none"/>
                    </w:rPr>
                    <w:t>/d）；水污染物当量数W/（无量纲）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36" w:type="dxa"/>
                  <w:tcBorders>
                    <w:tl2br w:val="nil"/>
                    <w:tr2bl w:val="nil"/>
                  </w:tcBorders>
                  <w:vAlign w:val="center"/>
                </w:tcPr>
                <w:p>
                  <w:pPr>
                    <w:adjustRightInd w:val="0"/>
                    <w:snapToGrid w:val="0"/>
                    <w:jc w:val="center"/>
                    <w:rPr>
                      <w:bCs/>
                      <w:color w:val="auto"/>
                      <w:szCs w:val="21"/>
                      <w:u w:val="none"/>
                    </w:rPr>
                  </w:pPr>
                  <w:r>
                    <w:rPr>
                      <w:bCs/>
                      <w:color w:val="auto"/>
                      <w:szCs w:val="21"/>
                      <w:u w:val="none"/>
                    </w:rPr>
                    <w:t>一级</w:t>
                  </w:r>
                </w:p>
              </w:tc>
              <w:tc>
                <w:tcPr>
                  <w:tcW w:w="1508" w:type="dxa"/>
                  <w:tcBorders>
                    <w:tl2br w:val="nil"/>
                    <w:tr2bl w:val="nil"/>
                  </w:tcBorders>
                  <w:vAlign w:val="center"/>
                </w:tcPr>
                <w:p>
                  <w:pPr>
                    <w:adjustRightInd w:val="0"/>
                    <w:snapToGrid w:val="0"/>
                    <w:jc w:val="center"/>
                    <w:rPr>
                      <w:bCs/>
                      <w:color w:val="auto"/>
                      <w:szCs w:val="21"/>
                      <w:u w:val="none"/>
                    </w:rPr>
                  </w:pPr>
                  <w:r>
                    <w:rPr>
                      <w:bCs/>
                      <w:color w:val="auto"/>
                      <w:szCs w:val="21"/>
                      <w:u w:val="none"/>
                    </w:rPr>
                    <w:t>直接排放</w:t>
                  </w:r>
                </w:p>
              </w:tc>
              <w:tc>
                <w:tcPr>
                  <w:tcW w:w="6042" w:type="dxa"/>
                  <w:tcBorders>
                    <w:tl2br w:val="nil"/>
                    <w:tr2bl w:val="nil"/>
                  </w:tcBorders>
                  <w:vAlign w:val="center"/>
                </w:tcPr>
                <w:p>
                  <w:pPr>
                    <w:adjustRightInd w:val="0"/>
                    <w:snapToGrid w:val="0"/>
                    <w:jc w:val="center"/>
                    <w:rPr>
                      <w:bCs/>
                      <w:color w:val="auto"/>
                      <w:szCs w:val="21"/>
                      <w:u w:val="none"/>
                    </w:rPr>
                  </w:pPr>
                  <w:r>
                    <w:rPr>
                      <w:bCs/>
                      <w:color w:val="auto"/>
                      <w:szCs w:val="21"/>
                      <w:u w:val="none"/>
                    </w:rPr>
                    <w:t>Q≥20000或W≥600000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536" w:type="dxa"/>
                  <w:tcBorders>
                    <w:tl2br w:val="nil"/>
                    <w:tr2bl w:val="nil"/>
                  </w:tcBorders>
                  <w:vAlign w:val="center"/>
                </w:tcPr>
                <w:p>
                  <w:pPr>
                    <w:adjustRightInd w:val="0"/>
                    <w:snapToGrid w:val="0"/>
                    <w:jc w:val="center"/>
                    <w:rPr>
                      <w:bCs/>
                      <w:color w:val="auto"/>
                      <w:szCs w:val="21"/>
                      <w:u w:val="none"/>
                    </w:rPr>
                  </w:pPr>
                  <w:r>
                    <w:rPr>
                      <w:bCs/>
                      <w:color w:val="auto"/>
                      <w:szCs w:val="21"/>
                      <w:u w:val="none"/>
                    </w:rPr>
                    <w:t>二级</w:t>
                  </w:r>
                </w:p>
              </w:tc>
              <w:tc>
                <w:tcPr>
                  <w:tcW w:w="1508" w:type="dxa"/>
                  <w:tcBorders>
                    <w:tl2br w:val="nil"/>
                    <w:tr2bl w:val="nil"/>
                  </w:tcBorders>
                  <w:vAlign w:val="center"/>
                </w:tcPr>
                <w:p>
                  <w:pPr>
                    <w:adjustRightInd w:val="0"/>
                    <w:snapToGrid w:val="0"/>
                    <w:jc w:val="center"/>
                    <w:rPr>
                      <w:bCs/>
                      <w:color w:val="auto"/>
                      <w:szCs w:val="21"/>
                      <w:u w:val="none"/>
                    </w:rPr>
                  </w:pPr>
                  <w:r>
                    <w:rPr>
                      <w:bCs/>
                      <w:color w:val="auto"/>
                      <w:szCs w:val="21"/>
                      <w:u w:val="none"/>
                    </w:rPr>
                    <w:t>直接排放</w:t>
                  </w:r>
                </w:p>
              </w:tc>
              <w:tc>
                <w:tcPr>
                  <w:tcW w:w="6042" w:type="dxa"/>
                  <w:tcBorders>
                    <w:tl2br w:val="nil"/>
                    <w:tr2bl w:val="nil"/>
                  </w:tcBorders>
                  <w:vAlign w:val="center"/>
                </w:tcPr>
                <w:p>
                  <w:pPr>
                    <w:adjustRightInd w:val="0"/>
                    <w:snapToGrid w:val="0"/>
                    <w:jc w:val="center"/>
                    <w:rPr>
                      <w:bCs/>
                      <w:color w:val="auto"/>
                      <w:szCs w:val="21"/>
                      <w:u w:val="none"/>
                    </w:rPr>
                  </w:pPr>
                  <w:r>
                    <w:rPr>
                      <w:bCs/>
                      <w:color w:val="auto"/>
                      <w:szCs w:val="21"/>
                      <w:u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36" w:type="dxa"/>
                  <w:tcBorders>
                    <w:tl2br w:val="nil"/>
                    <w:tr2bl w:val="nil"/>
                  </w:tcBorders>
                  <w:vAlign w:val="center"/>
                </w:tcPr>
                <w:p>
                  <w:pPr>
                    <w:adjustRightInd w:val="0"/>
                    <w:snapToGrid w:val="0"/>
                    <w:jc w:val="center"/>
                    <w:rPr>
                      <w:bCs/>
                      <w:color w:val="auto"/>
                      <w:szCs w:val="21"/>
                      <w:u w:val="none"/>
                    </w:rPr>
                  </w:pPr>
                  <w:r>
                    <w:rPr>
                      <w:bCs/>
                      <w:color w:val="auto"/>
                      <w:szCs w:val="21"/>
                      <w:u w:val="none"/>
                    </w:rPr>
                    <w:t>三级A</w:t>
                  </w:r>
                </w:p>
              </w:tc>
              <w:tc>
                <w:tcPr>
                  <w:tcW w:w="1508" w:type="dxa"/>
                  <w:tcBorders>
                    <w:tl2br w:val="nil"/>
                    <w:tr2bl w:val="nil"/>
                  </w:tcBorders>
                  <w:vAlign w:val="center"/>
                </w:tcPr>
                <w:p>
                  <w:pPr>
                    <w:adjustRightInd w:val="0"/>
                    <w:snapToGrid w:val="0"/>
                    <w:jc w:val="center"/>
                    <w:rPr>
                      <w:bCs/>
                      <w:color w:val="auto"/>
                      <w:szCs w:val="21"/>
                      <w:u w:val="none"/>
                    </w:rPr>
                  </w:pPr>
                  <w:r>
                    <w:rPr>
                      <w:bCs/>
                      <w:color w:val="auto"/>
                      <w:szCs w:val="21"/>
                      <w:u w:val="none"/>
                    </w:rPr>
                    <w:t>直接排放</w:t>
                  </w:r>
                </w:p>
              </w:tc>
              <w:tc>
                <w:tcPr>
                  <w:tcW w:w="6042" w:type="dxa"/>
                  <w:tcBorders>
                    <w:tl2br w:val="nil"/>
                    <w:tr2bl w:val="nil"/>
                  </w:tcBorders>
                  <w:vAlign w:val="center"/>
                </w:tcPr>
                <w:p>
                  <w:pPr>
                    <w:adjustRightInd w:val="0"/>
                    <w:snapToGrid w:val="0"/>
                    <w:jc w:val="center"/>
                    <w:rPr>
                      <w:bCs/>
                      <w:color w:val="auto"/>
                      <w:szCs w:val="21"/>
                      <w:u w:val="none"/>
                    </w:rPr>
                  </w:pPr>
                  <w:r>
                    <w:rPr>
                      <w:bCs/>
                      <w:color w:val="auto"/>
                      <w:szCs w:val="21"/>
                      <w:u w:val="none"/>
                    </w:rPr>
                    <w:t>Q＜200且W＜6000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6" w:type="dxa"/>
                  <w:tcBorders>
                    <w:tl2br w:val="nil"/>
                    <w:tr2bl w:val="nil"/>
                  </w:tcBorders>
                  <w:vAlign w:val="center"/>
                </w:tcPr>
                <w:p>
                  <w:pPr>
                    <w:adjustRightInd w:val="0"/>
                    <w:snapToGrid w:val="0"/>
                    <w:jc w:val="center"/>
                    <w:rPr>
                      <w:bCs/>
                      <w:color w:val="auto"/>
                      <w:szCs w:val="21"/>
                      <w:u w:val="none"/>
                    </w:rPr>
                  </w:pPr>
                  <w:r>
                    <w:rPr>
                      <w:bCs/>
                      <w:color w:val="auto"/>
                      <w:szCs w:val="21"/>
                      <w:u w:val="none"/>
                    </w:rPr>
                    <w:t>三级B</w:t>
                  </w:r>
                </w:p>
              </w:tc>
              <w:tc>
                <w:tcPr>
                  <w:tcW w:w="1508" w:type="dxa"/>
                  <w:tcBorders>
                    <w:tl2br w:val="nil"/>
                    <w:tr2bl w:val="nil"/>
                  </w:tcBorders>
                  <w:vAlign w:val="center"/>
                </w:tcPr>
                <w:p>
                  <w:pPr>
                    <w:adjustRightInd w:val="0"/>
                    <w:snapToGrid w:val="0"/>
                    <w:jc w:val="center"/>
                    <w:rPr>
                      <w:bCs/>
                      <w:color w:val="auto"/>
                      <w:szCs w:val="21"/>
                      <w:u w:val="none"/>
                    </w:rPr>
                  </w:pPr>
                  <w:r>
                    <w:rPr>
                      <w:bCs/>
                      <w:color w:val="auto"/>
                      <w:szCs w:val="21"/>
                      <w:u w:val="none"/>
                    </w:rPr>
                    <w:t>间接排放</w:t>
                  </w:r>
                </w:p>
              </w:tc>
              <w:tc>
                <w:tcPr>
                  <w:tcW w:w="6042" w:type="dxa"/>
                  <w:tcBorders>
                    <w:tl2br w:val="nil"/>
                    <w:tr2bl w:val="nil"/>
                  </w:tcBorders>
                  <w:vAlign w:val="center"/>
                </w:tcPr>
                <w:p>
                  <w:pPr>
                    <w:adjustRightInd w:val="0"/>
                    <w:snapToGrid w:val="0"/>
                    <w:jc w:val="center"/>
                    <w:rPr>
                      <w:bCs/>
                      <w:color w:val="auto"/>
                      <w:szCs w:val="21"/>
                      <w:u w:val="none"/>
                    </w:rPr>
                  </w:pPr>
                  <w:r>
                    <w:rPr>
                      <w:bCs/>
                      <w:color w:val="auto"/>
                      <w:szCs w:val="21"/>
                      <w:u w:val="none"/>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rPr>
            </w:pPr>
            <w:r>
              <w:rPr>
                <w:rFonts w:hint="eastAsia"/>
                <w:color w:val="auto"/>
                <w:sz w:val="24"/>
                <w:szCs w:val="24"/>
                <w:u w:val="none"/>
              </w:rPr>
              <w:t>（2）</w:t>
            </w:r>
            <w:r>
              <w:rPr>
                <w:color w:val="auto"/>
                <w:sz w:val="24"/>
                <w:szCs w:val="24"/>
                <w:u w:val="none"/>
              </w:rPr>
              <w:t>地表水环境预测</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①废水排放量</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cs="Times New Roman"/>
                <w:color w:val="auto"/>
                <w:u w:val="none"/>
              </w:rPr>
            </w:pPr>
            <w:r>
              <w:rPr>
                <w:rFonts w:hint="default" w:ascii="Times New Roman" w:hAnsi="Times New Roman" w:cs="Times New Roman"/>
                <w:color w:val="auto"/>
                <w:sz w:val="24"/>
                <w:szCs w:val="24"/>
                <w:u w:val="none"/>
              </w:rPr>
              <w:t>本项目运营后废水排放量为</w:t>
            </w:r>
            <w:r>
              <w:rPr>
                <w:rFonts w:hint="default" w:ascii="Times New Roman" w:hAnsi="Times New Roman" w:cs="Times New Roman"/>
                <w:color w:val="auto"/>
                <w:sz w:val="24"/>
                <w:szCs w:val="24"/>
                <w:u w:val="none"/>
                <w:lang w:val="en-US" w:eastAsia="zh-CN"/>
              </w:rPr>
              <w:t>1</w:t>
            </w:r>
            <w:r>
              <w:rPr>
                <w:rFonts w:hint="default" w:ascii="Times New Roman" w:hAnsi="Times New Roman" w:cs="Times New Roman"/>
                <w:color w:val="auto"/>
                <w:sz w:val="24"/>
                <w:szCs w:val="24"/>
                <w:u w:val="none"/>
              </w:rPr>
              <w:t>000m</w:t>
            </w:r>
            <w:r>
              <w:rPr>
                <w:rFonts w:hint="default" w:ascii="Times New Roman" w:hAnsi="Times New Roman" w:cs="Times New Roman"/>
                <w:color w:val="auto"/>
                <w:sz w:val="24"/>
                <w:szCs w:val="24"/>
                <w:u w:val="none"/>
                <w:vertAlign w:val="superscript"/>
              </w:rPr>
              <w:t>3</w:t>
            </w:r>
            <w:r>
              <w:rPr>
                <w:rFonts w:hint="default" w:ascii="Times New Roman" w:hAnsi="Times New Roman" w:cs="Times New Roman"/>
                <w:color w:val="auto"/>
                <w:sz w:val="24"/>
                <w:szCs w:val="24"/>
                <w:u w:val="none"/>
              </w:rPr>
              <w:t>/d，出水执行《城镇污水处理厂污染物排放标准》（GB18918-2002）一级</w:t>
            </w:r>
            <w:r>
              <w:rPr>
                <w:rFonts w:hint="eastAsia" w:cs="Times New Roman"/>
                <w:color w:val="auto"/>
                <w:sz w:val="24"/>
                <w:szCs w:val="24"/>
                <w:u w:val="none"/>
                <w:lang w:val="en-US" w:eastAsia="zh-CN"/>
              </w:rPr>
              <w:t>B</w:t>
            </w:r>
            <w:r>
              <w:rPr>
                <w:rFonts w:hint="default" w:ascii="Times New Roman" w:hAnsi="Times New Roman" w:cs="Times New Roman"/>
                <w:color w:val="auto"/>
                <w:sz w:val="24"/>
                <w:szCs w:val="24"/>
                <w:u w:val="none"/>
              </w:rPr>
              <w:t>标准（COD：</w:t>
            </w:r>
            <w:r>
              <w:rPr>
                <w:rFonts w:hint="eastAsia" w:cs="Times New Roman"/>
                <w:color w:val="auto"/>
                <w:sz w:val="24"/>
                <w:szCs w:val="24"/>
                <w:u w:val="none"/>
                <w:lang w:val="en-US" w:eastAsia="zh-CN"/>
              </w:rPr>
              <w:t>60</w:t>
            </w:r>
            <w:r>
              <w:rPr>
                <w:rFonts w:hint="default" w:ascii="Times New Roman" w:hAnsi="Times New Roman" w:cs="Times New Roman"/>
                <w:color w:val="auto"/>
                <w:sz w:val="24"/>
                <w:szCs w:val="24"/>
                <w:u w:val="none"/>
              </w:rPr>
              <w:t>mg/L、NH</w:t>
            </w:r>
            <w:r>
              <w:rPr>
                <w:rFonts w:hint="default" w:ascii="Times New Roman" w:hAnsi="Times New Roman" w:cs="Times New Roman"/>
                <w:color w:val="auto"/>
                <w:sz w:val="24"/>
                <w:szCs w:val="24"/>
                <w:u w:val="none"/>
                <w:vertAlign w:val="subscript"/>
              </w:rPr>
              <w:t>3</w:t>
            </w:r>
            <w:r>
              <w:rPr>
                <w:rFonts w:hint="default" w:ascii="Times New Roman" w:hAnsi="Times New Roman" w:cs="Times New Roman"/>
                <w:color w:val="auto"/>
                <w:sz w:val="24"/>
                <w:szCs w:val="24"/>
                <w:u w:val="none"/>
              </w:rPr>
              <w:t>-N：</w:t>
            </w:r>
            <w:r>
              <w:rPr>
                <w:rFonts w:hint="eastAsia" w:cs="Times New Roman"/>
                <w:color w:val="auto"/>
                <w:sz w:val="24"/>
                <w:szCs w:val="24"/>
                <w:u w:val="none"/>
                <w:lang w:val="en-US" w:eastAsia="zh-CN"/>
              </w:rPr>
              <w:t>8</w:t>
            </w:r>
            <w:r>
              <w:rPr>
                <w:rFonts w:hint="default" w:ascii="Times New Roman" w:hAnsi="Times New Roman" w:cs="Times New Roman"/>
                <w:color w:val="auto"/>
                <w:sz w:val="24"/>
                <w:szCs w:val="24"/>
                <w:u w:val="none"/>
              </w:rPr>
              <w:t>mg/L）。</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rPr>
            </w:pPr>
            <w:r>
              <w:rPr>
                <w:rFonts w:hint="eastAsia"/>
                <w:color w:val="auto"/>
                <w:sz w:val="24"/>
                <w:szCs w:val="24"/>
                <w:u w:val="none"/>
              </w:rPr>
              <w:t>②预测因子</w:t>
            </w:r>
            <w:r>
              <w:rPr>
                <w:rFonts w:hint="eastAsia"/>
                <w:color w:val="auto"/>
                <w:sz w:val="24"/>
                <w:szCs w:val="24"/>
                <w:u w:val="none"/>
                <w:lang w:eastAsia="zh-CN"/>
              </w:rPr>
              <w:t>：</w:t>
            </w:r>
            <w:r>
              <w:rPr>
                <w:rFonts w:hint="eastAsia"/>
                <w:color w:val="auto"/>
                <w:sz w:val="24"/>
                <w:szCs w:val="24"/>
                <w:u w:val="none"/>
              </w:rPr>
              <w:t>根据项目排污特征，本评价选取污染因子</w:t>
            </w:r>
            <w:r>
              <w:rPr>
                <w:color w:val="auto"/>
                <w:sz w:val="24"/>
                <w:szCs w:val="24"/>
                <w:u w:val="none"/>
              </w:rPr>
              <w:t>COD</w:t>
            </w:r>
            <w:r>
              <w:rPr>
                <w:rFonts w:hint="eastAsia"/>
                <w:color w:val="auto"/>
                <w:sz w:val="24"/>
                <w:szCs w:val="24"/>
                <w:u w:val="none"/>
              </w:rPr>
              <w:t>、</w:t>
            </w:r>
            <w:r>
              <w:rPr>
                <w:color w:val="auto"/>
                <w:sz w:val="24"/>
                <w:szCs w:val="24"/>
                <w:u w:val="none"/>
              </w:rPr>
              <w:t>NH</w:t>
            </w:r>
            <w:r>
              <w:rPr>
                <w:color w:val="auto"/>
                <w:sz w:val="24"/>
                <w:szCs w:val="24"/>
                <w:u w:val="none"/>
                <w:vertAlign w:val="subscript"/>
              </w:rPr>
              <w:t>3</w:t>
            </w:r>
            <w:r>
              <w:rPr>
                <w:color w:val="auto"/>
                <w:sz w:val="24"/>
                <w:szCs w:val="24"/>
                <w:u w:val="none"/>
              </w:rPr>
              <w:t>-N</w:t>
            </w:r>
            <w:r>
              <w:rPr>
                <w:rFonts w:hint="eastAsia"/>
                <w:color w:val="auto"/>
                <w:sz w:val="24"/>
                <w:szCs w:val="24"/>
                <w:u w:val="none"/>
              </w:rPr>
              <w:t>作为预测因子。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highlight w:val="none"/>
                <w:u w:val="none"/>
              </w:rPr>
            </w:pPr>
            <w:r>
              <w:rPr>
                <w:rFonts w:hint="eastAsia"/>
                <w:color w:val="auto"/>
                <w:sz w:val="24"/>
                <w:szCs w:val="24"/>
                <w:highlight w:val="none"/>
                <w:u w:val="none"/>
              </w:rPr>
              <w:t>③预测范围</w:t>
            </w:r>
            <w:r>
              <w:rPr>
                <w:rFonts w:hint="eastAsia"/>
                <w:color w:val="auto"/>
                <w:sz w:val="24"/>
                <w:szCs w:val="24"/>
                <w:highlight w:val="none"/>
                <w:u w:val="none"/>
                <w:lang w:eastAsia="zh-CN"/>
              </w:rPr>
              <w:t>：</w:t>
            </w:r>
            <w:r>
              <w:rPr>
                <w:rFonts w:hint="eastAsia"/>
                <w:color w:val="auto"/>
                <w:sz w:val="24"/>
                <w:szCs w:val="24"/>
                <w:highlight w:val="none"/>
                <w:u w:val="none"/>
              </w:rPr>
              <w:t>排污口</w:t>
            </w:r>
            <w:r>
              <w:rPr>
                <w:rFonts w:hint="eastAsia"/>
                <w:color w:val="auto"/>
                <w:sz w:val="24"/>
                <w:szCs w:val="24"/>
                <w:highlight w:val="none"/>
                <w:u w:val="none"/>
                <w:lang w:eastAsia="zh-CN"/>
              </w:rPr>
              <w:t>废水</w:t>
            </w:r>
            <w:r>
              <w:rPr>
                <w:rFonts w:hint="eastAsia"/>
                <w:color w:val="auto"/>
                <w:sz w:val="24"/>
                <w:szCs w:val="24"/>
                <w:highlight w:val="none"/>
                <w:u w:val="none"/>
              </w:rPr>
              <w:t>入</w:t>
            </w:r>
            <w:r>
              <w:rPr>
                <w:rFonts w:hint="eastAsia"/>
                <w:color w:val="auto"/>
                <w:sz w:val="24"/>
                <w:szCs w:val="24"/>
                <w:highlight w:val="none"/>
                <w:u w:val="none"/>
                <w:lang w:eastAsia="zh-CN"/>
              </w:rPr>
              <w:t>邵水</w:t>
            </w:r>
            <w:r>
              <w:rPr>
                <w:rFonts w:hint="eastAsia"/>
                <w:color w:val="auto"/>
                <w:sz w:val="24"/>
                <w:szCs w:val="24"/>
                <w:highlight w:val="none"/>
                <w:u w:val="none"/>
              </w:rPr>
              <w:t>上游</w:t>
            </w:r>
            <w:r>
              <w:rPr>
                <w:rFonts w:hint="eastAsia"/>
                <w:color w:val="auto"/>
                <w:sz w:val="24"/>
                <w:szCs w:val="24"/>
                <w:highlight w:val="none"/>
                <w:u w:val="none"/>
                <w:lang w:eastAsia="zh-CN"/>
              </w:rPr>
              <w:t>断面</w:t>
            </w:r>
            <w:r>
              <w:rPr>
                <w:rFonts w:hint="eastAsia"/>
                <w:color w:val="auto"/>
                <w:sz w:val="24"/>
                <w:szCs w:val="24"/>
                <w:highlight w:val="none"/>
                <w:u w:val="none"/>
              </w:rPr>
              <w:t>500m至下游</w:t>
            </w:r>
            <w:r>
              <w:rPr>
                <w:rFonts w:hint="eastAsia"/>
                <w:color w:val="auto"/>
                <w:sz w:val="24"/>
                <w:szCs w:val="24"/>
                <w:highlight w:val="none"/>
                <w:u w:val="none"/>
                <w:lang w:eastAsia="zh-CN"/>
              </w:rPr>
              <w:t>断面</w:t>
            </w:r>
            <w:r>
              <w:rPr>
                <w:rFonts w:hint="eastAsia"/>
                <w:color w:val="auto"/>
                <w:sz w:val="24"/>
                <w:szCs w:val="24"/>
                <w:highlight w:val="none"/>
                <w:u w:val="none"/>
              </w:rPr>
              <w:t>3km</w:t>
            </w:r>
            <w:r>
              <w:rPr>
                <w:rFonts w:ascii="Times New Roman" w:hAnsi="Times New Roman"/>
                <w:color w:val="auto"/>
                <w:sz w:val="24"/>
                <w:szCs w:val="18"/>
                <w:highlight w:val="none"/>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highlight w:val="none"/>
                <w:u w:val="none"/>
              </w:rPr>
            </w:pPr>
            <w:r>
              <w:rPr>
                <w:rFonts w:hint="eastAsia"/>
                <w:color w:val="auto"/>
                <w:sz w:val="24"/>
                <w:szCs w:val="24"/>
                <w:highlight w:val="none"/>
                <w:u w:val="none"/>
              </w:rPr>
              <w:t>④预测</w:t>
            </w:r>
            <w:r>
              <w:rPr>
                <w:rFonts w:hint="eastAsia"/>
                <w:color w:val="auto"/>
                <w:sz w:val="24"/>
                <w:szCs w:val="24"/>
                <w:highlight w:val="none"/>
                <w:u w:val="none"/>
                <w:lang w:eastAsia="zh-CN"/>
              </w:rPr>
              <w:t>时期：</w:t>
            </w:r>
            <w:r>
              <w:rPr>
                <w:rFonts w:hint="eastAsia"/>
                <w:color w:val="auto"/>
                <w:sz w:val="24"/>
                <w:szCs w:val="24"/>
                <w:highlight w:val="none"/>
                <w:u w:val="none"/>
              </w:rPr>
              <w:t>枯水期。</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u w:val="none"/>
              </w:rPr>
            </w:pPr>
            <w:r>
              <w:rPr>
                <w:rFonts w:hint="eastAsia"/>
                <w:color w:val="auto"/>
                <w:sz w:val="24"/>
                <w:szCs w:val="24"/>
                <w:u w:val="none"/>
              </w:rPr>
              <w:t>⑤预测情景</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ascii="宋体" w:hAnsi="宋体" w:eastAsia="宋体" w:cs="宋体"/>
                <w:color w:val="auto"/>
                <w:sz w:val="24"/>
                <w:szCs w:val="24"/>
                <w:u w:val="none"/>
              </w:rPr>
            </w:pPr>
            <w:r>
              <w:rPr>
                <w:rFonts w:ascii="宋体" w:hAnsi="宋体" w:eastAsia="宋体" w:cs="宋体"/>
                <w:color w:val="auto"/>
                <w:sz w:val="24"/>
                <w:szCs w:val="24"/>
                <w:u w:val="none"/>
              </w:rPr>
              <w:t>情景一：</w:t>
            </w:r>
            <w:r>
              <w:rPr>
                <w:rFonts w:hint="eastAsia" w:ascii="宋体" w:hAnsi="宋体" w:eastAsia="宋体" w:cs="宋体"/>
                <w:color w:val="auto"/>
                <w:sz w:val="24"/>
                <w:szCs w:val="24"/>
                <w:u w:val="none"/>
                <w:lang w:eastAsia="zh-CN"/>
              </w:rPr>
              <w:t>项目废水</w:t>
            </w:r>
            <w:r>
              <w:rPr>
                <w:rFonts w:ascii="宋体" w:hAnsi="宋体" w:eastAsia="宋体" w:cs="宋体"/>
                <w:color w:val="auto"/>
                <w:sz w:val="24"/>
                <w:szCs w:val="24"/>
                <w:u w:val="none"/>
              </w:rPr>
              <w:t>正常排放情况，污水处理系统正常运转；</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rPr>
            </w:pPr>
            <w:r>
              <w:rPr>
                <w:rFonts w:ascii="宋体" w:hAnsi="宋体" w:eastAsia="宋体" w:cs="宋体"/>
                <w:color w:val="auto"/>
                <w:sz w:val="24"/>
                <w:szCs w:val="24"/>
                <w:u w:val="none"/>
              </w:rPr>
              <w:t>情景二：</w:t>
            </w:r>
            <w:r>
              <w:rPr>
                <w:rFonts w:hint="eastAsia" w:ascii="宋体" w:hAnsi="宋体" w:eastAsia="宋体" w:cs="宋体"/>
                <w:color w:val="auto"/>
                <w:sz w:val="24"/>
                <w:szCs w:val="24"/>
                <w:u w:val="none"/>
                <w:lang w:eastAsia="zh-CN"/>
              </w:rPr>
              <w:t>项目废水</w:t>
            </w:r>
            <w:r>
              <w:rPr>
                <w:rFonts w:ascii="宋体" w:hAnsi="宋体" w:eastAsia="宋体" w:cs="宋体"/>
                <w:color w:val="auto"/>
                <w:sz w:val="24"/>
                <w:szCs w:val="24"/>
                <w:u w:val="none"/>
              </w:rPr>
              <w:t>非正常排放情况</w:t>
            </w:r>
            <w:r>
              <w:rPr>
                <w:rFonts w:hint="eastAsia" w:ascii="宋体" w:hAnsi="宋体" w:eastAsia="宋体" w:cs="宋体"/>
                <w:color w:val="auto"/>
                <w:sz w:val="24"/>
                <w:szCs w:val="24"/>
                <w:u w:val="none"/>
                <w:lang w:eastAsia="zh-CN"/>
              </w:rPr>
              <w:t>（事故）</w:t>
            </w:r>
            <w:r>
              <w:rPr>
                <w:rFonts w:ascii="宋体" w:hAnsi="宋体" w:eastAsia="宋体" w:cs="宋体"/>
                <w:color w:val="auto"/>
                <w:sz w:val="24"/>
                <w:szCs w:val="24"/>
                <w:u w:val="none"/>
              </w:rPr>
              <w:t>，处理厂停止运行，全厂污水直接外排，污染物去除率为零。</w:t>
            </w:r>
          </w:p>
          <w:p>
            <w:pPr>
              <w:keepNext w:val="0"/>
              <w:keepLines w:val="0"/>
              <w:pageBreakBefore w:val="0"/>
              <w:kinsoku/>
              <w:wordWrap/>
              <w:overflowPunct/>
              <w:topLinePunct w:val="0"/>
              <w:bidi w:val="0"/>
              <w:adjustRightInd w:val="0"/>
              <w:snapToGrid w:val="0"/>
              <w:spacing w:line="360" w:lineRule="auto"/>
              <w:ind w:firstLine="462" w:firstLineChars="200"/>
              <w:textAlignment w:val="auto"/>
              <w:rPr>
                <w:rFonts w:hint="default" w:ascii="Times New Roman" w:hAnsi="Times New Roman" w:cs="Times New Roman"/>
                <w:color w:val="auto"/>
                <w:sz w:val="24"/>
                <w:szCs w:val="24"/>
                <w:u w:val="none"/>
              </w:rPr>
            </w:pPr>
            <w:r>
              <w:rPr>
                <w:rFonts w:hint="eastAsia" w:ascii="Times New Roman" w:hAnsi="Times New Roman" w:cs="Times New Roman"/>
                <w:color w:val="auto"/>
                <w:sz w:val="24"/>
                <w:szCs w:val="24"/>
                <w:u w:val="none"/>
                <w:lang w:val="en-US" w:eastAsia="zh-CN"/>
              </w:rPr>
              <w:t>⑥</w:t>
            </w:r>
            <w:r>
              <w:rPr>
                <w:rFonts w:hint="default" w:ascii="Times New Roman" w:hAnsi="Times New Roman" w:cs="Times New Roman"/>
                <w:color w:val="auto"/>
                <w:sz w:val="24"/>
                <w:szCs w:val="24"/>
                <w:u w:val="none"/>
                <w:lang w:val="en-US" w:eastAsia="zh-CN"/>
              </w:rPr>
              <w:t>预</w:t>
            </w:r>
            <w:r>
              <w:rPr>
                <w:rFonts w:hint="default" w:ascii="Times New Roman" w:hAnsi="Times New Roman" w:cs="Times New Roman"/>
                <w:color w:val="auto"/>
                <w:sz w:val="24"/>
                <w:szCs w:val="24"/>
                <w:u w:val="none"/>
              </w:rPr>
              <w:t>测模式</w:t>
            </w:r>
          </w:p>
          <w:p>
            <w:pPr>
              <w:keepNext w:val="0"/>
              <w:keepLines w:val="0"/>
              <w:pageBreakBefore w:val="0"/>
              <w:kinsoku/>
              <w:wordWrap/>
              <w:overflowPunct/>
              <w:topLinePunct w:val="0"/>
              <w:bidi w:val="0"/>
              <w:adjustRightInd w:val="0"/>
              <w:snapToGrid w:val="0"/>
              <w:spacing w:line="360" w:lineRule="auto"/>
              <w:ind w:firstLine="462" w:firstLineChars="200"/>
              <w:textAlignment w:val="auto"/>
              <w:rPr>
                <w:rFonts w:hint="default" w:ascii="Times New Roman" w:hAnsi="Times New Roman" w:cs="Times New Roman"/>
                <w:color w:val="auto"/>
                <w:sz w:val="24"/>
                <w:u w:val="none"/>
              </w:rPr>
            </w:pPr>
            <w:r>
              <w:rPr>
                <w:rFonts w:hint="default" w:ascii="Times New Roman" w:hAnsi="Times New Roman" w:cs="Times New Roman"/>
                <w:color w:val="auto"/>
                <w:sz w:val="24"/>
                <w:szCs w:val="24"/>
                <w:u w:val="none"/>
                <w:lang w:val="en-US" w:eastAsia="zh-CN"/>
              </w:rPr>
              <w:t>邵水多年平均流量为36.4m</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u w:val="none"/>
                <w:lang w:val="en-US" w:eastAsia="zh-CN"/>
              </w:rPr>
              <w:t>/s，属于中型河流，尾水排放方式为岸边排放，因此评价根据《环境影响评价技术导则 地表水环境》（HJ2.3-2018），本次评价水质预测采用附录E.6平面二维数学模型中F.6.2.1连续稳定排放（E35），不考虑岸边反射影响的宽浅平直恒定均匀河流，岸边点源稳定排放。</w:t>
            </w:r>
          </w:p>
          <w:p>
            <w:pPr>
              <w:pStyle w:val="36"/>
              <w:keepNext w:val="0"/>
              <w:keepLines w:val="0"/>
              <w:pageBreakBefore w:val="0"/>
              <w:kinsoku/>
              <w:wordWrap/>
              <w:overflowPunct/>
              <w:topLinePunct w:val="0"/>
              <w:bidi w:val="0"/>
              <w:adjustRightInd w:val="0"/>
              <w:snapToGrid w:val="0"/>
              <w:spacing w:line="360" w:lineRule="auto"/>
              <w:ind w:firstLine="462" w:firstLineChars="200"/>
              <w:textAlignment w:val="auto"/>
              <w:rPr>
                <w:rFonts w:ascii="Times New Roman" w:hAnsi="Times New Roman" w:eastAsia="宋体"/>
                <w:color w:val="auto"/>
                <w:kern w:val="2"/>
                <w:u w:val="none"/>
              </w:rPr>
            </w:pPr>
            <w:r>
              <w:rPr>
                <w:rFonts w:ascii="Times New Roman" w:hAnsi="Times New Roman" w:eastAsia="宋体"/>
                <w:color w:val="auto"/>
                <w:kern w:val="2"/>
                <w:szCs w:val="22"/>
                <w:u w:val="none"/>
              </w:rPr>
              <w:t>合过</w:t>
            </w:r>
            <w:r>
              <w:rPr>
                <w:rFonts w:ascii="Times New Roman" w:hAnsi="Times New Roman" w:eastAsia="宋体"/>
                <w:color w:val="auto"/>
                <w:kern w:val="2"/>
                <w:u w:val="none"/>
              </w:rPr>
              <w:t>程段长度估算公式：</w:t>
            </w:r>
          </w:p>
          <w:p>
            <w:pPr>
              <w:pStyle w:val="36"/>
              <w:jc w:val="center"/>
              <w:rPr>
                <w:rFonts w:ascii="Times New Roman" w:hAnsi="Times New Roman" w:eastAsia="宋体"/>
                <w:color w:val="auto"/>
                <w:u w:val="none"/>
              </w:rPr>
            </w:pPr>
            <w:r>
              <w:rPr>
                <w:rFonts w:ascii="Times New Roman" w:hAnsi="Times New Roman" w:eastAsia="宋体"/>
                <w:color w:val="auto"/>
                <w:u w:val="none"/>
              </w:rPr>
              <w:drawing>
                <wp:inline distT="0" distB="0" distL="114300" distR="114300">
                  <wp:extent cx="3371850" cy="657225"/>
                  <wp:effectExtent l="0" t="0" r="0" b="9525"/>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25"/>
                          <a:stretch>
                            <a:fillRect/>
                          </a:stretch>
                        </pic:blipFill>
                        <pic:spPr>
                          <a:xfrm>
                            <a:off x="0" y="0"/>
                            <a:ext cx="3371850" cy="657225"/>
                          </a:xfrm>
                          <a:prstGeom prst="rect">
                            <a:avLst/>
                          </a:prstGeom>
                          <a:noFill/>
                          <a:ln>
                            <a:noFill/>
                          </a:ln>
                        </pic:spPr>
                      </pic:pic>
                    </a:graphicData>
                  </a:graphic>
                </wp:inline>
              </w:drawing>
            </w:r>
          </w:p>
          <w:p>
            <w:pPr>
              <w:pStyle w:val="36"/>
              <w:keepNext w:val="0"/>
              <w:keepLines w:val="0"/>
              <w:pageBreakBefore w:val="0"/>
              <w:widowControl w:val="0"/>
              <w:kinsoku/>
              <w:wordWrap/>
              <w:overflowPunct/>
              <w:topLinePunct w:val="0"/>
              <w:autoSpaceDE w:val="0"/>
              <w:autoSpaceDN w:val="0"/>
              <w:bidi w:val="0"/>
              <w:adjustRightInd/>
              <w:snapToGrid w:val="0"/>
              <w:spacing w:line="360" w:lineRule="auto"/>
              <w:ind w:firstLine="462" w:firstLineChars="200"/>
              <w:textAlignment w:val="auto"/>
              <w:rPr>
                <w:rFonts w:ascii="Times New Roman" w:hAnsi="Times New Roman" w:eastAsia="宋体"/>
                <w:color w:val="auto"/>
                <w:u w:val="none"/>
              </w:rPr>
            </w:pPr>
            <w:r>
              <w:rPr>
                <w:rFonts w:ascii="Times New Roman" w:hAnsi="Times New Roman" w:eastAsia="宋体"/>
                <w:color w:val="auto"/>
                <w:u w:val="none"/>
              </w:rPr>
              <w:t>式中：L</w:t>
            </w:r>
            <w:r>
              <w:rPr>
                <w:rFonts w:ascii="Times New Roman" w:hAnsi="Times New Roman" w:eastAsia="宋体"/>
                <w:color w:val="auto"/>
                <w:u w:val="none"/>
                <w:vertAlign w:val="subscript"/>
              </w:rPr>
              <w:t>m</w:t>
            </w:r>
            <w:r>
              <w:rPr>
                <w:rFonts w:ascii="Times New Roman" w:hAnsi="Times New Roman" w:eastAsia="宋体"/>
                <w:color w:val="auto"/>
                <w:u w:val="none"/>
              </w:rPr>
              <w:t>——混合段长度，m；</w:t>
            </w:r>
          </w:p>
          <w:p>
            <w:pPr>
              <w:pStyle w:val="36"/>
              <w:keepNext w:val="0"/>
              <w:keepLines w:val="0"/>
              <w:pageBreakBefore w:val="0"/>
              <w:widowControl w:val="0"/>
              <w:kinsoku/>
              <w:wordWrap/>
              <w:overflowPunct/>
              <w:topLinePunct w:val="0"/>
              <w:autoSpaceDE w:val="0"/>
              <w:autoSpaceDN w:val="0"/>
              <w:bidi w:val="0"/>
              <w:adjustRightInd/>
              <w:snapToGrid w:val="0"/>
              <w:spacing w:line="360" w:lineRule="auto"/>
              <w:ind w:firstLine="1155" w:firstLineChars="500"/>
              <w:textAlignment w:val="auto"/>
              <w:rPr>
                <w:rFonts w:ascii="Times New Roman" w:hAnsi="Times New Roman" w:eastAsia="宋体"/>
                <w:color w:val="auto"/>
                <w:u w:val="none"/>
              </w:rPr>
            </w:pPr>
            <w:r>
              <w:rPr>
                <w:rFonts w:ascii="Times New Roman" w:hAnsi="Times New Roman" w:eastAsia="宋体"/>
                <w:color w:val="auto"/>
                <w:u w:val="none"/>
              </w:rPr>
              <w:t>B ——水面宽度，m；</w:t>
            </w:r>
          </w:p>
          <w:p>
            <w:pPr>
              <w:pStyle w:val="36"/>
              <w:keepNext w:val="0"/>
              <w:keepLines w:val="0"/>
              <w:pageBreakBefore w:val="0"/>
              <w:widowControl w:val="0"/>
              <w:kinsoku/>
              <w:wordWrap/>
              <w:overflowPunct/>
              <w:topLinePunct w:val="0"/>
              <w:autoSpaceDE w:val="0"/>
              <w:autoSpaceDN w:val="0"/>
              <w:bidi w:val="0"/>
              <w:adjustRightInd/>
              <w:snapToGrid w:val="0"/>
              <w:spacing w:line="360" w:lineRule="auto"/>
              <w:ind w:firstLine="1155" w:firstLineChars="500"/>
              <w:textAlignment w:val="auto"/>
              <w:rPr>
                <w:rFonts w:ascii="Times New Roman" w:hAnsi="Times New Roman" w:eastAsia="宋体"/>
                <w:color w:val="auto"/>
                <w:u w:val="none"/>
              </w:rPr>
            </w:pPr>
            <w:r>
              <w:rPr>
                <w:rFonts w:ascii="Times New Roman" w:hAnsi="Times New Roman" w:eastAsia="宋体"/>
                <w:color w:val="auto"/>
                <w:u w:val="none"/>
              </w:rPr>
              <w:t>α—— 排放口到岸边的距离，m；</w:t>
            </w:r>
          </w:p>
          <w:p>
            <w:pPr>
              <w:pStyle w:val="36"/>
              <w:keepNext w:val="0"/>
              <w:keepLines w:val="0"/>
              <w:pageBreakBefore w:val="0"/>
              <w:widowControl w:val="0"/>
              <w:kinsoku/>
              <w:wordWrap/>
              <w:overflowPunct/>
              <w:topLinePunct w:val="0"/>
              <w:autoSpaceDE w:val="0"/>
              <w:autoSpaceDN w:val="0"/>
              <w:bidi w:val="0"/>
              <w:adjustRightInd/>
              <w:snapToGrid w:val="0"/>
              <w:spacing w:line="360" w:lineRule="auto"/>
              <w:ind w:firstLine="1155" w:firstLineChars="500"/>
              <w:textAlignment w:val="auto"/>
              <w:rPr>
                <w:rFonts w:ascii="Times New Roman" w:hAnsi="Times New Roman" w:eastAsia="宋体"/>
                <w:color w:val="auto"/>
                <w:u w:val="none"/>
              </w:rPr>
            </w:pPr>
            <w:r>
              <w:rPr>
                <w:rFonts w:ascii="Times New Roman" w:hAnsi="Times New Roman" w:eastAsia="宋体"/>
                <w:color w:val="auto"/>
                <w:u w:val="none"/>
              </w:rPr>
              <w:t>u ——断面流速，m/s；</w:t>
            </w:r>
          </w:p>
          <w:p>
            <w:pPr>
              <w:pStyle w:val="36"/>
              <w:keepNext w:val="0"/>
              <w:keepLines w:val="0"/>
              <w:pageBreakBefore w:val="0"/>
              <w:widowControl w:val="0"/>
              <w:kinsoku/>
              <w:wordWrap/>
              <w:overflowPunct/>
              <w:topLinePunct w:val="0"/>
              <w:autoSpaceDE w:val="0"/>
              <w:autoSpaceDN w:val="0"/>
              <w:bidi w:val="0"/>
              <w:adjustRightInd/>
              <w:snapToGrid w:val="0"/>
              <w:spacing w:line="360" w:lineRule="auto"/>
              <w:ind w:firstLine="1155" w:firstLineChars="500"/>
              <w:textAlignment w:val="auto"/>
              <w:rPr>
                <w:rFonts w:hint="eastAsia" w:ascii="Times New Roman" w:hAnsi="Times New Roman" w:eastAsia="宋体"/>
                <w:color w:val="auto"/>
                <w:u w:val="none"/>
                <w:lang w:eastAsia="zh-CN"/>
              </w:rPr>
            </w:pPr>
            <w:r>
              <w:rPr>
                <w:rFonts w:ascii="Times New Roman" w:hAnsi="Times New Roman" w:eastAsia="宋体"/>
                <w:color w:val="auto"/>
                <w:u w:val="none"/>
              </w:rPr>
              <w:t>Ey——污染物横向扩散系数，m</w:t>
            </w:r>
            <w:r>
              <w:rPr>
                <w:rFonts w:ascii="Times New Roman" w:hAnsi="Times New Roman" w:eastAsia="宋体"/>
                <w:color w:val="auto"/>
                <w:u w:val="none"/>
                <w:vertAlign w:val="superscript"/>
              </w:rPr>
              <w:t>2</w:t>
            </w:r>
            <w:r>
              <w:rPr>
                <w:rFonts w:ascii="Times New Roman" w:hAnsi="Times New Roman" w:eastAsia="宋体"/>
                <w:color w:val="auto"/>
                <w:u w:val="none"/>
              </w:rPr>
              <w:t>/s</w:t>
            </w:r>
            <w:r>
              <w:rPr>
                <w:rFonts w:hint="eastAsia" w:ascii="Times New Roman" w:hAnsi="Times New Roman" w:eastAsia="宋体"/>
                <w:color w:val="auto"/>
                <w:u w:val="none"/>
                <w:lang w:eastAsia="zh-CN"/>
              </w:rPr>
              <w:t>。</w:t>
            </w:r>
          </w:p>
          <w:p>
            <w:pPr>
              <w:pStyle w:val="36"/>
              <w:keepNext w:val="0"/>
              <w:keepLines w:val="0"/>
              <w:pageBreakBefore w:val="0"/>
              <w:widowControl w:val="0"/>
              <w:kinsoku/>
              <w:wordWrap/>
              <w:overflowPunct/>
              <w:topLinePunct w:val="0"/>
              <w:autoSpaceDE w:val="0"/>
              <w:autoSpaceDN w:val="0"/>
              <w:bidi w:val="0"/>
              <w:adjustRightInd/>
              <w:snapToGrid w:val="0"/>
              <w:spacing w:line="360" w:lineRule="auto"/>
              <w:ind w:firstLine="693" w:firstLineChars="300"/>
              <w:textAlignment w:val="auto"/>
              <w:rPr>
                <w:rFonts w:ascii="Times New Roman" w:hAnsi="Times New Roman" w:eastAsia="宋体"/>
                <w:color w:val="auto"/>
                <w:u w:val="none"/>
              </w:rPr>
            </w:pPr>
            <w:r>
              <w:rPr>
                <w:rFonts w:ascii="Times New Roman" w:hAnsi="Times New Roman" w:eastAsia="宋体"/>
                <w:color w:val="auto"/>
                <w:u w:val="none"/>
              </w:rPr>
              <w:drawing>
                <wp:anchor distT="0" distB="0" distL="114300" distR="114300" simplePos="0" relativeHeight="251708416" behindDoc="0" locked="0" layoutInCell="1" allowOverlap="1">
                  <wp:simplePos x="0" y="0"/>
                  <wp:positionH relativeFrom="column">
                    <wp:posOffset>1259840</wp:posOffset>
                  </wp:positionH>
                  <wp:positionV relativeFrom="paragraph">
                    <wp:posOffset>295910</wp:posOffset>
                  </wp:positionV>
                  <wp:extent cx="3114675" cy="523875"/>
                  <wp:effectExtent l="0" t="0" r="9525" b="9525"/>
                  <wp:wrapSquare wrapText="bothSides"/>
                  <wp:docPr id="7" name="图片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91"/>
                          <pic:cNvPicPr>
                            <a:picLocks noChangeAspect="1"/>
                          </pic:cNvPicPr>
                        </pic:nvPicPr>
                        <pic:blipFill>
                          <a:blip r:embed="rId26"/>
                          <a:stretch>
                            <a:fillRect/>
                          </a:stretch>
                        </pic:blipFill>
                        <pic:spPr>
                          <a:xfrm>
                            <a:off x="0" y="0"/>
                            <a:ext cx="3114675" cy="523875"/>
                          </a:xfrm>
                          <a:prstGeom prst="rect">
                            <a:avLst/>
                          </a:prstGeom>
                          <a:noFill/>
                          <a:ln>
                            <a:noFill/>
                          </a:ln>
                        </pic:spPr>
                      </pic:pic>
                    </a:graphicData>
                  </a:graphic>
                </wp:anchor>
              </w:drawing>
            </w:r>
            <w:r>
              <w:rPr>
                <w:rFonts w:ascii="Times New Roman" w:hAnsi="Times New Roman" w:eastAsia="宋体"/>
                <w:color w:val="auto"/>
                <w:u w:val="none"/>
              </w:rPr>
              <w:t>通过公式计算得混合过程段长度为</w:t>
            </w:r>
            <w:r>
              <w:rPr>
                <w:rFonts w:hint="eastAsia" w:ascii="Times New Roman" w:hAnsi="Times New Roman" w:eastAsia="宋体"/>
                <w:color w:val="auto"/>
                <w:u w:val="none"/>
                <w:lang w:val="en-US" w:eastAsia="zh-CN"/>
              </w:rPr>
              <w:t>383.25</w:t>
            </w:r>
            <w:r>
              <w:rPr>
                <w:rFonts w:ascii="Times New Roman" w:hAnsi="Times New Roman" w:eastAsia="宋体"/>
                <w:color w:val="auto"/>
                <w:u w:val="none"/>
              </w:rPr>
              <w:t>m。</w:t>
            </w:r>
          </w:p>
          <w:p>
            <w:pPr>
              <w:widowControl/>
              <w:spacing w:line="360" w:lineRule="auto"/>
              <w:jc w:val="center"/>
              <w:rPr>
                <w:color w:val="auto"/>
                <w:kern w:val="0"/>
                <w:sz w:val="24"/>
                <w:szCs w:val="24"/>
              </w:rPr>
            </w:pPr>
          </w:p>
          <w:p>
            <w:pPr>
              <w:widowControl/>
              <w:spacing w:line="360" w:lineRule="auto"/>
              <w:jc w:val="left"/>
              <w:rPr>
                <w:color w:val="auto"/>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62" w:firstLineChars="200"/>
              <w:jc w:val="left"/>
              <w:textAlignment w:val="auto"/>
              <w:rPr>
                <w:color w:val="auto"/>
                <w:sz w:val="24"/>
                <w:szCs w:val="24"/>
                <w:u w:val="none"/>
              </w:rPr>
            </w:pPr>
            <w:r>
              <w:rPr>
                <w:color w:val="auto"/>
                <w:kern w:val="0"/>
                <w:sz w:val="24"/>
                <w:szCs w:val="24"/>
                <w:u w:val="none"/>
              </w:rPr>
              <w:t>式中：C（x,y）－污染带内任意一点（x,y）的预测浓度，mg/L；</w:t>
            </w:r>
          </w:p>
          <w:p>
            <w:pPr>
              <w:keepNext w:val="0"/>
              <w:keepLines w:val="0"/>
              <w:pageBreakBefore w:val="0"/>
              <w:widowControl w:val="0"/>
              <w:kinsoku/>
              <w:wordWrap/>
              <w:overflowPunct/>
              <w:topLinePunct w:val="0"/>
              <w:bidi w:val="0"/>
              <w:adjustRightInd w:val="0"/>
              <w:snapToGrid w:val="0"/>
              <w:spacing w:line="360" w:lineRule="auto"/>
              <w:ind w:firstLine="1155" w:firstLineChars="500"/>
              <w:textAlignment w:val="auto"/>
              <w:rPr>
                <w:rFonts w:ascii="Times New Roman" w:hAnsi="Times New Roman"/>
                <w:color w:val="auto"/>
                <w:sz w:val="24"/>
                <w:u w:val="none"/>
              </w:rPr>
            </w:pPr>
            <w:r>
              <w:rPr>
                <w:rFonts w:ascii="Times New Roman" w:hAnsi="Times New Roman"/>
                <w:color w:val="auto"/>
                <w:sz w:val="24"/>
                <w:u w:val="none"/>
              </w:rPr>
              <w:t>C</w:t>
            </w:r>
            <w:r>
              <w:rPr>
                <w:rFonts w:ascii="Times New Roman" w:hAnsi="Times New Roman"/>
                <w:color w:val="auto"/>
                <w:sz w:val="24"/>
                <w:u w:val="none"/>
                <w:vertAlign w:val="subscript"/>
              </w:rPr>
              <w:t>h</w:t>
            </w:r>
            <w:r>
              <w:rPr>
                <w:rFonts w:ascii="Times New Roman" w:hAnsi="Times New Roman"/>
                <w:color w:val="auto"/>
                <w:sz w:val="24"/>
                <w:u w:val="none"/>
              </w:rPr>
              <w:t>——河流上游污染物浓度，mg/L；</w:t>
            </w:r>
          </w:p>
          <w:p>
            <w:pPr>
              <w:keepNext w:val="0"/>
              <w:keepLines w:val="0"/>
              <w:pageBreakBefore w:val="0"/>
              <w:widowControl w:val="0"/>
              <w:kinsoku/>
              <w:wordWrap/>
              <w:overflowPunct/>
              <w:topLinePunct w:val="0"/>
              <w:bidi w:val="0"/>
              <w:adjustRightInd w:val="0"/>
              <w:snapToGrid w:val="0"/>
              <w:spacing w:line="360" w:lineRule="auto"/>
              <w:ind w:firstLine="1155" w:firstLineChars="500"/>
              <w:textAlignment w:val="auto"/>
              <w:rPr>
                <w:rFonts w:ascii="Times New Roman" w:hAnsi="Times New Roman"/>
                <w:color w:val="auto"/>
                <w:sz w:val="24"/>
                <w:u w:val="none"/>
              </w:rPr>
            </w:pPr>
            <w:r>
              <w:rPr>
                <w:rFonts w:ascii="Times New Roman" w:hAnsi="Times New Roman"/>
                <w:color w:val="auto"/>
                <w:sz w:val="24"/>
                <w:u w:val="none"/>
              </w:rPr>
              <w:t>m——污染物排放速率，g/s；</w:t>
            </w:r>
          </w:p>
          <w:p>
            <w:pPr>
              <w:keepNext w:val="0"/>
              <w:keepLines w:val="0"/>
              <w:pageBreakBefore w:val="0"/>
              <w:widowControl w:val="0"/>
              <w:kinsoku/>
              <w:wordWrap/>
              <w:overflowPunct/>
              <w:topLinePunct w:val="0"/>
              <w:autoSpaceDE/>
              <w:autoSpaceDN/>
              <w:bidi w:val="0"/>
              <w:adjustRightInd w:val="0"/>
              <w:snapToGrid w:val="0"/>
              <w:spacing w:line="360" w:lineRule="auto"/>
              <w:ind w:firstLine="1155" w:firstLineChars="500"/>
              <w:textAlignment w:val="auto"/>
              <w:rPr>
                <w:rFonts w:ascii="Times New Roman" w:hAnsi="Times New Roman"/>
                <w:color w:val="auto"/>
                <w:sz w:val="24"/>
                <w:u w:val="none"/>
              </w:rPr>
            </w:pPr>
            <w:r>
              <w:rPr>
                <w:rFonts w:ascii="Times New Roman" w:hAnsi="Times New Roman"/>
                <w:color w:val="auto"/>
                <w:sz w:val="24"/>
                <w:u w:val="none"/>
              </w:rPr>
              <w:t>u ——河流流速，m/s；</w:t>
            </w:r>
          </w:p>
          <w:p>
            <w:pPr>
              <w:keepNext w:val="0"/>
              <w:keepLines w:val="0"/>
              <w:pageBreakBefore w:val="0"/>
              <w:widowControl w:val="0"/>
              <w:kinsoku/>
              <w:wordWrap/>
              <w:overflowPunct/>
              <w:topLinePunct w:val="0"/>
              <w:bidi w:val="0"/>
              <w:adjustRightInd w:val="0"/>
              <w:snapToGrid w:val="0"/>
              <w:spacing w:line="360" w:lineRule="auto"/>
              <w:ind w:firstLine="1155" w:firstLineChars="500"/>
              <w:textAlignment w:val="auto"/>
              <w:rPr>
                <w:rFonts w:ascii="Times New Roman" w:hAnsi="Times New Roman"/>
                <w:color w:val="auto"/>
                <w:sz w:val="24"/>
                <w:u w:val="none"/>
              </w:rPr>
            </w:pPr>
            <w:r>
              <w:rPr>
                <w:rFonts w:ascii="Times New Roman" w:hAnsi="Times New Roman"/>
                <w:color w:val="auto"/>
                <w:sz w:val="24"/>
                <w:u w:val="none"/>
              </w:rPr>
              <w:t>h ——断面水深，m；</w:t>
            </w:r>
          </w:p>
          <w:p>
            <w:pPr>
              <w:keepNext w:val="0"/>
              <w:keepLines w:val="0"/>
              <w:pageBreakBefore w:val="0"/>
              <w:widowControl w:val="0"/>
              <w:kinsoku/>
              <w:wordWrap/>
              <w:overflowPunct/>
              <w:topLinePunct w:val="0"/>
              <w:autoSpaceDE/>
              <w:autoSpaceDN/>
              <w:bidi w:val="0"/>
              <w:adjustRightInd w:val="0"/>
              <w:snapToGrid w:val="0"/>
              <w:spacing w:line="360" w:lineRule="auto"/>
              <w:ind w:firstLine="1155" w:firstLineChars="500"/>
              <w:textAlignment w:val="auto"/>
              <w:rPr>
                <w:rFonts w:ascii="Times New Roman" w:hAnsi="Times New Roman"/>
                <w:color w:val="auto"/>
                <w:sz w:val="24"/>
                <w:u w:val="none"/>
              </w:rPr>
            </w:pPr>
            <w:r>
              <w:rPr>
                <w:rFonts w:ascii="Times New Roman" w:hAnsi="Times New Roman"/>
                <w:color w:val="auto"/>
                <w:sz w:val="24"/>
                <w:u w:val="none"/>
              </w:rPr>
              <w:t>E</w:t>
            </w:r>
            <w:r>
              <w:rPr>
                <w:rFonts w:ascii="Times New Roman" w:hAnsi="Times New Roman"/>
                <w:color w:val="auto"/>
                <w:sz w:val="24"/>
                <w:u w:val="none"/>
                <w:vertAlign w:val="subscript"/>
              </w:rPr>
              <w:t xml:space="preserve">y </w:t>
            </w:r>
            <w:r>
              <w:rPr>
                <w:rFonts w:ascii="Times New Roman" w:hAnsi="Times New Roman"/>
                <w:color w:val="auto"/>
                <w:sz w:val="24"/>
                <w:u w:val="none"/>
              </w:rPr>
              <w:t>——污染物横向混合系数，m</w:t>
            </w:r>
            <w:r>
              <w:rPr>
                <w:rFonts w:ascii="Times New Roman" w:hAnsi="Times New Roman"/>
                <w:color w:val="auto"/>
                <w:sz w:val="24"/>
                <w:u w:val="none"/>
                <w:vertAlign w:val="superscript"/>
              </w:rPr>
              <w:t>2</w:t>
            </w:r>
            <w:r>
              <w:rPr>
                <w:rFonts w:ascii="Times New Roman" w:hAnsi="Times New Roman"/>
                <w:color w:val="auto"/>
                <w:sz w:val="24"/>
                <w:u w:val="none"/>
              </w:rPr>
              <w:t>/s，</w:t>
            </w:r>
            <w:r>
              <w:rPr>
                <w:rFonts w:ascii="Times New Roman" w:hAnsi="Times New Roman"/>
                <w:color w:val="auto"/>
                <w:position w:val="-14"/>
                <w:sz w:val="24"/>
                <w:u w:val="none"/>
              </w:rPr>
              <w:object>
                <v:shape id="_x0000_i1029" o:spt="75" type="#_x0000_t75" style="height:28pt;width:157pt;" o:ole="t" filled="f" o:preferrelative="t" stroked="f" coordsize="21600,21600">
                  <v:path/>
                  <v:fill on="f" focussize="0,0"/>
                  <v:stroke on="f"/>
                  <v:imagedata r:id="rId28" o:title=""/>
                  <o:lock v:ext="edit" aspectratio="t"/>
                  <w10:wrap type="none"/>
                  <w10:anchorlock/>
                </v:shape>
                <o:OLEObject Type="Embed" ProgID="Equation.KSEE3" ShapeID="_x0000_i1029" DrawAspect="Content" ObjectID="_1468075729" r:id="rId27">
                  <o:LockedField>false</o:LockedField>
                </o:OLEObject>
              </w:object>
            </w:r>
            <w:r>
              <w:rPr>
                <w:rFonts w:ascii="Times New Roman" w:hAnsi="Times New Roman"/>
                <w:color w:val="auto"/>
                <w:sz w:val="24"/>
                <w:u w:val="none"/>
              </w:rPr>
              <w:t>；</w:t>
            </w:r>
          </w:p>
          <w:p>
            <w:pPr>
              <w:keepNext w:val="0"/>
              <w:keepLines w:val="0"/>
              <w:pageBreakBefore w:val="0"/>
              <w:widowControl w:val="0"/>
              <w:kinsoku/>
              <w:wordWrap/>
              <w:overflowPunct/>
              <w:topLinePunct w:val="0"/>
              <w:bidi w:val="0"/>
              <w:adjustRightInd w:val="0"/>
              <w:snapToGrid w:val="0"/>
              <w:spacing w:line="360" w:lineRule="auto"/>
              <w:ind w:firstLine="1155" w:firstLineChars="500"/>
              <w:textAlignment w:val="auto"/>
              <w:rPr>
                <w:rFonts w:ascii="Times New Roman" w:hAnsi="Times New Roman"/>
                <w:color w:val="auto"/>
                <w:sz w:val="24"/>
                <w:u w:val="none"/>
              </w:rPr>
            </w:pPr>
            <w:r>
              <w:rPr>
                <w:rFonts w:ascii="Times New Roman" w:hAnsi="Times New Roman"/>
                <w:color w:val="auto"/>
                <w:sz w:val="24"/>
                <w:u w:val="none"/>
              </w:rPr>
              <w:t>B ——河面宽度，m；</w:t>
            </w:r>
          </w:p>
          <w:p>
            <w:pPr>
              <w:keepNext w:val="0"/>
              <w:keepLines w:val="0"/>
              <w:pageBreakBefore w:val="0"/>
              <w:widowControl w:val="0"/>
              <w:kinsoku/>
              <w:wordWrap/>
              <w:overflowPunct/>
              <w:topLinePunct w:val="0"/>
              <w:bidi w:val="0"/>
              <w:adjustRightInd w:val="0"/>
              <w:snapToGrid w:val="0"/>
              <w:spacing w:line="360" w:lineRule="auto"/>
              <w:ind w:firstLine="1155" w:firstLineChars="500"/>
              <w:textAlignment w:val="auto"/>
              <w:rPr>
                <w:rFonts w:ascii="Times New Roman" w:hAnsi="Times New Roman"/>
                <w:color w:val="auto"/>
                <w:sz w:val="24"/>
                <w:u w:val="none"/>
              </w:rPr>
            </w:pPr>
            <w:r>
              <w:rPr>
                <w:rFonts w:ascii="Times New Roman" w:hAnsi="Times New Roman"/>
                <w:color w:val="auto"/>
                <w:sz w:val="24"/>
                <w:u w:val="none"/>
              </w:rPr>
              <w:t xml:space="preserve">x ——笛卡尔坐标系中纵向坐标，m； </w:t>
            </w:r>
          </w:p>
          <w:p>
            <w:pPr>
              <w:keepNext w:val="0"/>
              <w:keepLines w:val="0"/>
              <w:pageBreakBefore w:val="0"/>
              <w:widowControl w:val="0"/>
              <w:kinsoku/>
              <w:wordWrap/>
              <w:overflowPunct/>
              <w:topLinePunct w:val="0"/>
              <w:bidi w:val="0"/>
              <w:adjustRightInd w:val="0"/>
              <w:snapToGrid w:val="0"/>
              <w:spacing w:line="360" w:lineRule="auto"/>
              <w:ind w:firstLine="1155" w:firstLineChars="500"/>
              <w:textAlignment w:val="auto"/>
              <w:rPr>
                <w:rFonts w:ascii="Times New Roman" w:hAnsi="Times New Roman"/>
                <w:color w:val="auto"/>
                <w:sz w:val="24"/>
                <w:u w:val="none"/>
              </w:rPr>
            </w:pPr>
            <w:r>
              <w:rPr>
                <w:rFonts w:ascii="Times New Roman" w:hAnsi="Times New Roman"/>
                <w:color w:val="auto"/>
                <w:sz w:val="24"/>
                <w:u w:val="none"/>
              </w:rPr>
              <w:t>y ——笛卡尔坐标系中横向坐标，m；</w:t>
            </w:r>
          </w:p>
          <w:p>
            <w:pPr>
              <w:pStyle w:val="36"/>
              <w:keepNext w:val="0"/>
              <w:keepLines w:val="0"/>
              <w:pageBreakBefore w:val="0"/>
              <w:widowControl w:val="0"/>
              <w:kinsoku/>
              <w:wordWrap/>
              <w:overflowPunct/>
              <w:topLinePunct w:val="0"/>
              <w:bidi w:val="0"/>
              <w:adjustRightInd w:val="0"/>
              <w:snapToGrid w:val="0"/>
              <w:spacing w:line="360" w:lineRule="auto"/>
              <w:ind w:firstLine="1155" w:firstLineChars="500"/>
              <w:textAlignment w:val="auto"/>
              <w:rPr>
                <w:rFonts w:ascii="Times New Roman" w:hAnsi="Times New Roman" w:eastAsia="宋体"/>
                <w:color w:val="auto"/>
                <w:u w:val="none"/>
              </w:rPr>
            </w:pPr>
            <w:r>
              <w:rPr>
                <w:rFonts w:ascii="Times New Roman" w:hAnsi="Times New Roman" w:eastAsia="宋体"/>
                <w:color w:val="auto"/>
                <w:kern w:val="2"/>
                <w:u w:val="none"/>
              </w:rPr>
              <w:t>k—— 耗氧系数（1/d）</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eastAsia="宋体"/>
                <w:color w:val="auto"/>
                <w:sz w:val="24"/>
                <w:szCs w:val="24"/>
                <w:u w:val="none"/>
                <w:lang w:eastAsia="zh-CN"/>
              </w:rPr>
            </w:pPr>
            <w:r>
              <w:rPr>
                <w:rFonts w:hint="default" w:ascii="Times New Roman" w:hAnsi="Times New Roman" w:cs="Times New Roman"/>
                <w:color w:val="auto"/>
                <w:sz w:val="24"/>
                <w:szCs w:val="24"/>
                <w:u w:val="none"/>
              </w:rPr>
              <w:t>⑦</w:t>
            </w:r>
            <w:r>
              <w:rPr>
                <w:rFonts w:hint="eastAsia"/>
                <w:color w:val="auto"/>
                <w:sz w:val="24"/>
                <w:szCs w:val="24"/>
                <w:u w:val="none"/>
                <w:lang w:eastAsia="zh-CN"/>
              </w:rPr>
              <w:t>水力参数</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u w:val="none"/>
                <w:lang w:val="en-US" w:eastAsia="zh-CN"/>
              </w:rPr>
            </w:pPr>
            <w:r>
              <w:rPr>
                <w:rFonts w:hint="eastAsia"/>
                <w:color w:val="auto"/>
                <w:sz w:val="24"/>
                <w:szCs w:val="24"/>
                <w:u w:val="none"/>
                <w:lang w:val="en-US" w:eastAsia="zh-CN"/>
              </w:rPr>
              <w:t>根据《中国乡镇企业环境污染对策》课题组将我国河流的资料进行回归分析后得到有机污染物COD自然降解速率的计算公式：K1=0.5586Q</w:t>
            </w:r>
            <w:r>
              <w:rPr>
                <w:rFonts w:hint="eastAsia"/>
                <w:color w:val="auto"/>
                <w:sz w:val="24"/>
                <w:szCs w:val="24"/>
                <w:u w:val="none"/>
                <w:vertAlign w:val="superscript"/>
                <w:lang w:val="en-US" w:eastAsia="zh-CN"/>
              </w:rPr>
              <w:t>-0.15</w:t>
            </w:r>
            <w:r>
              <w:rPr>
                <w:rFonts w:hint="eastAsia"/>
                <w:color w:val="auto"/>
                <w:sz w:val="24"/>
                <w:szCs w:val="24"/>
                <w:u w:val="none"/>
                <w:lang w:val="en-US" w:eastAsia="zh-CN"/>
              </w:rPr>
              <w:t>，式中Q为河水流量，经计算得COD K1=0.43。根据《三峡库区排污口下游污染物降解规律的研究》一文，总结了对不同河流氨氮，降解系数的研究，氨氮的降解系数范围在0.010-0.2916，参照有关资料，氨氮自然降解速率取经验值0.1。</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u w:val="none"/>
              </w:rPr>
            </w:pPr>
            <w:r>
              <w:rPr>
                <w:rFonts w:hint="eastAsia"/>
                <w:color w:val="auto"/>
                <w:sz w:val="24"/>
                <w:szCs w:val="24"/>
                <w:u w:val="none"/>
                <w:lang w:val="en-US" w:eastAsia="zh-CN"/>
              </w:rPr>
              <w:t>根据现场踏勘情况和水文资料，项目受纳水体期水文参数详见表7-11。</w:t>
            </w:r>
          </w:p>
          <w:p>
            <w:pPr>
              <w:keepNext w:val="0"/>
              <w:keepLines w:val="0"/>
              <w:pageBreakBefore w:val="0"/>
              <w:widowControl w:val="0"/>
              <w:kinsoku/>
              <w:wordWrap/>
              <w:overflowPunct/>
              <w:topLinePunct w:val="0"/>
              <w:bidi w:val="0"/>
              <w:adjustRightInd w:val="0"/>
              <w:snapToGrid w:val="0"/>
              <w:spacing w:line="240" w:lineRule="auto"/>
              <w:jc w:val="center"/>
              <w:textAlignment w:val="auto"/>
              <w:rPr>
                <w:b/>
                <w:bCs/>
                <w:color w:val="auto"/>
                <w:szCs w:val="21"/>
                <w:u w:val="none"/>
              </w:rPr>
            </w:pPr>
            <w:r>
              <w:rPr>
                <w:rFonts w:hint="eastAsia"/>
                <w:b/>
                <w:bCs/>
                <w:color w:val="auto"/>
                <w:szCs w:val="21"/>
                <w:u w:val="none"/>
              </w:rPr>
              <w:t>表7-1</w:t>
            </w:r>
            <w:r>
              <w:rPr>
                <w:rFonts w:hint="eastAsia"/>
                <w:b/>
                <w:bCs/>
                <w:color w:val="auto"/>
                <w:szCs w:val="21"/>
                <w:u w:val="none"/>
                <w:lang w:val="en-US" w:eastAsia="zh-CN"/>
              </w:rPr>
              <w:t>1</w:t>
            </w:r>
            <w:r>
              <w:rPr>
                <w:rFonts w:hint="eastAsia"/>
                <w:b/>
                <w:bCs/>
                <w:color w:val="auto"/>
                <w:szCs w:val="21"/>
                <w:u w:val="none"/>
              </w:rPr>
              <w:t xml:space="preserve">  </w:t>
            </w:r>
            <w:r>
              <w:rPr>
                <w:rFonts w:hint="eastAsia"/>
                <w:b/>
                <w:bCs/>
                <w:color w:val="auto"/>
                <w:szCs w:val="21"/>
                <w:u w:val="none"/>
                <w:lang w:eastAsia="zh-CN"/>
              </w:rPr>
              <w:t>邵水河</w:t>
            </w:r>
            <w:r>
              <w:rPr>
                <w:rFonts w:hint="eastAsia"/>
                <w:b/>
                <w:bCs/>
                <w:color w:val="auto"/>
                <w:szCs w:val="21"/>
                <w:u w:val="none"/>
              </w:rPr>
              <w:t>水文水质参数</w:t>
            </w:r>
          </w:p>
          <w:tbl>
            <w:tblPr>
              <w:tblStyle w:val="28"/>
              <w:tblW w:w="90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017"/>
              <w:gridCol w:w="845"/>
              <w:gridCol w:w="750"/>
              <w:gridCol w:w="729"/>
              <w:gridCol w:w="1014"/>
              <w:gridCol w:w="657"/>
              <w:gridCol w:w="785"/>
              <w:gridCol w:w="818"/>
              <w:gridCol w:w="660"/>
              <w:gridCol w:w="9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3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rFonts w:hint="eastAsia"/>
                      <w:color w:val="auto"/>
                      <w:szCs w:val="21"/>
                      <w:u w:val="none"/>
                    </w:rPr>
                    <w:t>时期</w:t>
                  </w:r>
                </w:p>
              </w:tc>
              <w:tc>
                <w:tcPr>
                  <w:tcW w:w="101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rFonts w:hint="eastAsia"/>
                      <w:color w:val="auto"/>
                      <w:szCs w:val="21"/>
                      <w:u w:val="none"/>
                    </w:rPr>
                    <w:t>平均</w:t>
                  </w:r>
                </w:p>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rFonts w:hint="eastAsia"/>
                      <w:color w:val="auto"/>
                      <w:szCs w:val="21"/>
                      <w:u w:val="none"/>
                    </w:rPr>
                    <w:t>流速</w:t>
                  </w:r>
                  <w:r>
                    <w:rPr>
                      <w:color w:val="auto"/>
                      <w:szCs w:val="21"/>
                      <w:u w:val="none"/>
                    </w:rPr>
                    <w:t>（m/</w:t>
                  </w:r>
                  <w:r>
                    <w:rPr>
                      <w:rFonts w:hint="eastAsia"/>
                      <w:color w:val="auto"/>
                      <w:szCs w:val="21"/>
                      <w:u w:val="none"/>
                    </w:rPr>
                    <w:t>s</w:t>
                  </w:r>
                  <w:r>
                    <w:rPr>
                      <w:color w:val="auto"/>
                      <w:szCs w:val="21"/>
                      <w:u w:val="none"/>
                    </w:rPr>
                    <w:t>）</w:t>
                  </w:r>
                </w:p>
              </w:tc>
              <w:tc>
                <w:tcPr>
                  <w:tcW w:w="8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rFonts w:hint="eastAsia"/>
                      <w:color w:val="auto"/>
                      <w:szCs w:val="21"/>
                      <w:u w:val="none"/>
                    </w:rPr>
                    <w:t>平均</w:t>
                  </w:r>
                </w:p>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rFonts w:hint="eastAsia"/>
                      <w:color w:val="auto"/>
                      <w:szCs w:val="21"/>
                      <w:u w:val="none"/>
                    </w:rPr>
                    <w:t>水深</w:t>
                  </w:r>
                  <w:r>
                    <w:rPr>
                      <w:color w:val="auto"/>
                      <w:szCs w:val="21"/>
                      <w:u w:val="none"/>
                    </w:rPr>
                    <w:t>（m）</w:t>
                  </w:r>
                </w:p>
              </w:tc>
              <w:tc>
                <w:tcPr>
                  <w:tcW w:w="7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rFonts w:hint="eastAsia"/>
                      <w:color w:val="auto"/>
                      <w:szCs w:val="21"/>
                      <w:u w:val="none"/>
                    </w:rPr>
                    <w:t>平均</w:t>
                  </w:r>
                </w:p>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rFonts w:hint="eastAsia"/>
                      <w:color w:val="auto"/>
                      <w:szCs w:val="21"/>
                      <w:u w:val="none"/>
                    </w:rPr>
                    <w:t>河宽</w:t>
                  </w:r>
                  <w:r>
                    <w:rPr>
                      <w:color w:val="auto"/>
                      <w:szCs w:val="21"/>
                      <w:u w:val="none"/>
                    </w:rPr>
                    <w:t>（m）</w:t>
                  </w:r>
                </w:p>
              </w:tc>
              <w:tc>
                <w:tcPr>
                  <w:tcW w:w="729" w:type="dxa"/>
                  <w:vMerge w:val="restart"/>
                  <w:tcBorders>
                    <w:tl2br w:val="nil"/>
                    <w:tr2bl w:val="nil"/>
                  </w:tcBorders>
                  <w:vAlign w:val="center"/>
                </w:tcPr>
                <w:p>
                  <w:pPr>
                    <w:spacing w:before="60" w:after="60" w:line="280" w:lineRule="exact"/>
                    <w:ind w:left="-57" w:right="-57"/>
                    <w:jc w:val="center"/>
                    <w:rPr>
                      <w:rFonts w:hint="eastAsia" w:ascii="Times New Roman" w:hAnsi="Times New Roman" w:eastAsia="宋体" w:cs="Times New Roman"/>
                      <w:color w:val="auto"/>
                      <w:kern w:val="2"/>
                      <w:sz w:val="21"/>
                      <w:szCs w:val="21"/>
                      <w:u w:val="none"/>
                      <w:lang w:val="en-US" w:eastAsia="zh-CN" w:bidi="ar-SA"/>
                    </w:rPr>
                  </w:pPr>
                  <w:r>
                    <w:rPr>
                      <w:rFonts w:ascii="Times New Roman" w:hAnsi="Times New Roman"/>
                      <w:color w:val="auto"/>
                      <w:szCs w:val="21"/>
                      <w:u w:val="none"/>
                    </w:rPr>
                    <w:t>河流平均坡降（‰）</w:t>
                  </w:r>
                </w:p>
              </w:tc>
              <w:tc>
                <w:tcPr>
                  <w:tcW w:w="101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u w:val="none"/>
                    </w:rPr>
                  </w:pPr>
                  <w:r>
                    <w:rPr>
                      <w:rFonts w:hint="eastAsia"/>
                      <w:color w:val="auto"/>
                      <w:szCs w:val="21"/>
                      <w:u w:val="none"/>
                    </w:rPr>
                    <w:t>枯水期平均流量</w:t>
                  </w:r>
                  <w:r>
                    <w:rPr>
                      <w:color w:val="auto"/>
                      <w:szCs w:val="21"/>
                      <w:u w:val="none"/>
                    </w:rPr>
                    <w:t>（m</w:t>
                  </w:r>
                  <w:r>
                    <w:rPr>
                      <w:rFonts w:hint="eastAsia"/>
                      <w:color w:val="auto"/>
                      <w:szCs w:val="21"/>
                      <w:u w:val="none"/>
                      <w:vertAlign w:val="superscript"/>
                    </w:rPr>
                    <w:t>3</w:t>
                  </w:r>
                  <w:r>
                    <w:rPr>
                      <w:color w:val="auto"/>
                      <w:szCs w:val="21"/>
                      <w:u w:val="none"/>
                    </w:rPr>
                    <w:t>/</w:t>
                  </w:r>
                  <w:r>
                    <w:rPr>
                      <w:rFonts w:hint="eastAsia"/>
                      <w:color w:val="auto"/>
                      <w:szCs w:val="21"/>
                      <w:u w:val="none"/>
                    </w:rPr>
                    <w:t>s</w:t>
                  </w:r>
                  <w:r>
                    <w:rPr>
                      <w:color w:val="auto"/>
                      <w:szCs w:val="21"/>
                      <w:u w:val="none"/>
                    </w:rPr>
                    <w:t>）</w:t>
                  </w:r>
                </w:p>
              </w:tc>
              <w:tc>
                <w:tcPr>
                  <w:tcW w:w="144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rFonts w:hint="eastAsia"/>
                      <w:color w:val="auto"/>
                      <w:szCs w:val="21"/>
                      <w:u w:val="none"/>
                    </w:rPr>
                    <w:t>污染物降解系数K(1/d)</w:t>
                  </w:r>
                </w:p>
              </w:tc>
              <w:tc>
                <w:tcPr>
                  <w:tcW w:w="81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rFonts w:hint="eastAsia"/>
                      <w:color w:val="auto"/>
                      <w:szCs w:val="21"/>
                      <w:u w:val="none"/>
                    </w:rPr>
                    <w:t>污染物横向扩散系数</w:t>
                  </w:r>
                </w:p>
              </w:tc>
              <w:tc>
                <w:tcPr>
                  <w:tcW w:w="1568" w:type="dxa"/>
                  <w:gridSpan w:val="2"/>
                  <w:tcBorders>
                    <w:tl2br w:val="nil"/>
                    <w:tr2bl w:val="nil"/>
                  </w:tcBorders>
                  <w:vAlign w:val="center"/>
                </w:tcPr>
                <w:p>
                  <w:pPr>
                    <w:jc w:val="center"/>
                    <w:rPr>
                      <w:rFonts w:hint="eastAsia" w:ascii="Times New Roman" w:hAnsi="Times New Roman" w:eastAsia="宋体" w:cs="Times New Roman"/>
                      <w:color w:val="auto"/>
                      <w:kern w:val="2"/>
                      <w:sz w:val="21"/>
                      <w:szCs w:val="21"/>
                      <w:u w:val="none"/>
                      <w:lang w:val="en-US" w:eastAsia="zh-CN" w:bidi="ar-SA"/>
                    </w:rPr>
                  </w:pPr>
                  <w:r>
                    <w:rPr>
                      <w:rFonts w:hint="eastAsia"/>
                      <w:color w:val="auto"/>
                      <w:szCs w:val="21"/>
                      <w:u w:val="none"/>
                    </w:rPr>
                    <w:t>背景值</w:t>
                  </w:r>
                  <w:r>
                    <w:rPr>
                      <w:color w:val="auto"/>
                      <w:szCs w:val="21"/>
                      <w:u w:val="none"/>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p>
              </w:tc>
              <w:tc>
                <w:tcPr>
                  <w:tcW w:w="101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p>
              </w:tc>
              <w:tc>
                <w:tcPr>
                  <w:tcW w:w="8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p>
              </w:tc>
              <w:tc>
                <w:tcPr>
                  <w:tcW w:w="7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p>
              </w:tc>
              <w:tc>
                <w:tcPr>
                  <w:tcW w:w="729" w:type="dxa"/>
                  <w:vMerge w:val="continue"/>
                  <w:tcBorders>
                    <w:tl2br w:val="nil"/>
                    <w:tr2bl w:val="nil"/>
                  </w:tcBorders>
                  <w:vAlign w:val="center"/>
                </w:tcPr>
                <w:p>
                  <w:pPr>
                    <w:spacing w:before="60" w:after="60" w:line="280" w:lineRule="exact"/>
                    <w:ind w:left="-57" w:leftChars="0" w:right="-57" w:rightChars="0"/>
                    <w:jc w:val="center"/>
                    <w:rPr>
                      <w:rFonts w:ascii="Times New Roman" w:hAnsi="Times New Roman" w:eastAsia="宋体" w:cs="Times New Roman"/>
                      <w:color w:val="auto"/>
                      <w:kern w:val="2"/>
                      <w:sz w:val="21"/>
                      <w:szCs w:val="21"/>
                      <w:u w:val="none"/>
                      <w:lang w:val="en-US" w:eastAsia="zh-CN" w:bidi="ar-SA"/>
                    </w:rPr>
                  </w:pPr>
                </w:p>
              </w:tc>
              <w:tc>
                <w:tcPr>
                  <w:tcW w:w="101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p>
              </w:tc>
              <w:tc>
                <w:tcPr>
                  <w:tcW w:w="6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COD</w:t>
                  </w:r>
                </w:p>
              </w:tc>
              <w:tc>
                <w:tcPr>
                  <w:tcW w:w="7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r>
                    <w:rPr>
                      <w:color w:val="auto"/>
                      <w:szCs w:val="21"/>
                      <w:u w:val="none"/>
                    </w:rPr>
                    <w:t>NH</w:t>
                  </w:r>
                  <w:r>
                    <w:rPr>
                      <w:color w:val="auto"/>
                      <w:szCs w:val="21"/>
                      <w:u w:val="none"/>
                      <w:vertAlign w:val="subscript"/>
                    </w:rPr>
                    <w:t>3</w:t>
                  </w:r>
                  <w:r>
                    <w:rPr>
                      <w:color w:val="auto"/>
                      <w:szCs w:val="21"/>
                      <w:u w:val="none"/>
                    </w:rPr>
                    <w:t>-N</w:t>
                  </w:r>
                </w:p>
              </w:tc>
              <w:tc>
                <w:tcPr>
                  <w:tcW w:w="81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u w:val="none"/>
                    </w:rPr>
                  </w:pPr>
                </w:p>
              </w:tc>
              <w:tc>
                <w:tcPr>
                  <w:tcW w:w="660" w:type="dxa"/>
                  <w:tcBorders>
                    <w:tl2br w:val="nil"/>
                    <w:tr2bl w:val="nil"/>
                  </w:tcBorders>
                  <w:vAlign w:val="center"/>
                </w:tcPr>
                <w:p>
                  <w:pPr>
                    <w:jc w:val="center"/>
                    <w:rPr>
                      <w:rFonts w:ascii="Times New Roman" w:hAnsi="Times New Roman" w:eastAsia="宋体" w:cs="Times New Roman"/>
                      <w:color w:val="auto"/>
                      <w:kern w:val="2"/>
                      <w:sz w:val="21"/>
                      <w:szCs w:val="21"/>
                      <w:u w:val="none"/>
                      <w:lang w:val="en-US" w:eastAsia="zh-CN" w:bidi="ar-SA"/>
                    </w:rPr>
                  </w:pPr>
                  <w:r>
                    <w:rPr>
                      <w:color w:val="auto"/>
                      <w:szCs w:val="21"/>
                      <w:u w:val="none"/>
                    </w:rPr>
                    <w:t>COD</w:t>
                  </w:r>
                </w:p>
              </w:tc>
              <w:tc>
                <w:tcPr>
                  <w:tcW w:w="908" w:type="dxa"/>
                  <w:tcBorders>
                    <w:tl2br w:val="nil"/>
                    <w:tr2bl w:val="nil"/>
                  </w:tcBorders>
                  <w:vAlign w:val="center"/>
                </w:tcPr>
                <w:p>
                  <w:pPr>
                    <w:jc w:val="center"/>
                    <w:rPr>
                      <w:rFonts w:ascii="Times New Roman" w:hAnsi="Times New Roman" w:eastAsia="宋体" w:cs="Times New Roman"/>
                      <w:color w:val="auto"/>
                      <w:kern w:val="2"/>
                      <w:sz w:val="21"/>
                      <w:szCs w:val="21"/>
                      <w:u w:val="none"/>
                      <w:lang w:val="en-US" w:eastAsia="zh-CN" w:bidi="ar-SA"/>
                    </w:rPr>
                  </w:pPr>
                  <w:r>
                    <w:rPr>
                      <w:color w:val="auto"/>
                      <w:szCs w:val="21"/>
                      <w:u w:val="none"/>
                    </w:rPr>
                    <w:t>NH</w:t>
                  </w:r>
                  <w:r>
                    <w:rPr>
                      <w:color w:val="auto"/>
                      <w:szCs w:val="21"/>
                      <w:u w:val="none"/>
                      <w:vertAlign w:val="subscript"/>
                    </w:rPr>
                    <w:t>3</w:t>
                  </w:r>
                  <w:r>
                    <w:rPr>
                      <w:color w:val="auto"/>
                      <w:szCs w:val="21"/>
                      <w:u w:val="none"/>
                    </w:rPr>
                    <w:t>-N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32" w:type="dxa"/>
                  <w:tcBorders>
                    <w:tl2br w:val="nil"/>
                    <w:tr2bl w:val="nil"/>
                  </w:tcBorders>
                  <w:vAlign w:val="center"/>
                </w:tcPr>
                <w:p>
                  <w:pPr>
                    <w:jc w:val="center"/>
                    <w:rPr>
                      <w:color w:val="auto"/>
                      <w:szCs w:val="21"/>
                      <w:u w:val="none"/>
                    </w:rPr>
                  </w:pPr>
                  <w:r>
                    <w:rPr>
                      <w:rFonts w:hint="eastAsia"/>
                      <w:color w:val="auto"/>
                      <w:szCs w:val="21"/>
                      <w:u w:val="none"/>
                    </w:rPr>
                    <w:t>枯水期</w:t>
                  </w:r>
                </w:p>
              </w:tc>
              <w:tc>
                <w:tcPr>
                  <w:tcW w:w="1017"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lang w:val="en-US" w:eastAsia="zh-CN"/>
                    </w:rPr>
                    <w:t>0.014</w:t>
                  </w:r>
                </w:p>
              </w:tc>
              <w:tc>
                <w:tcPr>
                  <w:tcW w:w="845"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lang w:val="en-US" w:eastAsia="zh-CN"/>
                    </w:rPr>
                    <w:t>3.5</w:t>
                  </w:r>
                </w:p>
              </w:tc>
              <w:tc>
                <w:tcPr>
                  <w:tcW w:w="750"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lang w:val="en-US" w:eastAsia="zh-CN"/>
                    </w:rPr>
                    <w:t>115</w:t>
                  </w:r>
                </w:p>
              </w:tc>
              <w:tc>
                <w:tcPr>
                  <w:tcW w:w="729" w:type="dxa"/>
                  <w:tcBorders>
                    <w:tl2br w:val="nil"/>
                    <w:tr2bl w:val="nil"/>
                  </w:tcBorders>
                  <w:vAlign w:val="center"/>
                </w:tcPr>
                <w:p>
                  <w:pPr>
                    <w:spacing w:before="60" w:after="60" w:line="280" w:lineRule="exact"/>
                    <w:ind w:left="-57" w:leftChars="0" w:right="-57" w:rightChars="0"/>
                    <w:jc w:val="center"/>
                    <w:rPr>
                      <w:rFonts w:hint="default" w:ascii="Times New Roman" w:hAnsi="Times New Roman" w:eastAsia="宋体" w:cs="Times New Roman"/>
                      <w:color w:val="auto"/>
                      <w:kern w:val="2"/>
                      <w:sz w:val="21"/>
                      <w:szCs w:val="21"/>
                      <w:u w:val="none"/>
                      <w:lang w:val="en-US" w:eastAsia="zh-CN" w:bidi="ar-SA"/>
                    </w:rPr>
                  </w:pPr>
                  <w:r>
                    <w:rPr>
                      <w:rFonts w:ascii="Times New Roman" w:hAnsi="Times New Roman"/>
                      <w:color w:val="auto"/>
                      <w:szCs w:val="21"/>
                      <w:u w:val="none"/>
                    </w:rPr>
                    <w:t>0.</w:t>
                  </w:r>
                  <w:r>
                    <w:rPr>
                      <w:rFonts w:hint="eastAsia"/>
                      <w:color w:val="auto"/>
                      <w:szCs w:val="21"/>
                      <w:u w:val="none"/>
                      <w:lang w:val="en-US" w:eastAsia="zh-CN"/>
                    </w:rPr>
                    <w:t>79</w:t>
                  </w:r>
                </w:p>
              </w:tc>
              <w:tc>
                <w:tcPr>
                  <w:tcW w:w="1014" w:type="dxa"/>
                  <w:tcBorders>
                    <w:tl2br w:val="nil"/>
                    <w:tr2bl w:val="nil"/>
                  </w:tcBorders>
                  <w:vAlign w:val="center"/>
                </w:tcPr>
                <w:p>
                  <w:pPr>
                    <w:jc w:val="center"/>
                    <w:rPr>
                      <w:rFonts w:hint="default" w:eastAsia="宋体"/>
                      <w:color w:val="auto"/>
                      <w:szCs w:val="21"/>
                      <w:u w:val="none"/>
                      <w:lang w:val="en-US" w:eastAsia="zh-CN"/>
                    </w:rPr>
                  </w:pPr>
                  <w:r>
                    <w:rPr>
                      <w:rFonts w:hint="eastAsia"/>
                      <w:color w:val="auto"/>
                      <w:u w:val="none"/>
                      <w:lang w:val="en-US" w:eastAsia="zh-CN"/>
                    </w:rPr>
                    <w:t>5.5</w:t>
                  </w:r>
                </w:p>
              </w:tc>
              <w:tc>
                <w:tcPr>
                  <w:tcW w:w="657"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lang w:val="en-US" w:eastAsia="zh-CN"/>
                    </w:rPr>
                    <w:t>0.43</w:t>
                  </w:r>
                </w:p>
              </w:tc>
              <w:tc>
                <w:tcPr>
                  <w:tcW w:w="785"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lang w:val="en-US" w:eastAsia="zh-CN"/>
                    </w:rPr>
                    <w:t>0.1</w:t>
                  </w:r>
                </w:p>
              </w:tc>
              <w:tc>
                <w:tcPr>
                  <w:tcW w:w="818" w:type="dxa"/>
                  <w:tcBorders>
                    <w:tl2br w:val="nil"/>
                    <w:tr2bl w:val="nil"/>
                  </w:tcBorders>
                  <w:vAlign w:val="center"/>
                </w:tcPr>
                <w:p>
                  <w:pPr>
                    <w:jc w:val="center"/>
                    <w:rPr>
                      <w:rFonts w:hint="default" w:eastAsia="宋体"/>
                      <w:color w:val="auto"/>
                      <w:szCs w:val="21"/>
                      <w:u w:val="none"/>
                      <w:lang w:val="en-US" w:eastAsia="zh-CN"/>
                    </w:rPr>
                  </w:pPr>
                  <w:r>
                    <w:rPr>
                      <w:rFonts w:hint="eastAsia"/>
                      <w:color w:val="auto"/>
                      <w:szCs w:val="21"/>
                      <w:u w:val="none"/>
                      <w:lang w:val="en-US" w:eastAsia="zh-CN"/>
                    </w:rPr>
                    <w:t>0.16</w:t>
                  </w:r>
                </w:p>
              </w:tc>
              <w:tc>
                <w:tcPr>
                  <w:tcW w:w="660" w:type="dxa"/>
                  <w:tcBorders>
                    <w:tl2br w:val="nil"/>
                    <w:tr2bl w:val="nil"/>
                  </w:tcBorders>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eastAsia"/>
                      <w:color w:val="auto"/>
                      <w:szCs w:val="21"/>
                      <w:u w:val="none"/>
                      <w:lang w:val="en-US" w:eastAsia="zh-CN"/>
                    </w:rPr>
                    <w:t>11</w:t>
                  </w:r>
                </w:p>
              </w:tc>
              <w:tc>
                <w:tcPr>
                  <w:tcW w:w="908" w:type="dxa"/>
                  <w:tcBorders>
                    <w:tl2br w:val="nil"/>
                    <w:tr2bl w:val="nil"/>
                  </w:tcBorders>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eastAsia"/>
                      <w:color w:val="auto"/>
                      <w:szCs w:val="21"/>
                      <w:u w:val="none"/>
                      <w:lang w:val="en-US" w:eastAsia="zh-CN"/>
                    </w:rPr>
                    <w:t>0.264</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u w:val="none"/>
                <w:lang w:val="en-US" w:eastAsia="zh-CN"/>
              </w:rPr>
            </w:pPr>
            <w:r>
              <w:rPr>
                <w:rFonts w:hint="eastAsia"/>
                <w:color w:val="auto"/>
                <w:sz w:val="24"/>
                <w:szCs w:val="24"/>
                <w:u w:val="none"/>
              </w:rPr>
              <w:t>⑧</w:t>
            </w:r>
            <w:r>
              <w:rPr>
                <w:rFonts w:hint="eastAsia"/>
                <w:color w:val="auto"/>
                <w:sz w:val="24"/>
                <w:szCs w:val="24"/>
                <w:u w:val="none"/>
                <w:lang w:val="en-US" w:eastAsia="zh-CN"/>
              </w:rPr>
              <w:t>污染源参数</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u w:val="none"/>
                <w:lang w:val="en-US" w:eastAsia="zh-CN"/>
              </w:rPr>
            </w:pPr>
            <w:r>
              <w:rPr>
                <w:rFonts w:hint="eastAsia"/>
                <w:color w:val="auto"/>
                <w:sz w:val="24"/>
                <w:szCs w:val="24"/>
                <w:u w:val="none"/>
                <w:lang w:val="en-US" w:eastAsia="zh-CN"/>
              </w:rPr>
              <w:t>项目废水排放源强见表7-12。</w:t>
            </w:r>
          </w:p>
          <w:p>
            <w:pPr>
              <w:keepNext w:val="0"/>
              <w:keepLines w:val="0"/>
              <w:pageBreakBefore w:val="0"/>
              <w:widowControl w:val="0"/>
              <w:kinsoku/>
              <w:wordWrap/>
              <w:overflowPunct/>
              <w:topLinePunct w:val="0"/>
              <w:autoSpaceDE/>
              <w:autoSpaceDN/>
              <w:bidi w:val="0"/>
              <w:adjustRightInd w:val="0"/>
              <w:snapToGrid w:val="0"/>
              <w:spacing w:line="240" w:lineRule="auto"/>
              <w:ind w:firstLine="402" w:firstLineChars="200"/>
              <w:jc w:val="center"/>
              <w:textAlignment w:val="auto"/>
              <w:rPr>
                <w:rFonts w:ascii="Times New Roman" w:hAnsi="Times New Roman"/>
                <w:b/>
                <w:color w:val="auto"/>
                <w:szCs w:val="21"/>
                <w:u w:val="none"/>
              </w:rPr>
            </w:pPr>
            <w:r>
              <w:rPr>
                <w:rFonts w:ascii="Times New Roman" w:hAnsi="Times New Roman"/>
                <w:b/>
                <w:color w:val="auto"/>
                <w:szCs w:val="21"/>
                <w:u w:val="none"/>
              </w:rPr>
              <w:t>表</w:t>
            </w:r>
            <w:r>
              <w:rPr>
                <w:rFonts w:hint="eastAsia"/>
                <w:b/>
                <w:color w:val="auto"/>
                <w:szCs w:val="21"/>
                <w:u w:val="none"/>
                <w:lang w:val="en-US" w:eastAsia="zh-CN"/>
              </w:rPr>
              <w:t xml:space="preserve">7-12  </w:t>
            </w:r>
            <w:r>
              <w:rPr>
                <w:rFonts w:ascii="Times New Roman" w:hAnsi="Times New Roman"/>
                <w:b/>
                <w:color w:val="auto"/>
                <w:szCs w:val="21"/>
                <w:u w:val="none"/>
              </w:rPr>
              <w:t xml:space="preserve"> 项目废水排放源强</w:t>
            </w:r>
          </w:p>
          <w:tbl>
            <w:tblPr>
              <w:tblStyle w:val="27"/>
              <w:tblW w:w="803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748"/>
              <w:gridCol w:w="1721"/>
              <w:gridCol w:w="1427"/>
              <w:gridCol w:w="1500"/>
              <w:gridCol w:w="164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748" w:type="dxa"/>
                  <w:noWrap w:val="0"/>
                  <w:tcMar>
                    <w:left w:w="0" w:type="dxa"/>
                    <w:right w:w="0" w:type="dxa"/>
                  </w:tcMar>
                  <w:vAlign w:val="center"/>
                </w:tcPr>
                <w:p>
                  <w:pPr>
                    <w:tabs>
                      <w:tab w:val="left" w:pos="8820"/>
                      <w:tab w:val="left" w:pos="9000"/>
                    </w:tabs>
                    <w:overflowPunct w:val="0"/>
                    <w:autoSpaceDE w:val="0"/>
                    <w:autoSpaceDN w:val="0"/>
                    <w:adjustRightInd w:val="0"/>
                    <w:snapToGrid w:val="0"/>
                    <w:spacing w:line="240" w:lineRule="atLeast"/>
                    <w:jc w:val="center"/>
                    <w:textAlignment w:val="baseline"/>
                    <w:rPr>
                      <w:rFonts w:ascii="Times New Roman" w:hAnsi="Times New Roman"/>
                      <w:color w:val="auto"/>
                      <w:szCs w:val="21"/>
                      <w:u w:val="none"/>
                    </w:rPr>
                  </w:pPr>
                  <w:r>
                    <w:rPr>
                      <w:rFonts w:ascii="Times New Roman" w:hAnsi="Times New Roman"/>
                      <w:color w:val="auto"/>
                      <w:szCs w:val="21"/>
                      <w:u w:val="none"/>
                    </w:rPr>
                    <w:t>项目</w:t>
                  </w:r>
                </w:p>
              </w:tc>
              <w:tc>
                <w:tcPr>
                  <w:tcW w:w="1721" w:type="dxa"/>
                  <w:noWrap w:val="0"/>
                  <w:tcMar>
                    <w:left w:w="0" w:type="dxa"/>
                    <w:right w:w="0" w:type="dxa"/>
                  </w:tcMar>
                  <w:vAlign w:val="center"/>
                </w:tcPr>
                <w:p>
                  <w:pPr>
                    <w:tabs>
                      <w:tab w:val="left" w:pos="8820"/>
                      <w:tab w:val="left" w:pos="9000"/>
                    </w:tabs>
                    <w:overflowPunct w:val="0"/>
                    <w:autoSpaceDE w:val="0"/>
                    <w:autoSpaceDN w:val="0"/>
                    <w:adjustRightInd w:val="0"/>
                    <w:snapToGrid w:val="0"/>
                    <w:spacing w:line="240" w:lineRule="atLeast"/>
                    <w:jc w:val="center"/>
                    <w:textAlignment w:val="baseline"/>
                    <w:rPr>
                      <w:rFonts w:ascii="Times New Roman" w:hAnsi="Times New Roman"/>
                      <w:color w:val="auto"/>
                      <w:szCs w:val="21"/>
                      <w:u w:val="none"/>
                    </w:rPr>
                  </w:pPr>
                  <w:r>
                    <w:rPr>
                      <w:rFonts w:ascii="Times New Roman" w:hAnsi="Times New Roman"/>
                      <w:color w:val="auto"/>
                      <w:szCs w:val="21"/>
                      <w:u w:val="none"/>
                    </w:rPr>
                    <w:t>CODcr排放</w:t>
                  </w:r>
                  <w:r>
                    <w:rPr>
                      <w:rFonts w:hint="eastAsia"/>
                      <w:color w:val="auto"/>
                      <w:szCs w:val="21"/>
                      <w:u w:val="none"/>
                      <w:lang w:eastAsia="zh-CN"/>
                    </w:rPr>
                    <w:t>浓度</w:t>
                  </w:r>
                  <w:r>
                    <w:rPr>
                      <w:rFonts w:ascii="Times New Roman" w:hAnsi="Times New Roman"/>
                      <w:color w:val="auto"/>
                      <w:szCs w:val="21"/>
                      <w:u w:val="none"/>
                    </w:rPr>
                    <w:t xml:space="preserve"> </w:t>
                  </w:r>
                  <w:r>
                    <w:rPr>
                      <w:color w:val="auto"/>
                      <w:szCs w:val="21"/>
                      <w:u w:val="none"/>
                    </w:rPr>
                    <w:t>（mg/L）</w:t>
                  </w:r>
                  <w:r>
                    <w:rPr>
                      <w:rFonts w:ascii="Times New Roman" w:hAnsi="Times New Roman"/>
                      <w:color w:val="auto"/>
                      <w:szCs w:val="21"/>
                      <w:u w:val="none"/>
                    </w:rPr>
                    <w:t>)</w:t>
                  </w:r>
                </w:p>
              </w:tc>
              <w:tc>
                <w:tcPr>
                  <w:tcW w:w="1427" w:type="dxa"/>
                  <w:noWrap w:val="0"/>
                  <w:vAlign w:val="center"/>
                </w:tcPr>
                <w:p>
                  <w:pPr>
                    <w:tabs>
                      <w:tab w:val="left" w:pos="8820"/>
                      <w:tab w:val="left" w:pos="9000"/>
                    </w:tabs>
                    <w:overflowPunct w:val="0"/>
                    <w:autoSpaceDE w:val="0"/>
                    <w:autoSpaceDN w:val="0"/>
                    <w:adjustRightInd w:val="0"/>
                    <w:snapToGrid w:val="0"/>
                    <w:spacing w:line="240" w:lineRule="atLeast"/>
                    <w:jc w:val="center"/>
                    <w:textAlignment w:val="baseline"/>
                    <w:rPr>
                      <w:rFonts w:ascii="Times New Roman" w:hAnsi="Times New Roman"/>
                      <w:color w:val="auto"/>
                      <w:szCs w:val="21"/>
                      <w:u w:val="none"/>
                    </w:rPr>
                  </w:pPr>
                  <w:r>
                    <w:rPr>
                      <w:rFonts w:ascii="Times New Roman" w:hAnsi="Times New Roman"/>
                      <w:color w:val="auto"/>
                      <w:szCs w:val="21"/>
                      <w:u w:val="none"/>
                    </w:rPr>
                    <w:t>氨氮排放</w:t>
                  </w:r>
                  <w:r>
                    <w:rPr>
                      <w:rFonts w:hint="eastAsia"/>
                      <w:color w:val="auto"/>
                      <w:szCs w:val="21"/>
                      <w:u w:val="none"/>
                      <w:lang w:eastAsia="zh-CN"/>
                    </w:rPr>
                    <w:t>浓度</w:t>
                  </w:r>
                  <w:r>
                    <w:rPr>
                      <w:color w:val="auto"/>
                      <w:szCs w:val="21"/>
                      <w:u w:val="none"/>
                    </w:rPr>
                    <w:t>（mg/L）</w:t>
                  </w:r>
                </w:p>
              </w:tc>
              <w:tc>
                <w:tcPr>
                  <w:tcW w:w="1500" w:type="dxa"/>
                  <w:noWrap w:val="0"/>
                  <w:vAlign w:val="center"/>
                </w:tcPr>
                <w:p>
                  <w:pPr>
                    <w:tabs>
                      <w:tab w:val="left" w:pos="8820"/>
                      <w:tab w:val="left" w:pos="9000"/>
                    </w:tabs>
                    <w:overflowPunct w:val="0"/>
                    <w:autoSpaceDE w:val="0"/>
                    <w:autoSpaceDN w:val="0"/>
                    <w:adjustRightInd w:val="0"/>
                    <w:snapToGrid w:val="0"/>
                    <w:spacing w:line="240" w:lineRule="atLeast"/>
                    <w:jc w:val="center"/>
                    <w:textAlignment w:val="baseline"/>
                    <w:rPr>
                      <w:rFonts w:ascii="Times New Roman" w:hAnsi="Times New Roman" w:eastAsia="宋体" w:cs="Times New Roman"/>
                      <w:color w:val="auto"/>
                      <w:kern w:val="2"/>
                      <w:sz w:val="21"/>
                      <w:szCs w:val="21"/>
                      <w:u w:val="none"/>
                      <w:lang w:val="en-US" w:eastAsia="zh-CN" w:bidi="ar-SA"/>
                    </w:rPr>
                  </w:pPr>
                  <w:r>
                    <w:rPr>
                      <w:rFonts w:ascii="Times New Roman" w:hAnsi="Times New Roman"/>
                      <w:color w:val="auto"/>
                      <w:szCs w:val="21"/>
                      <w:u w:val="none"/>
                    </w:rPr>
                    <w:t>CODcr排放速率 (g/s)</w:t>
                  </w:r>
                </w:p>
              </w:tc>
              <w:tc>
                <w:tcPr>
                  <w:tcW w:w="1642" w:type="dxa"/>
                  <w:noWrap w:val="0"/>
                  <w:vAlign w:val="center"/>
                </w:tcPr>
                <w:p>
                  <w:pPr>
                    <w:tabs>
                      <w:tab w:val="left" w:pos="8820"/>
                      <w:tab w:val="left" w:pos="9000"/>
                    </w:tabs>
                    <w:overflowPunct w:val="0"/>
                    <w:autoSpaceDE w:val="0"/>
                    <w:autoSpaceDN w:val="0"/>
                    <w:adjustRightInd w:val="0"/>
                    <w:snapToGrid w:val="0"/>
                    <w:spacing w:line="240" w:lineRule="atLeast"/>
                    <w:jc w:val="center"/>
                    <w:textAlignment w:val="baseline"/>
                    <w:rPr>
                      <w:rFonts w:ascii="Times New Roman" w:hAnsi="Times New Roman" w:eastAsia="宋体" w:cs="Times New Roman"/>
                      <w:color w:val="auto"/>
                      <w:kern w:val="2"/>
                      <w:sz w:val="21"/>
                      <w:szCs w:val="21"/>
                      <w:u w:val="none"/>
                      <w:lang w:val="en-US" w:eastAsia="zh-CN" w:bidi="ar-SA"/>
                    </w:rPr>
                  </w:pPr>
                  <w:r>
                    <w:rPr>
                      <w:rFonts w:ascii="Times New Roman" w:hAnsi="Times New Roman"/>
                      <w:color w:val="auto"/>
                      <w:szCs w:val="21"/>
                      <w:u w:val="none"/>
                    </w:rPr>
                    <w:t>氨氮排放速率（g/s）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1748" w:type="dxa"/>
                  <w:noWrap w:val="0"/>
                  <w:tcMar>
                    <w:left w:w="0" w:type="dxa"/>
                    <w:right w:w="0" w:type="dxa"/>
                  </w:tcMar>
                  <w:vAlign w:val="center"/>
                </w:tcPr>
                <w:p>
                  <w:pPr>
                    <w:tabs>
                      <w:tab w:val="left" w:pos="8820"/>
                      <w:tab w:val="left" w:pos="9000"/>
                    </w:tabs>
                    <w:overflowPunct w:val="0"/>
                    <w:autoSpaceDE w:val="0"/>
                    <w:autoSpaceDN w:val="0"/>
                    <w:adjustRightInd w:val="0"/>
                    <w:snapToGrid w:val="0"/>
                    <w:spacing w:line="240" w:lineRule="atLeast"/>
                    <w:jc w:val="center"/>
                    <w:textAlignment w:val="baseline"/>
                    <w:rPr>
                      <w:rFonts w:ascii="Times New Roman" w:hAnsi="Times New Roman"/>
                      <w:color w:val="auto"/>
                      <w:szCs w:val="21"/>
                      <w:u w:val="none"/>
                    </w:rPr>
                  </w:pPr>
                  <w:r>
                    <w:rPr>
                      <w:rFonts w:ascii="Times New Roman" w:hAnsi="Times New Roman"/>
                      <w:color w:val="auto"/>
                      <w:szCs w:val="21"/>
                      <w:u w:val="none"/>
                    </w:rPr>
                    <w:t>外排废水（未处理）</w:t>
                  </w:r>
                </w:p>
              </w:tc>
              <w:tc>
                <w:tcPr>
                  <w:tcW w:w="1721" w:type="dxa"/>
                  <w:noWrap w:val="0"/>
                  <w:tcMar>
                    <w:left w:w="0" w:type="dxa"/>
                    <w:right w:w="0" w:type="dxa"/>
                  </w:tcMar>
                  <w:vAlign w:val="center"/>
                </w:tcPr>
                <w:p>
                  <w:pPr>
                    <w:tabs>
                      <w:tab w:val="left" w:pos="8820"/>
                      <w:tab w:val="left" w:pos="9000"/>
                    </w:tabs>
                    <w:overflowPunct w:val="0"/>
                    <w:autoSpaceDE w:val="0"/>
                    <w:autoSpaceDN w:val="0"/>
                    <w:adjustRightInd w:val="0"/>
                    <w:snapToGrid w:val="0"/>
                    <w:spacing w:line="240" w:lineRule="atLeast"/>
                    <w:jc w:val="center"/>
                    <w:textAlignment w:val="baseline"/>
                    <w:rPr>
                      <w:rFonts w:hint="default" w:ascii="Times New Roman" w:hAnsi="Times New Roman" w:eastAsia="宋体"/>
                      <w:color w:val="auto"/>
                      <w:szCs w:val="21"/>
                      <w:u w:val="none"/>
                      <w:lang w:val="en-US" w:eastAsia="zh-CN"/>
                    </w:rPr>
                  </w:pPr>
                  <w:r>
                    <w:rPr>
                      <w:rFonts w:hint="eastAsia"/>
                      <w:color w:val="auto"/>
                      <w:szCs w:val="21"/>
                      <w:u w:val="none"/>
                      <w:lang w:val="en-US" w:eastAsia="zh-CN"/>
                    </w:rPr>
                    <w:t>240</w:t>
                  </w:r>
                </w:p>
              </w:tc>
              <w:tc>
                <w:tcPr>
                  <w:tcW w:w="1427" w:type="dxa"/>
                  <w:noWrap w:val="0"/>
                  <w:vAlign w:val="center"/>
                </w:tcPr>
                <w:p>
                  <w:pPr>
                    <w:tabs>
                      <w:tab w:val="left" w:pos="8820"/>
                      <w:tab w:val="left" w:pos="9000"/>
                    </w:tabs>
                    <w:overflowPunct w:val="0"/>
                    <w:autoSpaceDE w:val="0"/>
                    <w:autoSpaceDN w:val="0"/>
                    <w:adjustRightInd w:val="0"/>
                    <w:snapToGrid w:val="0"/>
                    <w:spacing w:line="240" w:lineRule="atLeast"/>
                    <w:jc w:val="center"/>
                    <w:textAlignment w:val="baseline"/>
                    <w:rPr>
                      <w:rFonts w:hint="default" w:ascii="Times New Roman" w:hAnsi="Times New Roman" w:eastAsia="宋体"/>
                      <w:color w:val="auto"/>
                      <w:szCs w:val="21"/>
                      <w:u w:val="none"/>
                      <w:lang w:val="en-US" w:eastAsia="zh-CN"/>
                    </w:rPr>
                  </w:pPr>
                  <w:r>
                    <w:rPr>
                      <w:rFonts w:hint="eastAsia"/>
                      <w:color w:val="auto"/>
                      <w:szCs w:val="21"/>
                      <w:u w:val="none"/>
                      <w:lang w:val="en-US" w:eastAsia="zh-CN"/>
                    </w:rPr>
                    <w:t>30</w:t>
                  </w:r>
                </w:p>
              </w:tc>
              <w:tc>
                <w:tcPr>
                  <w:tcW w:w="1500" w:type="dxa"/>
                  <w:noWrap w:val="0"/>
                  <w:vAlign w:val="center"/>
                </w:tcPr>
                <w:p>
                  <w:pPr>
                    <w:tabs>
                      <w:tab w:val="left" w:pos="8820"/>
                      <w:tab w:val="left" w:pos="9000"/>
                    </w:tabs>
                    <w:overflowPunct w:val="0"/>
                    <w:autoSpaceDE w:val="0"/>
                    <w:autoSpaceDN w:val="0"/>
                    <w:adjustRightInd w:val="0"/>
                    <w:snapToGrid w:val="0"/>
                    <w:spacing w:line="240" w:lineRule="atLeast"/>
                    <w:jc w:val="center"/>
                    <w:textAlignment w:val="baseline"/>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2.778</w:t>
                  </w:r>
                </w:p>
              </w:tc>
              <w:tc>
                <w:tcPr>
                  <w:tcW w:w="1642" w:type="dxa"/>
                  <w:noWrap w:val="0"/>
                  <w:vAlign w:val="center"/>
                </w:tcPr>
                <w:p>
                  <w:pPr>
                    <w:tabs>
                      <w:tab w:val="left" w:pos="8820"/>
                      <w:tab w:val="left" w:pos="9000"/>
                    </w:tabs>
                    <w:overflowPunct w:val="0"/>
                    <w:autoSpaceDE w:val="0"/>
                    <w:autoSpaceDN w:val="0"/>
                    <w:adjustRightInd w:val="0"/>
                    <w:snapToGrid w:val="0"/>
                    <w:spacing w:line="240" w:lineRule="atLeast"/>
                    <w:jc w:val="center"/>
                    <w:textAlignment w:val="baseline"/>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0.347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1748" w:type="dxa"/>
                  <w:noWrap w:val="0"/>
                  <w:tcMar>
                    <w:left w:w="0" w:type="dxa"/>
                    <w:right w:w="0" w:type="dxa"/>
                  </w:tcMar>
                  <w:vAlign w:val="center"/>
                </w:tcPr>
                <w:p>
                  <w:pPr>
                    <w:tabs>
                      <w:tab w:val="left" w:pos="8820"/>
                      <w:tab w:val="left" w:pos="9000"/>
                    </w:tabs>
                    <w:overflowPunct w:val="0"/>
                    <w:autoSpaceDE w:val="0"/>
                    <w:autoSpaceDN w:val="0"/>
                    <w:adjustRightInd w:val="0"/>
                    <w:snapToGrid w:val="0"/>
                    <w:spacing w:line="240" w:lineRule="atLeast"/>
                    <w:jc w:val="center"/>
                    <w:textAlignment w:val="baseline"/>
                    <w:rPr>
                      <w:rFonts w:ascii="Times New Roman" w:hAnsi="Times New Roman"/>
                      <w:color w:val="auto"/>
                      <w:szCs w:val="21"/>
                      <w:u w:val="none"/>
                    </w:rPr>
                  </w:pPr>
                  <w:r>
                    <w:rPr>
                      <w:rFonts w:ascii="Times New Roman" w:hAnsi="Times New Roman"/>
                      <w:color w:val="auto"/>
                      <w:szCs w:val="21"/>
                      <w:u w:val="none"/>
                    </w:rPr>
                    <w:t>外排废水（经处理）</w:t>
                  </w:r>
                </w:p>
              </w:tc>
              <w:tc>
                <w:tcPr>
                  <w:tcW w:w="1721" w:type="dxa"/>
                  <w:noWrap w:val="0"/>
                  <w:tcMar>
                    <w:left w:w="0" w:type="dxa"/>
                    <w:right w:w="0" w:type="dxa"/>
                  </w:tcMar>
                  <w:vAlign w:val="center"/>
                </w:tcPr>
                <w:p>
                  <w:pPr>
                    <w:tabs>
                      <w:tab w:val="left" w:pos="8820"/>
                      <w:tab w:val="left" w:pos="9000"/>
                    </w:tabs>
                    <w:overflowPunct w:val="0"/>
                    <w:autoSpaceDE w:val="0"/>
                    <w:autoSpaceDN w:val="0"/>
                    <w:adjustRightInd w:val="0"/>
                    <w:snapToGrid w:val="0"/>
                    <w:spacing w:line="240" w:lineRule="atLeast"/>
                    <w:jc w:val="center"/>
                    <w:textAlignment w:val="baseline"/>
                    <w:rPr>
                      <w:rFonts w:hint="default" w:ascii="Times New Roman" w:hAnsi="Times New Roman" w:eastAsia="宋体"/>
                      <w:color w:val="auto"/>
                      <w:szCs w:val="21"/>
                      <w:u w:val="none"/>
                      <w:lang w:val="en-US" w:eastAsia="zh-CN"/>
                    </w:rPr>
                  </w:pPr>
                  <w:r>
                    <w:rPr>
                      <w:rFonts w:hint="eastAsia"/>
                      <w:color w:val="auto"/>
                      <w:szCs w:val="21"/>
                      <w:u w:val="none"/>
                      <w:lang w:val="en-US" w:eastAsia="zh-CN"/>
                    </w:rPr>
                    <w:t>60</w:t>
                  </w:r>
                </w:p>
              </w:tc>
              <w:tc>
                <w:tcPr>
                  <w:tcW w:w="1427" w:type="dxa"/>
                  <w:noWrap w:val="0"/>
                  <w:vAlign w:val="center"/>
                </w:tcPr>
                <w:p>
                  <w:pPr>
                    <w:tabs>
                      <w:tab w:val="left" w:pos="8820"/>
                      <w:tab w:val="left" w:pos="9000"/>
                    </w:tabs>
                    <w:overflowPunct w:val="0"/>
                    <w:autoSpaceDE w:val="0"/>
                    <w:autoSpaceDN w:val="0"/>
                    <w:adjustRightInd w:val="0"/>
                    <w:snapToGrid w:val="0"/>
                    <w:spacing w:line="240" w:lineRule="atLeast"/>
                    <w:jc w:val="center"/>
                    <w:textAlignment w:val="baseline"/>
                    <w:rPr>
                      <w:rFonts w:hint="eastAsia" w:ascii="Times New Roman" w:hAnsi="Times New Roman" w:eastAsia="宋体"/>
                      <w:color w:val="auto"/>
                      <w:szCs w:val="21"/>
                      <w:u w:val="none"/>
                      <w:lang w:val="en-US" w:eastAsia="zh-CN"/>
                    </w:rPr>
                  </w:pPr>
                  <w:r>
                    <w:rPr>
                      <w:rFonts w:hint="eastAsia"/>
                      <w:color w:val="auto"/>
                      <w:szCs w:val="21"/>
                      <w:u w:val="none"/>
                      <w:lang w:val="en-US" w:eastAsia="zh-CN"/>
                    </w:rPr>
                    <w:t>8</w:t>
                  </w:r>
                </w:p>
              </w:tc>
              <w:tc>
                <w:tcPr>
                  <w:tcW w:w="1500" w:type="dxa"/>
                  <w:noWrap w:val="0"/>
                  <w:vAlign w:val="center"/>
                </w:tcPr>
                <w:p>
                  <w:pPr>
                    <w:tabs>
                      <w:tab w:val="left" w:pos="8820"/>
                      <w:tab w:val="left" w:pos="9000"/>
                    </w:tabs>
                    <w:overflowPunct w:val="0"/>
                    <w:autoSpaceDE w:val="0"/>
                    <w:autoSpaceDN w:val="0"/>
                    <w:adjustRightInd w:val="0"/>
                    <w:snapToGrid w:val="0"/>
                    <w:spacing w:line="240" w:lineRule="atLeast"/>
                    <w:jc w:val="center"/>
                    <w:textAlignment w:val="baseline"/>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0.694</w:t>
                  </w:r>
                </w:p>
              </w:tc>
              <w:tc>
                <w:tcPr>
                  <w:tcW w:w="1642" w:type="dxa"/>
                  <w:noWrap w:val="0"/>
                  <w:vAlign w:val="center"/>
                </w:tcPr>
                <w:p>
                  <w:pPr>
                    <w:tabs>
                      <w:tab w:val="left" w:pos="8820"/>
                      <w:tab w:val="left" w:pos="9000"/>
                    </w:tabs>
                    <w:overflowPunct w:val="0"/>
                    <w:autoSpaceDE w:val="0"/>
                    <w:autoSpaceDN w:val="0"/>
                    <w:adjustRightInd w:val="0"/>
                    <w:snapToGrid w:val="0"/>
                    <w:spacing w:line="240" w:lineRule="atLeast"/>
                    <w:jc w:val="center"/>
                    <w:textAlignment w:val="baseline"/>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0.093</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cs="Times New Roman"/>
                <w:color w:val="auto"/>
                <w:sz w:val="24"/>
                <w:szCs w:val="24"/>
                <w:u w:val="none"/>
              </w:rPr>
            </w:pPr>
            <w:r>
              <w:rPr>
                <w:rFonts w:hint="default"/>
                <w:color w:val="auto"/>
                <w:sz w:val="24"/>
                <w:szCs w:val="24"/>
                <w:u w:val="none"/>
                <w:lang w:val="en-US" w:eastAsia="zh-CN"/>
              </w:rPr>
              <w:t>⑨</w:t>
            </w:r>
            <w:r>
              <w:rPr>
                <w:rFonts w:hint="default" w:ascii="Times New Roman" w:hAnsi="Times New Roman" w:cs="Times New Roman"/>
                <w:color w:val="auto"/>
                <w:sz w:val="24"/>
                <w:szCs w:val="24"/>
                <w:u w:val="none"/>
              </w:rPr>
              <w:t>结果分析及评价</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b/>
                <w:bCs/>
                <w:color w:val="auto"/>
                <w:szCs w:val="21"/>
                <w:u w:val="none"/>
                <w:lang w:eastAsia="zh-CN"/>
              </w:rPr>
            </w:pPr>
            <w:r>
              <w:rPr>
                <w:rFonts w:hint="default" w:ascii="Times New Roman" w:hAnsi="Times New Roman" w:cs="Times New Roman"/>
                <w:color w:val="auto"/>
                <w:sz w:val="24"/>
                <w:szCs w:val="24"/>
                <w:u w:val="none"/>
              </w:rPr>
              <w:t>本次预测结果如表7-1</w:t>
            </w:r>
            <w:r>
              <w:rPr>
                <w:rFonts w:hint="eastAsia" w:cs="Times New Roman"/>
                <w:color w:val="auto"/>
                <w:sz w:val="24"/>
                <w:szCs w:val="24"/>
                <w:u w:val="none"/>
                <w:lang w:val="en-US" w:eastAsia="zh-CN"/>
              </w:rPr>
              <w:t>3</w:t>
            </w:r>
            <w:r>
              <w:rPr>
                <w:rFonts w:hint="default" w:ascii="Times New Roman" w:hAnsi="Times New Roman" w:cs="Times New Roman"/>
                <w:color w:val="auto"/>
                <w:sz w:val="24"/>
                <w:szCs w:val="24"/>
                <w:u w:val="none"/>
              </w:rPr>
              <w:t>~表7-1</w:t>
            </w:r>
            <w:r>
              <w:rPr>
                <w:rFonts w:hint="eastAsia" w:cs="Times New Roman"/>
                <w:color w:val="auto"/>
                <w:sz w:val="24"/>
                <w:szCs w:val="24"/>
                <w:u w:val="none"/>
                <w:lang w:val="en-US" w:eastAsia="zh-CN"/>
              </w:rPr>
              <w:t>6</w:t>
            </w:r>
            <w:r>
              <w:rPr>
                <w:rFonts w:hint="default" w:ascii="Times New Roman" w:hAnsi="Times New Roman" w:cs="Times New Roman"/>
                <w:color w:val="auto"/>
                <w:sz w:val="24"/>
                <w:szCs w:val="24"/>
                <w:u w:val="none"/>
              </w:rPr>
              <w:t>所示</w:t>
            </w:r>
            <w:r>
              <w:rPr>
                <w:rFonts w:hint="default" w:ascii="Times New Roman" w:hAnsi="Times New Roman" w:cs="Times New Roman"/>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auto"/>
                <w:szCs w:val="21"/>
                <w:u w:val="none"/>
              </w:rPr>
            </w:pPr>
            <w:r>
              <w:rPr>
                <w:rFonts w:hint="eastAsia"/>
                <w:b/>
                <w:bCs/>
                <w:color w:val="auto"/>
                <w:szCs w:val="21"/>
                <w:u w:val="none"/>
              </w:rPr>
              <w:t>表</w:t>
            </w:r>
            <w:r>
              <w:rPr>
                <w:b/>
                <w:bCs/>
                <w:color w:val="auto"/>
                <w:szCs w:val="21"/>
                <w:u w:val="none"/>
              </w:rPr>
              <w:t>7-</w:t>
            </w:r>
            <w:r>
              <w:rPr>
                <w:rFonts w:hint="eastAsia"/>
                <w:b/>
                <w:bCs/>
                <w:color w:val="auto"/>
                <w:szCs w:val="21"/>
                <w:u w:val="none"/>
              </w:rPr>
              <w:t>1</w:t>
            </w:r>
            <w:r>
              <w:rPr>
                <w:rFonts w:hint="eastAsia"/>
                <w:b/>
                <w:bCs/>
                <w:color w:val="auto"/>
                <w:szCs w:val="21"/>
                <w:u w:val="none"/>
                <w:lang w:val="en-US" w:eastAsia="zh-CN"/>
              </w:rPr>
              <w:t>3</w:t>
            </w:r>
            <w:r>
              <w:rPr>
                <w:rFonts w:hint="eastAsia"/>
                <w:b/>
                <w:bCs/>
                <w:color w:val="auto"/>
                <w:szCs w:val="21"/>
                <w:u w:val="none"/>
              </w:rPr>
              <w:t xml:space="preserve"> </w:t>
            </w:r>
            <w:r>
              <w:rPr>
                <w:b/>
                <w:bCs/>
                <w:color w:val="auto"/>
                <w:szCs w:val="21"/>
                <w:u w:val="none"/>
              </w:rPr>
              <w:t xml:space="preserve"> </w:t>
            </w:r>
            <w:r>
              <w:rPr>
                <w:rFonts w:hint="eastAsia"/>
                <w:b/>
                <w:bCs/>
                <w:color w:val="auto"/>
                <w:szCs w:val="21"/>
                <w:u w:val="none"/>
                <w:lang w:val="en-US" w:eastAsia="zh-CN"/>
              </w:rPr>
              <w:t>正常运行时</w:t>
            </w:r>
            <w:r>
              <w:rPr>
                <w:rFonts w:hint="default"/>
                <w:b/>
                <w:bCs/>
                <w:color w:val="auto"/>
                <w:szCs w:val="21"/>
                <w:u w:val="none"/>
                <w:lang w:val="en-US" w:eastAsia="zh-CN"/>
              </w:rPr>
              <w:t>COD</w:t>
            </w:r>
            <w:r>
              <w:rPr>
                <w:rFonts w:hint="eastAsia"/>
                <w:b/>
                <w:bCs/>
                <w:color w:val="auto"/>
                <w:szCs w:val="21"/>
                <w:u w:val="none"/>
                <w:lang w:val="en-US" w:eastAsia="zh-CN"/>
              </w:rPr>
              <w:t>预测结果一览表</w:t>
            </w:r>
            <w:r>
              <w:rPr>
                <w:rFonts w:hint="default"/>
                <w:b/>
                <w:bCs/>
                <w:color w:val="auto"/>
                <w:szCs w:val="21"/>
                <w:u w:val="none"/>
                <w:lang w:val="en-US" w:eastAsia="zh-CN"/>
              </w:rPr>
              <w:t xml:space="preserve"> </w:t>
            </w:r>
            <w:r>
              <w:rPr>
                <w:rFonts w:hint="eastAsia"/>
                <w:b/>
                <w:bCs/>
                <w:color w:val="auto"/>
                <w:szCs w:val="21"/>
                <w:u w:val="none"/>
                <w:lang w:val="en-US" w:eastAsia="zh-CN"/>
              </w:rPr>
              <w:t xml:space="preserve"> 单位 </w:t>
            </w:r>
            <w:r>
              <w:rPr>
                <w:rFonts w:hint="default"/>
                <w:b/>
                <w:bCs/>
                <w:color w:val="auto"/>
                <w:szCs w:val="21"/>
                <w:u w:val="none"/>
                <w:lang w:val="en-US" w:eastAsia="zh-CN"/>
              </w:rPr>
              <w:t>mg/L</w:t>
            </w:r>
          </w:p>
          <w:tbl>
            <w:tblPr>
              <w:tblStyle w:val="28"/>
              <w:tblW w:w="487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89"/>
              <w:gridCol w:w="883"/>
              <w:gridCol w:w="915"/>
              <w:gridCol w:w="883"/>
              <w:gridCol w:w="883"/>
              <w:gridCol w:w="883"/>
              <w:gridCol w:w="883"/>
              <w:gridCol w:w="884"/>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481" w:type="pct"/>
                  <w:vMerge w:val="restart"/>
                  <w:tcBorders>
                    <w:tl2br w:val="nil"/>
                    <w:tr2bl w:val="nil"/>
                  </w:tcBorders>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pict>
                      <v:line id="_x0000_s2124" o:spid="_x0000_s2124" o:spt="20" style="position:absolute;left:0pt;margin-left:-5.15pt;margin-top:0.25pt;height:32.45pt;width:42.55pt;z-index:251654144;mso-width-relative:page;mso-height-relative:page;" filled="f" stroked="t" coordsize="21600,21600" o:gfxdata="UEsDBAoAAAAAAIdO4kAAAAAAAAAAAAAAAAAEAAAAZHJzL1BLAwQUAAAACACHTuJAQLUA0NQAAAAG&#10;AQAADwAAAGRycy9kb3ducmV2LnhtbE2PMU/DMBCFdyT+g3VIbNRuKpGSxumAxICEBAQGRje5Jin2&#10;OdhuEv49xwTj6T1977tyvzgrJgxx8KRhvVIgkBrfDtRpeH97uNmCiMlQa6wn1PCNEfbV5UVpitbP&#10;9IpTnTrBEIqF0dCnNBZSxqZHZ+LKj0icHX1wJvEZOtkGMzPcWZkpdSudGYgXejPifY/NZ312TKH8&#10;67jY8PHy/NRv6/mEj1OOWl9frdUORMIl/ZXhV5/VoWKngz9TG4XVsOGehuwuB8FpvuE/DtxSKgNZ&#10;lfK/fvUDUEsDBBQAAAAIAIdO4kCtc/iP2gEAAHQDAAAOAAAAZHJzL2Uyb0RvYy54bWytU0uOEzEQ&#10;3SNxB8t70p2e/KaVziwmGjYIIgEHqLjtbkv+yTbp5BJcAIkdrFiy5zYMx6DsDvNjh8iiYrvKr+o9&#10;v15fHbUiB+6DtKah00lJCTfMttJ0DX3/7ubFipIQwbSgrOENPfFArzbPn60HV/PK9la13BMEMaEe&#10;XEP7GF1dFIH1XEOYWMcNJoX1GiJufVe0HgZE16qoynJRDNa3zlvGQ8DT7Zikm4wvBGfxjRCBR6Ia&#10;irPFHH2O+xSLzRrqzoPrJTuPAf8whQZpsOkd1BYikA9e/gWlJfM2WBEnzOrCCiEZzxyQzbR8wuZt&#10;D45nLihOcHcyhf8Hy14fdp7ItqHVBSUGNL7R7afvPz9++fXjM8bbb18JZlCmwYUaq6/Nzp93we18&#10;4nwUXqd/ZEOODb28nK6WqPUJ/TCtqnI2H1Xmx0gY5meLxbKaU8KwYDZbLpY5X9zjOB/iS241SYuG&#10;KmmSCFDD4VWI2BtL/5SkY2NvpFL5IZUhQ0MXF3NszwDtJBREXGqHBIPpKAHVoU9Z9BkxWCXbdDvh&#10;BN/tr5UnB0heyb80OHZ7VJZabyH0Y11Ojfy0jGhlJXVDVw9vK4MgSb1Rr7Ta2/aUZczn+LS5zdmG&#10;yTsP9/n2/cey+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AtQDQ1AAAAAYBAAAPAAAAAAAAAAEA&#10;IAAAACIAAABkcnMvZG93bnJldi54bWxQSwECFAAUAAAACACHTuJArXP4j9oBAAB0AwAADgAAAAAA&#10;AAABACAAAAAjAQAAZHJzL2Uyb0RvYy54bWxQSwUGAAAAAAYABgBZAQAAbwUAAAAA&#10;">
                        <v:path arrowok="t"/>
                        <v:fill on="f" focussize="0,0"/>
                        <v:stroke weight="0.5pt" color="#000000" joinstyle="miter"/>
                        <v:imagedata o:title=""/>
                        <o:lock v:ext="edit" aspectratio="f"/>
                      </v:line>
                    </w:pict>
                  </w:r>
                  <w:r>
                    <w:rPr>
                      <w:rFonts w:hint="eastAsia" w:ascii="Times New Roman" w:hAnsi="Times New Roman" w:eastAsia="宋体" w:cs="Times New Roman"/>
                      <w:color w:val="auto"/>
                      <w:sz w:val="21"/>
                      <w:szCs w:val="21"/>
                      <w:u w:val="none"/>
                      <w:lang w:val="en-US" w:eastAsia="zh-CN"/>
                    </w:rPr>
                    <w:t>X</w:t>
                  </w:r>
                </w:p>
                <w:p>
                  <w:pPr>
                    <w:jc w:val="both"/>
                    <w:rPr>
                      <w:rFonts w:hint="default"/>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Y</w:t>
                  </w:r>
                </w:p>
              </w:tc>
              <w:tc>
                <w:tcPr>
                  <w:tcW w:w="4518" w:type="pct"/>
                  <w:gridSpan w:val="9"/>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COD（mg/L）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vMerge w:val="continue"/>
                  <w:tcBorders>
                    <w:tl2br w:val="nil"/>
                    <w:tr2bl w:val="nil"/>
                  </w:tcBorders>
                </w:tcPr>
                <w:p>
                  <w:pPr>
                    <w:jc w:val="center"/>
                    <w:rPr>
                      <w:rFonts w:hint="default" w:ascii="Times New Roman" w:hAnsi="Times New Roman" w:eastAsia="宋体" w:cs="Times New Roman"/>
                      <w:color w:val="auto"/>
                      <w:sz w:val="21"/>
                      <w:szCs w:val="21"/>
                      <w:u w:val="none"/>
                      <w:lang w:val="en-US" w:eastAsia="zh-CN"/>
                    </w:rPr>
                  </w:pPr>
                </w:p>
              </w:tc>
              <w:tc>
                <w:tcPr>
                  <w:tcW w:w="502"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0</w:t>
                  </w:r>
                </w:p>
              </w:tc>
              <w:tc>
                <w:tcPr>
                  <w:tcW w:w="499"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10</w:t>
                  </w:r>
                </w:p>
              </w:tc>
              <w:tc>
                <w:tcPr>
                  <w:tcW w:w="517"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20</w:t>
                  </w:r>
                </w:p>
              </w:tc>
              <w:tc>
                <w:tcPr>
                  <w:tcW w:w="499"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30</w:t>
                  </w:r>
                </w:p>
              </w:tc>
              <w:tc>
                <w:tcPr>
                  <w:tcW w:w="499"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40</w:t>
                  </w:r>
                </w:p>
              </w:tc>
              <w:tc>
                <w:tcPr>
                  <w:tcW w:w="499"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50</w:t>
                  </w:r>
                </w:p>
              </w:tc>
              <w:tc>
                <w:tcPr>
                  <w:tcW w:w="499" w:type="pct"/>
                  <w:tcBorders>
                    <w:tl2br w:val="nil"/>
                    <w:tr2bl w:val="nil"/>
                  </w:tcBorders>
                  <w:vAlign w:val="top"/>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60</w:t>
                  </w:r>
                </w:p>
              </w:tc>
              <w:tc>
                <w:tcPr>
                  <w:tcW w:w="499" w:type="pct"/>
                  <w:tcBorders>
                    <w:tl2br w:val="nil"/>
                    <w:tr2bl w:val="nil"/>
                  </w:tcBorders>
                  <w:vAlign w:val="top"/>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80</w:t>
                  </w:r>
                </w:p>
              </w:tc>
              <w:tc>
                <w:tcPr>
                  <w:tcW w:w="504" w:type="pct"/>
                  <w:tcBorders>
                    <w:tl2br w:val="nil"/>
                    <w:tr2bl w:val="nil"/>
                  </w:tcBorders>
                  <w:vAlign w:val="top"/>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w:t>
                  </w:r>
                </w:p>
              </w:tc>
              <w:tc>
                <w:tcPr>
                  <w:tcW w:w="502"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11.7058</w:t>
                  </w:r>
                </w:p>
              </w:tc>
              <w:tc>
                <w:tcPr>
                  <w:tcW w:w="499"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11.5594</w:t>
                  </w:r>
                </w:p>
              </w:tc>
              <w:tc>
                <w:tcPr>
                  <w:tcW w:w="517"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11.2715</w:t>
                  </w:r>
                </w:p>
              </w:tc>
              <w:tc>
                <w:tcPr>
                  <w:tcW w:w="499"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11.065</w:t>
                  </w:r>
                </w:p>
              </w:tc>
              <w:tc>
                <w:tcPr>
                  <w:tcW w:w="499"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10.9835</w:t>
                  </w:r>
                </w:p>
              </w:tc>
              <w:tc>
                <w:tcPr>
                  <w:tcW w:w="499"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10.9641</w:t>
                  </w:r>
                </w:p>
              </w:tc>
              <w:tc>
                <w:tcPr>
                  <w:tcW w:w="499"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10.9613</w:t>
                  </w:r>
                </w:p>
              </w:tc>
              <w:tc>
                <w:tcPr>
                  <w:tcW w:w="499"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10.961</w:t>
                  </w:r>
                </w:p>
              </w:tc>
              <w:tc>
                <w:tcPr>
                  <w:tcW w:w="504"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11.4469</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11.3925</w:t>
                  </w:r>
                </w:p>
              </w:tc>
              <w:tc>
                <w:tcPr>
                  <w:tcW w:w="517"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11.2609</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11.1182</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11.0133</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10.9562</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10.9323</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10.9226</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10.9221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11.1346</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11.1205</w:t>
                  </w:r>
                </w:p>
              </w:tc>
              <w:tc>
                <w:tcPr>
                  <w:tcW w:w="517"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11.0819</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11.0277</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10.9693</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10.9162</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10.8742</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10.8262</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10.8105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10.844</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10.839</w:t>
                  </w:r>
                </w:p>
              </w:tc>
              <w:tc>
                <w:tcPr>
                  <w:tcW w:w="517"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10.8249</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10.8032</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10.7767</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10.748</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10.72</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10.6738</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10.6471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10.4012</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10.3998</w:t>
                  </w:r>
                </w:p>
              </w:tc>
              <w:tc>
                <w:tcPr>
                  <w:tcW w:w="517"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10.3953</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10.3881</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10.3788</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10.368</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10.3567</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10.3357</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10.3217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200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11.7058</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11.5594</w:t>
                  </w:r>
                </w:p>
              </w:tc>
              <w:tc>
                <w:tcPr>
                  <w:tcW w:w="517"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11.2715</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11.065</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10.9835</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10.9641</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10.9613</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10.961</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500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9.306</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9.3075</w:t>
                  </w:r>
                </w:p>
              </w:tc>
              <w:tc>
                <w:tcPr>
                  <w:tcW w:w="517"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9.3085</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9.3092</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9.3095</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9.3095</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9.3093</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9.3087</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9.3081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1000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7.778</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7.7796</w:t>
                  </w:r>
                </w:p>
              </w:tc>
              <w:tc>
                <w:tcPr>
                  <w:tcW w:w="517"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7.781</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7.7823</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7.7835</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7.7845</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7.7854</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7.7867</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7.7874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1500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6.5061</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6.5072</w:t>
                  </w:r>
                </w:p>
              </w:tc>
              <w:tc>
                <w:tcPr>
                  <w:tcW w:w="517"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6.5082</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6.5091</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6.5099</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6.5106</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6.5112</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6.5122</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6.5127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2000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5.4433</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5.444</w:t>
                  </w:r>
                </w:p>
              </w:tc>
              <w:tc>
                <w:tcPr>
                  <w:tcW w:w="517"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5.4447</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5.4453</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5.4458</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5.4463</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5.4467</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5.4473</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5.4476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2500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4.5547</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4.5551</w:t>
                  </w:r>
                </w:p>
              </w:tc>
              <w:tc>
                <w:tcPr>
                  <w:tcW w:w="517"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4.5556</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4.556</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4.5563</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4.5566</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4.5569</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4.5573</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4.5576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3000</w:t>
                  </w:r>
                </w:p>
              </w:tc>
              <w:tc>
                <w:tcPr>
                  <w:tcW w:w="502"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3.8114</w:t>
                  </w:r>
                </w:p>
              </w:tc>
              <w:tc>
                <w:tcPr>
                  <w:tcW w:w="499"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3.8117</w:t>
                  </w:r>
                </w:p>
              </w:tc>
              <w:tc>
                <w:tcPr>
                  <w:tcW w:w="517"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3.812</w:t>
                  </w:r>
                </w:p>
              </w:tc>
              <w:tc>
                <w:tcPr>
                  <w:tcW w:w="499"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3.8123</w:t>
                  </w:r>
                </w:p>
              </w:tc>
              <w:tc>
                <w:tcPr>
                  <w:tcW w:w="499"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3.8125</w:t>
                  </w:r>
                </w:p>
              </w:tc>
              <w:tc>
                <w:tcPr>
                  <w:tcW w:w="499"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3.8128</w:t>
                  </w:r>
                </w:p>
              </w:tc>
              <w:tc>
                <w:tcPr>
                  <w:tcW w:w="499"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3.8129</w:t>
                  </w:r>
                </w:p>
              </w:tc>
              <w:tc>
                <w:tcPr>
                  <w:tcW w:w="499"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3.8132</w:t>
                  </w:r>
                </w:p>
              </w:tc>
              <w:tc>
                <w:tcPr>
                  <w:tcW w:w="504"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3.8134</w:t>
                  </w:r>
                </w:p>
              </w:tc>
            </w:tr>
          </w:tbl>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b/>
                <w:bCs/>
                <w:color w:val="auto"/>
                <w:szCs w:val="21"/>
                <w:u w:val="none"/>
                <w:lang w:val="en-US"/>
              </w:rPr>
            </w:pPr>
            <w:r>
              <w:rPr>
                <w:rFonts w:hint="eastAsia"/>
                <w:b/>
                <w:bCs/>
                <w:color w:val="auto"/>
                <w:szCs w:val="21"/>
                <w:u w:val="none"/>
              </w:rPr>
              <w:t>表</w:t>
            </w:r>
            <w:r>
              <w:rPr>
                <w:b/>
                <w:bCs/>
                <w:color w:val="auto"/>
                <w:szCs w:val="21"/>
                <w:u w:val="none"/>
              </w:rPr>
              <w:t>7-</w:t>
            </w:r>
            <w:r>
              <w:rPr>
                <w:rFonts w:hint="eastAsia"/>
                <w:b/>
                <w:bCs/>
                <w:color w:val="auto"/>
                <w:szCs w:val="21"/>
                <w:u w:val="none"/>
              </w:rPr>
              <w:t>1</w:t>
            </w:r>
            <w:r>
              <w:rPr>
                <w:rFonts w:hint="eastAsia"/>
                <w:b/>
                <w:bCs/>
                <w:color w:val="auto"/>
                <w:szCs w:val="21"/>
                <w:u w:val="none"/>
                <w:lang w:val="en-US" w:eastAsia="zh-CN"/>
              </w:rPr>
              <w:t>4</w:t>
            </w:r>
            <w:r>
              <w:rPr>
                <w:rFonts w:hint="eastAsia"/>
                <w:b/>
                <w:bCs/>
                <w:color w:val="auto"/>
                <w:szCs w:val="21"/>
                <w:u w:val="none"/>
              </w:rPr>
              <w:t xml:space="preserve"> </w:t>
            </w:r>
            <w:r>
              <w:rPr>
                <w:b/>
                <w:bCs/>
                <w:color w:val="auto"/>
                <w:szCs w:val="21"/>
                <w:u w:val="none"/>
              </w:rPr>
              <w:t xml:space="preserve"> </w:t>
            </w:r>
            <w:r>
              <w:rPr>
                <w:rFonts w:hint="eastAsia"/>
                <w:b/>
                <w:bCs/>
                <w:color w:val="auto"/>
                <w:szCs w:val="21"/>
                <w:u w:val="none"/>
                <w:lang w:val="en-US" w:eastAsia="zh-CN"/>
              </w:rPr>
              <w:t>正常运行时NH</w:t>
            </w:r>
            <w:r>
              <w:rPr>
                <w:rFonts w:hint="eastAsia"/>
                <w:b/>
                <w:bCs/>
                <w:color w:val="auto"/>
                <w:szCs w:val="21"/>
                <w:u w:val="none"/>
                <w:vertAlign w:val="subscript"/>
                <w:lang w:val="en-US" w:eastAsia="zh-CN"/>
              </w:rPr>
              <w:t>3</w:t>
            </w:r>
            <w:r>
              <w:rPr>
                <w:rFonts w:hint="eastAsia"/>
                <w:b/>
                <w:bCs/>
                <w:color w:val="auto"/>
                <w:szCs w:val="21"/>
                <w:u w:val="none"/>
                <w:vertAlign w:val="baseline"/>
                <w:lang w:val="en-US" w:eastAsia="zh-CN"/>
              </w:rPr>
              <w:t>-N</w:t>
            </w:r>
            <w:r>
              <w:rPr>
                <w:rFonts w:hint="eastAsia"/>
                <w:b/>
                <w:bCs/>
                <w:color w:val="auto"/>
                <w:szCs w:val="21"/>
                <w:u w:val="none"/>
                <w:lang w:val="en-US" w:eastAsia="zh-CN"/>
              </w:rPr>
              <w:t>预测结果一览表</w:t>
            </w:r>
            <w:r>
              <w:rPr>
                <w:rFonts w:hint="default"/>
                <w:b/>
                <w:bCs/>
                <w:color w:val="auto"/>
                <w:szCs w:val="21"/>
                <w:u w:val="none"/>
                <w:lang w:val="en-US" w:eastAsia="zh-CN"/>
              </w:rPr>
              <w:t xml:space="preserve"> </w:t>
            </w:r>
            <w:r>
              <w:rPr>
                <w:rFonts w:hint="eastAsia"/>
                <w:b/>
                <w:bCs/>
                <w:color w:val="auto"/>
                <w:szCs w:val="21"/>
                <w:u w:val="none"/>
                <w:lang w:val="en-US" w:eastAsia="zh-CN"/>
              </w:rPr>
              <w:t xml:space="preserve"> 单位 </w:t>
            </w:r>
            <w:r>
              <w:rPr>
                <w:rFonts w:hint="default"/>
                <w:b/>
                <w:bCs/>
                <w:color w:val="auto"/>
                <w:szCs w:val="21"/>
                <w:u w:val="none"/>
                <w:lang w:val="en-US" w:eastAsia="zh-CN"/>
              </w:rPr>
              <w:t>mg/</w:t>
            </w:r>
            <w:r>
              <w:rPr>
                <w:rFonts w:hint="eastAsia"/>
                <w:b/>
                <w:bCs/>
                <w:color w:val="auto"/>
                <w:szCs w:val="21"/>
                <w:u w:val="none"/>
                <w:lang w:val="en-US" w:eastAsia="zh-CN"/>
              </w:rPr>
              <w:t>L</w:t>
            </w:r>
          </w:p>
          <w:tbl>
            <w:tblPr>
              <w:tblStyle w:val="28"/>
              <w:tblW w:w="492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0"/>
              <w:gridCol w:w="898"/>
              <w:gridCol w:w="892"/>
              <w:gridCol w:w="924"/>
              <w:gridCol w:w="892"/>
              <w:gridCol w:w="892"/>
              <w:gridCol w:w="892"/>
              <w:gridCol w:w="892"/>
              <w:gridCol w:w="892"/>
              <w:gridCol w:w="9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481" w:type="pct"/>
                  <w:vMerge w:val="restart"/>
                  <w:tcBorders>
                    <w:tl2br w:val="nil"/>
                    <w:tr2bl w:val="nil"/>
                  </w:tcBorders>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pict>
                      <v:line id="_x0000_s2387" o:spid="_x0000_s2387" o:spt="20" style="position:absolute;left:0pt;margin-left:-5.15pt;margin-top:0.25pt;height:32.45pt;width:42.55pt;z-index:251829248;mso-width-relative:page;mso-height-relative:page;" filled="f" stroked="t" coordsize="21600,21600" o:gfxdata="UEsDBAoAAAAAAIdO4kAAAAAAAAAAAAAAAAAEAAAAZHJzL1BLAwQUAAAACACHTuJAQLUA0NQAAAAG&#10;AQAADwAAAGRycy9kb3ducmV2LnhtbE2PMU/DMBCFdyT+g3VIbNRuKpGSxumAxICEBAQGRje5Jin2&#10;OdhuEv49xwTj6T1977tyvzgrJgxx8KRhvVIgkBrfDtRpeH97uNmCiMlQa6wn1PCNEfbV5UVpitbP&#10;9IpTnTrBEIqF0dCnNBZSxqZHZ+LKj0icHX1wJvEZOtkGMzPcWZkpdSudGYgXejPifY/NZ312TKH8&#10;67jY8PHy/NRv6/mEj1OOWl9frdUORMIl/ZXhV5/VoWKngz9TG4XVsOGehuwuB8FpvuE/DtxSKgNZ&#10;lfK/fvUDUEsDBBQAAAAIAIdO4kCtc/iP2gEAAHQDAAAOAAAAZHJzL2Uyb0RvYy54bWytU0uOEzEQ&#10;3SNxB8t70p2e/KaVziwmGjYIIgEHqLjtbkv+yTbp5BJcAIkdrFiy5zYMx6DsDvNjh8iiYrvKr+o9&#10;v15fHbUiB+6DtKah00lJCTfMttJ0DX3/7ubFipIQwbSgrOENPfFArzbPn60HV/PK9la13BMEMaEe&#10;XEP7GF1dFIH1XEOYWMcNJoX1GiJufVe0HgZE16qoynJRDNa3zlvGQ8DT7Zikm4wvBGfxjRCBR6Ia&#10;irPFHH2O+xSLzRrqzoPrJTuPAf8whQZpsOkd1BYikA9e/gWlJfM2WBEnzOrCCiEZzxyQzbR8wuZt&#10;D45nLihOcHcyhf8Hy14fdp7ItqHVBSUGNL7R7afvPz9++fXjM8bbb18JZlCmwYUaq6/Nzp93we18&#10;4nwUXqd/ZEOODb28nK6WqPUJ/TCtqnI2H1Xmx0gY5meLxbKaU8KwYDZbLpY5X9zjOB/iS241SYuG&#10;KmmSCFDD4VWI2BtL/5SkY2NvpFL5IZUhQ0MXF3NszwDtJBREXGqHBIPpKAHVoU9Z9BkxWCXbdDvh&#10;BN/tr5UnB0heyb80OHZ7VJZabyH0Y11Ojfy0jGhlJXVDVw9vK4MgSb1Rr7Ta2/aUZczn+LS5zdmG&#10;yTsP9/n2/cey+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AtQDQ1AAAAAYBAAAPAAAAAAAAAAEA&#10;IAAAACIAAABkcnMvZG93bnJldi54bWxQSwECFAAUAAAACACHTuJArXP4j9oBAAB0AwAADgAAAAAA&#10;AAABACAAAAAjAQAAZHJzL2Uyb0RvYy54bWxQSwUGAAAAAAYABgBZAQAAbwUAAAAA&#10;">
                        <v:path arrowok="t"/>
                        <v:fill on="f" focussize="0,0"/>
                        <v:stroke weight="0.5pt" color="#000000" joinstyle="miter"/>
                        <v:imagedata o:title=""/>
                        <o:lock v:ext="edit" aspectratio="f"/>
                      </v:line>
                    </w:pict>
                  </w:r>
                  <w:r>
                    <w:rPr>
                      <w:rFonts w:hint="eastAsia" w:ascii="Times New Roman" w:hAnsi="Times New Roman" w:eastAsia="宋体" w:cs="Times New Roman"/>
                      <w:color w:val="auto"/>
                      <w:sz w:val="21"/>
                      <w:szCs w:val="21"/>
                      <w:u w:val="none"/>
                      <w:lang w:val="en-US" w:eastAsia="zh-CN"/>
                    </w:rPr>
                    <w:t>X</w:t>
                  </w:r>
                </w:p>
                <w:p>
                  <w:pPr>
                    <w:jc w:val="both"/>
                    <w:rPr>
                      <w:rFonts w:hint="default"/>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Y</w:t>
                  </w:r>
                </w:p>
              </w:tc>
              <w:tc>
                <w:tcPr>
                  <w:tcW w:w="4518" w:type="pct"/>
                  <w:gridSpan w:val="9"/>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NH</w:t>
                  </w:r>
                  <w:r>
                    <w:rPr>
                      <w:rFonts w:hint="eastAsia" w:ascii="Times New Roman" w:hAnsi="Times New Roman" w:eastAsia="宋体" w:cs="Times New Roman"/>
                      <w:color w:val="auto"/>
                      <w:sz w:val="21"/>
                      <w:szCs w:val="21"/>
                      <w:u w:val="none"/>
                      <w:vertAlign w:val="subscript"/>
                      <w:lang w:val="en-US" w:eastAsia="zh-CN"/>
                    </w:rPr>
                    <w:t>3</w:t>
                  </w:r>
                  <w:r>
                    <w:rPr>
                      <w:rFonts w:hint="eastAsia" w:ascii="Times New Roman" w:hAnsi="Times New Roman" w:eastAsia="宋体" w:cs="Times New Roman"/>
                      <w:color w:val="auto"/>
                      <w:sz w:val="21"/>
                      <w:szCs w:val="21"/>
                      <w:u w:val="none"/>
                      <w:vertAlign w:val="baseline"/>
                      <w:lang w:val="en-US" w:eastAsia="zh-CN"/>
                    </w:rPr>
                    <w:t>-N</w:t>
                  </w:r>
                  <w:r>
                    <w:rPr>
                      <w:rFonts w:hint="default" w:ascii="Times New Roman" w:hAnsi="Times New Roman" w:eastAsia="宋体" w:cs="Times New Roman"/>
                      <w:color w:val="auto"/>
                      <w:sz w:val="21"/>
                      <w:szCs w:val="21"/>
                      <w:u w:val="none"/>
                      <w:lang w:val="en-US" w:eastAsia="zh-CN"/>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vMerge w:val="continue"/>
                  <w:tcBorders>
                    <w:tl2br w:val="nil"/>
                    <w:tr2bl w:val="nil"/>
                  </w:tcBorders>
                </w:tcPr>
                <w:p>
                  <w:pPr>
                    <w:jc w:val="center"/>
                    <w:rPr>
                      <w:rFonts w:hint="default" w:ascii="Times New Roman" w:hAnsi="Times New Roman" w:eastAsia="宋体" w:cs="Times New Roman"/>
                      <w:color w:val="auto"/>
                      <w:sz w:val="21"/>
                      <w:szCs w:val="21"/>
                      <w:u w:val="none"/>
                      <w:lang w:val="en-US" w:eastAsia="zh-CN"/>
                    </w:rPr>
                  </w:pPr>
                </w:p>
              </w:tc>
              <w:tc>
                <w:tcPr>
                  <w:tcW w:w="502"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0</w:t>
                  </w:r>
                </w:p>
              </w:tc>
              <w:tc>
                <w:tcPr>
                  <w:tcW w:w="499"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10</w:t>
                  </w:r>
                </w:p>
              </w:tc>
              <w:tc>
                <w:tcPr>
                  <w:tcW w:w="517"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20</w:t>
                  </w:r>
                </w:p>
              </w:tc>
              <w:tc>
                <w:tcPr>
                  <w:tcW w:w="499"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30</w:t>
                  </w:r>
                </w:p>
              </w:tc>
              <w:tc>
                <w:tcPr>
                  <w:tcW w:w="499"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40</w:t>
                  </w:r>
                </w:p>
              </w:tc>
              <w:tc>
                <w:tcPr>
                  <w:tcW w:w="499"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50</w:t>
                  </w:r>
                </w:p>
              </w:tc>
              <w:tc>
                <w:tcPr>
                  <w:tcW w:w="499" w:type="pct"/>
                  <w:tcBorders>
                    <w:tl2br w:val="nil"/>
                    <w:tr2bl w:val="nil"/>
                  </w:tcBorders>
                  <w:vAlign w:val="top"/>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60</w:t>
                  </w:r>
                </w:p>
              </w:tc>
              <w:tc>
                <w:tcPr>
                  <w:tcW w:w="499" w:type="pct"/>
                  <w:tcBorders>
                    <w:tl2br w:val="nil"/>
                    <w:tr2bl w:val="nil"/>
                  </w:tcBorders>
                  <w:vAlign w:val="top"/>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80</w:t>
                  </w:r>
                </w:p>
              </w:tc>
              <w:tc>
                <w:tcPr>
                  <w:tcW w:w="504" w:type="pct"/>
                  <w:tcBorders>
                    <w:tl2br w:val="nil"/>
                    <w:tr2bl w:val="nil"/>
                  </w:tcBorders>
                  <w:vAlign w:val="top"/>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w:t>
                  </w:r>
                </w:p>
              </w:tc>
              <w:tc>
                <w:tcPr>
                  <w:tcW w:w="908"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0.5807</w:t>
                  </w:r>
                </w:p>
              </w:tc>
              <w:tc>
                <w:tcPr>
                  <w:tcW w:w="902"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0.2995</w:t>
                  </w:r>
                </w:p>
              </w:tc>
              <w:tc>
                <w:tcPr>
                  <w:tcW w:w="935"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w:t>
                  </w:r>
                </w:p>
              </w:tc>
              <w:tc>
                <w:tcPr>
                  <w:tcW w:w="902"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w:t>
                  </w:r>
                </w:p>
              </w:tc>
              <w:tc>
                <w:tcPr>
                  <w:tcW w:w="902"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w:t>
                  </w:r>
                </w:p>
              </w:tc>
              <w:tc>
                <w:tcPr>
                  <w:tcW w:w="902"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w:t>
                  </w:r>
                </w:p>
              </w:tc>
              <w:tc>
                <w:tcPr>
                  <w:tcW w:w="902"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w:t>
                  </w:r>
                </w:p>
              </w:tc>
              <w:tc>
                <w:tcPr>
                  <w:tcW w:w="902"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w:t>
                  </w:r>
                </w:p>
              </w:tc>
              <w:tc>
                <w:tcPr>
                  <w:tcW w:w="913"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w:t>
                  </w:r>
                </w:p>
              </w:tc>
              <w:tc>
                <w:tcPr>
                  <w:tcW w:w="908"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0.3639</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0.3442</w:t>
                  </w:r>
                </w:p>
              </w:tc>
              <w:tc>
                <w:tcPr>
                  <w:tcW w:w="935"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0.3055</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0.2778</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0.2668</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0.2642</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0.2638</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0.2638</w:t>
                  </w:r>
                </w:p>
              </w:tc>
              <w:tc>
                <w:tcPr>
                  <w:tcW w:w="913"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20</w:t>
                  </w:r>
                </w:p>
              </w:tc>
              <w:tc>
                <w:tcPr>
                  <w:tcW w:w="908"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0.3343</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0.3269</w:t>
                  </w:r>
                </w:p>
              </w:tc>
              <w:tc>
                <w:tcPr>
                  <w:tcW w:w="935"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0.3092</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0.29</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0.2759</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0.2682</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0.2649</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0.2636</w:t>
                  </w:r>
                </w:p>
              </w:tc>
              <w:tc>
                <w:tcPr>
                  <w:tcW w:w="913"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50</w:t>
                  </w:r>
                </w:p>
              </w:tc>
              <w:tc>
                <w:tcPr>
                  <w:tcW w:w="908"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0.3075</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0.3056</w:t>
                  </w:r>
                </w:p>
              </w:tc>
              <w:tc>
                <w:tcPr>
                  <w:tcW w:w="935"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0.3004</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0.293</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0.2851</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0.2779</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0.2721</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0.2656</w:t>
                  </w:r>
                </w:p>
              </w:tc>
              <w:tc>
                <w:tcPr>
                  <w:tcW w:w="913"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100</w:t>
                  </w:r>
                </w:p>
              </w:tc>
              <w:tc>
                <w:tcPr>
                  <w:tcW w:w="908"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0.2932</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0.2926</w:t>
                  </w:r>
                </w:p>
              </w:tc>
              <w:tc>
                <w:tcPr>
                  <w:tcW w:w="935"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0.2906</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0.2876</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0.284</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0.28</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0.2762</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0.2698</w:t>
                  </w:r>
                </w:p>
              </w:tc>
              <w:tc>
                <w:tcPr>
                  <w:tcW w:w="913"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200</w:t>
                  </w:r>
                </w:p>
              </w:tc>
              <w:tc>
                <w:tcPr>
                  <w:tcW w:w="908"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0.2818</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0.2816</w:t>
                  </w:r>
                </w:p>
              </w:tc>
              <w:tc>
                <w:tcPr>
                  <w:tcW w:w="935"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0.2809</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0.2799</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0.2786</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0.2771</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0.2755</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0.2725</w:t>
                  </w:r>
                </w:p>
              </w:tc>
              <w:tc>
                <w:tcPr>
                  <w:tcW w:w="913"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500</w:t>
                  </w:r>
                </w:p>
              </w:tc>
              <w:tc>
                <w:tcPr>
                  <w:tcW w:w="908"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0.2682</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0.2685</w:t>
                  </w:r>
                </w:p>
              </w:tc>
              <w:tc>
                <w:tcPr>
                  <w:tcW w:w="935"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0.2686</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0.2687</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0.2688</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0.2688</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0.2688</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0.2687</w:t>
                  </w:r>
                </w:p>
              </w:tc>
              <w:tc>
                <w:tcPr>
                  <w:tcW w:w="913"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1000</w:t>
                  </w:r>
                </w:p>
              </w:tc>
              <w:tc>
                <w:tcPr>
                  <w:tcW w:w="909"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0.2552</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0.2555</w:t>
                  </w:r>
                </w:p>
              </w:tc>
              <w:tc>
                <w:tcPr>
                  <w:tcW w:w="935"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0.2557</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0.2559</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0.2561</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0.2563</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0.2565</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0.2567</w:t>
                  </w:r>
                </w:p>
              </w:tc>
              <w:tc>
                <w:tcPr>
                  <w:tcW w:w="91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0.2568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1500</w:t>
                  </w:r>
                </w:p>
              </w:tc>
              <w:tc>
                <w:tcPr>
                  <w:tcW w:w="909"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0.2438</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0.244</w:t>
                  </w:r>
                </w:p>
              </w:tc>
              <w:tc>
                <w:tcPr>
                  <w:tcW w:w="935"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0.2442</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0.2444</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0.2445</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0.2447</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0.2448</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0.245</w:t>
                  </w:r>
                </w:p>
              </w:tc>
              <w:tc>
                <w:tcPr>
                  <w:tcW w:w="91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0.2451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2000</w:t>
                  </w:r>
                </w:p>
              </w:tc>
              <w:tc>
                <w:tcPr>
                  <w:tcW w:w="909"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0.2331</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0.2333</w:t>
                  </w:r>
                </w:p>
              </w:tc>
              <w:tc>
                <w:tcPr>
                  <w:tcW w:w="935"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0.2335</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0.2336</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0.2337</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0.2338</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0.2339</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0.2341</w:t>
                  </w:r>
                </w:p>
              </w:tc>
              <w:tc>
                <w:tcPr>
                  <w:tcW w:w="91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0.2341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2500</w:t>
                  </w:r>
                </w:p>
              </w:tc>
              <w:tc>
                <w:tcPr>
                  <w:tcW w:w="909"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0.2231</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0.2232</w:t>
                  </w:r>
                </w:p>
              </w:tc>
              <w:tc>
                <w:tcPr>
                  <w:tcW w:w="935"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0.2233</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0.2234</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0.2235</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0.2236</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0.2237</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0.2238</w:t>
                  </w:r>
                </w:p>
              </w:tc>
              <w:tc>
                <w:tcPr>
                  <w:tcW w:w="91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0.2239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3000</w:t>
                  </w:r>
                </w:p>
              </w:tc>
              <w:tc>
                <w:tcPr>
                  <w:tcW w:w="909"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0.2136</w:t>
                  </w:r>
                </w:p>
              </w:tc>
              <w:tc>
                <w:tcPr>
                  <w:tcW w:w="902"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0.2137</w:t>
                  </w:r>
                </w:p>
              </w:tc>
              <w:tc>
                <w:tcPr>
                  <w:tcW w:w="935"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0.2138</w:t>
                  </w:r>
                </w:p>
              </w:tc>
              <w:tc>
                <w:tcPr>
                  <w:tcW w:w="902"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0.2139</w:t>
                  </w:r>
                </w:p>
              </w:tc>
              <w:tc>
                <w:tcPr>
                  <w:tcW w:w="902"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0.2139</w:t>
                  </w:r>
                </w:p>
              </w:tc>
              <w:tc>
                <w:tcPr>
                  <w:tcW w:w="902"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0.214</w:t>
                  </w:r>
                </w:p>
              </w:tc>
              <w:tc>
                <w:tcPr>
                  <w:tcW w:w="902"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0.2141</w:t>
                  </w:r>
                </w:p>
              </w:tc>
              <w:tc>
                <w:tcPr>
                  <w:tcW w:w="902"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0.2141</w:t>
                  </w:r>
                </w:p>
              </w:tc>
              <w:tc>
                <w:tcPr>
                  <w:tcW w:w="91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0.2142</w:t>
                  </w:r>
                </w:p>
              </w:tc>
            </w:tr>
          </w:tbl>
          <w:p>
            <w:pPr>
              <w:jc w:val="center"/>
              <w:rPr>
                <w:rFonts w:hint="default"/>
                <w:b/>
                <w:bCs/>
                <w:color w:val="auto"/>
                <w:szCs w:val="21"/>
                <w:u w:val="none"/>
                <w:lang w:val="en-US"/>
              </w:rPr>
            </w:pPr>
            <w:r>
              <w:rPr>
                <w:rFonts w:hint="eastAsia"/>
                <w:b/>
                <w:bCs/>
                <w:color w:val="auto"/>
                <w:szCs w:val="21"/>
                <w:u w:val="none"/>
              </w:rPr>
              <w:t>表</w:t>
            </w:r>
            <w:r>
              <w:rPr>
                <w:b/>
                <w:bCs/>
                <w:color w:val="auto"/>
                <w:szCs w:val="21"/>
                <w:u w:val="none"/>
              </w:rPr>
              <w:t>7-</w:t>
            </w:r>
            <w:r>
              <w:rPr>
                <w:rFonts w:hint="eastAsia"/>
                <w:b/>
                <w:bCs/>
                <w:color w:val="auto"/>
                <w:szCs w:val="21"/>
                <w:u w:val="none"/>
              </w:rPr>
              <w:t>1</w:t>
            </w:r>
            <w:r>
              <w:rPr>
                <w:rFonts w:hint="eastAsia"/>
                <w:b/>
                <w:bCs/>
                <w:color w:val="auto"/>
                <w:szCs w:val="21"/>
                <w:u w:val="none"/>
                <w:lang w:val="en-US" w:eastAsia="zh-CN"/>
              </w:rPr>
              <w:t>5</w:t>
            </w:r>
            <w:r>
              <w:rPr>
                <w:rFonts w:hint="eastAsia"/>
                <w:b/>
                <w:bCs/>
                <w:color w:val="auto"/>
                <w:szCs w:val="21"/>
                <w:u w:val="none"/>
              </w:rPr>
              <w:t xml:space="preserve"> </w:t>
            </w:r>
            <w:r>
              <w:rPr>
                <w:b/>
                <w:bCs/>
                <w:color w:val="auto"/>
                <w:szCs w:val="21"/>
                <w:u w:val="none"/>
              </w:rPr>
              <w:t xml:space="preserve"> </w:t>
            </w:r>
            <w:r>
              <w:rPr>
                <w:rFonts w:hint="eastAsia"/>
                <w:b/>
                <w:bCs/>
                <w:color w:val="auto"/>
                <w:szCs w:val="21"/>
                <w:u w:val="none"/>
                <w:lang w:val="en-US" w:eastAsia="zh-CN"/>
              </w:rPr>
              <w:t>事故情况下</w:t>
            </w:r>
            <w:r>
              <w:rPr>
                <w:rFonts w:hint="default"/>
                <w:b/>
                <w:bCs/>
                <w:color w:val="auto"/>
                <w:szCs w:val="21"/>
                <w:u w:val="none"/>
                <w:lang w:val="en-US" w:eastAsia="zh-CN"/>
              </w:rPr>
              <w:t>COD</w:t>
            </w:r>
            <w:r>
              <w:rPr>
                <w:rFonts w:hint="eastAsia"/>
                <w:b/>
                <w:bCs/>
                <w:color w:val="auto"/>
                <w:szCs w:val="21"/>
                <w:u w:val="none"/>
                <w:lang w:val="en-US" w:eastAsia="zh-CN"/>
              </w:rPr>
              <w:t xml:space="preserve">预测结果一览表   单位 </w:t>
            </w:r>
            <w:r>
              <w:rPr>
                <w:rFonts w:hint="default"/>
                <w:b/>
                <w:bCs/>
                <w:color w:val="auto"/>
                <w:szCs w:val="21"/>
                <w:u w:val="none"/>
                <w:lang w:val="en-US" w:eastAsia="zh-CN"/>
              </w:rPr>
              <w:t>mg/</w:t>
            </w:r>
            <w:r>
              <w:rPr>
                <w:rFonts w:hint="eastAsia"/>
                <w:b/>
                <w:bCs/>
                <w:color w:val="auto"/>
                <w:szCs w:val="21"/>
                <w:u w:val="none"/>
                <w:lang w:val="en-US" w:eastAsia="zh-CN"/>
              </w:rPr>
              <w:t>L</w:t>
            </w:r>
          </w:p>
          <w:tbl>
            <w:tblPr>
              <w:tblStyle w:val="28"/>
              <w:tblW w:w="487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89"/>
              <w:gridCol w:w="883"/>
              <w:gridCol w:w="915"/>
              <w:gridCol w:w="883"/>
              <w:gridCol w:w="883"/>
              <w:gridCol w:w="883"/>
              <w:gridCol w:w="883"/>
              <w:gridCol w:w="884"/>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481" w:type="pct"/>
                  <w:vMerge w:val="restart"/>
                  <w:tcBorders>
                    <w:tl2br w:val="nil"/>
                    <w:tr2bl w:val="nil"/>
                  </w:tcBorders>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pict>
                      <v:line id="_x0000_s2388" o:spid="_x0000_s2388" o:spt="20" style="position:absolute;left:0pt;margin-left:-5.15pt;margin-top:0.25pt;height:32.45pt;width:42.55pt;z-index:251829248;mso-width-relative:page;mso-height-relative:page;" filled="f" stroked="t" coordsize="21600,21600" o:gfxdata="UEsDBAoAAAAAAIdO4kAAAAAAAAAAAAAAAAAEAAAAZHJzL1BLAwQUAAAACACHTuJAQLUA0NQAAAAG&#10;AQAADwAAAGRycy9kb3ducmV2LnhtbE2PMU/DMBCFdyT+g3VIbNRuKpGSxumAxICEBAQGRje5Jin2&#10;OdhuEv49xwTj6T1977tyvzgrJgxx8KRhvVIgkBrfDtRpeH97uNmCiMlQa6wn1PCNEfbV5UVpitbP&#10;9IpTnTrBEIqF0dCnNBZSxqZHZ+LKj0icHX1wJvEZOtkGMzPcWZkpdSudGYgXejPifY/NZ312TKH8&#10;67jY8PHy/NRv6/mEj1OOWl9frdUORMIl/ZXhV5/VoWKngz9TG4XVsOGehuwuB8FpvuE/DtxSKgNZ&#10;lfK/fvUDUEsDBBQAAAAIAIdO4kCtc/iP2gEAAHQDAAAOAAAAZHJzL2Uyb0RvYy54bWytU0uOEzEQ&#10;3SNxB8t70p2e/KaVziwmGjYIIgEHqLjtbkv+yTbp5BJcAIkdrFiy5zYMx6DsDvNjh8iiYrvKr+o9&#10;v15fHbUiB+6DtKah00lJCTfMttJ0DX3/7ubFipIQwbSgrOENPfFArzbPn60HV/PK9la13BMEMaEe&#10;XEP7GF1dFIH1XEOYWMcNJoX1GiJufVe0HgZE16qoynJRDNa3zlvGQ8DT7Zikm4wvBGfxjRCBR6Ia&#10;irPFHH2O+xSLzRrqzoPrJTuPAf8whQZpsOkd1BYikA9e/gWlJfM2WBEnzOrCCiEZzxyQzbR8wuZt&#10;D45nLihOcHcyhf8Hy14fdp7ItqHVBSUGNL7R7afvPz9++fXjM8bbb18JZlCmwYUaq6/Nzp93we18&#10;4nwUXqd/ZEOODb28nK6WqPUJ/TCtqnI2H1Xmx0gY5meLxbKaU8KwYDZbLpY5X9zjOB/iS241SYuG&#10;KmmSCFDD4VWI2BtL/5SkY2NvpFL5IZUhQ0MXF3NszwDtJBREXGqHBIPpKAHVoU9Z9BkxWCXbdDvh&#10;BN/tr5UnB0heyb80OHZ7VJZabyH0Y11Ojfy0jGhlJXVDVw9vK4MgSb1Rr7Ta2/aUZczn+LS5zdmG&#10;yTsP9/n2/cey+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AtQDQ1AAAAAYBAAAPAAAAAAAAAAEA&#10;IAAAACIAAABkcnMvZG93bnJldi54bWxQSwECFAAUAAAACACHTuJArXP4j9oBAAB0AwAADgAAAAAA&#10;AAABACAAAAAjAQAAZHJzL2Uyb0RvYy54bWxQSwUGAAAAAAYABgBZAQAAbwUAAAAA&#10;">
                        <v:path arrowok="t"/>
                        <v:fill on="f" focussize="0,0"/>
                        <v:stroke weight="0.5pt" color="#000000" joinstyle="miter"/>
                        <v:imagedata o:title=""/>
                        <o:lock v:ext="edit" aspectratio="f"/>
                      </v:line>
                    </w:pict>
                  </w:r>
                  <w:r>
                    <w:rPr>
                      <w:rFonts w:hint="eastAsia" w:ascii="Times New Roman" w:hAnsi="Times New Roman" w:eastAsia="宋体" w:cs="Times New Roman"/>
                      <w:color w:val="auto"/>
                      <w:sz w:val="21"/>
                      <w:szCs w:val="21"/>
                      <w:u w:val="none"/>
                      <w:lang w:val="en-US" w:eastAsia="zh-CN"/>
                    </w:rPr>
                    <w:t>X</w:t>
                  </w:r>
                </w:p>
                <w:p>
                  <w:pPr>
                    <w:jc w:val="both"/>
                    <w:rPr>
                      <w:rFonts w:hint="default"/>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Y</w:t>
                  </w:r>
                </w:p>
              </w:tc>
              <w:tc>
                <w:tcPr>
                  <w:tcW w:w="4518" w:type="pct"/>
                  <w:gridSpan w:val="9"/>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COD（mg/L）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vMerge w:val="continue"/>
                  <w:tcBorders>
                    <w:tl2br w:val="nil"/>
                    <w:tr2bl w:val="nil"/>
                  </w:tcBorders>
                </w:tcPr>
                <w:p>
                  <w:pPr>
                    <w:jc w:val="center"/>
                    <w:rPr>
                      <w:rFonts w:hint="default" w:ascii="Times New Roman" w:hAnsi="Times New Roman" w:eastAsia="宋体" w:cs="Times New Roman"/>
                      <w:color w:val="auto"/>
                      <w:sz w:val="21"/>
                      <w:szCs w:val="21"/>
                      <w:u w:val="none"/>
                      <w:lang w:val="en-US" w:eastAsia="zh-CN"/>
                    </w:rPr>
                  </w:pPr>
                </w:p>
              </w:tc>
              <w:tc>
                <w:tcPr>
                  <w:tcW w:w="502"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0</w:t>
                  </w:r>
                </w:p>
              </w:tc>
              <w:tc>
                <w:tcPr>
                  <w:tcW w:w="499"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10</w:t>
                  </w:r>
                </w:p>
              </w:tc>
              <w:tc>
                <w:tcPr>
                  <w:tcW w:w="517"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20</w:t>
                  </w:r>
                </w:p>
              </w:tc>
              <w:tc>
                <w:tcPr>
                  <w:tcW w:w="499"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30</w:t>
                  </w:r>
                </w:p>
              </w:tc>
              <w:tc>
                <w:tcPr>
                  <w:tcW w:w="499"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40</w:t>
                  </w:r>
                </w:p>
              </w:tc>
              <w:tc>
                <w:tcPr>
                  <w:tcW w:w="499"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50</w:t>
                  </w:r>
                </w:p>
              </w:tc>
              <w:tc>
                <w:tcPr>
                  <w:tcW w:w="499" w:type="pct"/>
                  <w:tcBorders>
                    <w:tl2br w:val="nil"/>
                    <w:tr2bl w:val="nil"/>
                  </w:tcBorders>
                  <w:vAlign w:val="top"/>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60</w:t>
                  </w:r>
                </w:p>
              </w:tc>
              <w:tc>
                <w:tcPr>
                  <w:tcW w:w="499" w:type="pct"/>
                  <w:tcBorders>
                    <w:tl2br w:val="nil"/>
                    <w:tr2bl w:val="nil"/>
                  </w:tcBorders>
                  <w:vAlign w:val="top"/>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80</w:t>
                  </w:r>
                </w:p>
              </w:tc>
              <w:tc>
                <w:tcPr>
                  <w:tcW w:w="504" w:type="pct"/>
                  <w:tcBorders>
                    <w:tl2br w:val="nil"/>
                    <w:tr2bl w:val="nil"/>
                  </w:tcBorders>
                  <w:vAlign w:val="top"/>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w:t>
                  </w:r>
                </w:p>
              </w:tc>
              <w:tc>
                <w:tcPr>
                  <w:tcW w:w="502"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20.4543</w:t>
                  </w:r>
                </w:p>
              </w:tc>
              <w:tc>
                <w:tcPr>
                  <w:tcW w:w="499"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12.0573</w:t>
                  </w:r>
                </w:p>
              </w:tc>
              <w:tc>
                <w:tcPr>
                  <w:tcW w:w="517"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10.9976</w:t>
                  </w:r>
                </w:p>
              </w:tc>
              <w:tc>
                <w:tcPr>
                  <w:tcW w:w="499"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10.9961</w:t>
                  </w:r>
                </w:p>
              </w:tc>
              <w:tc>
                <w:tcPr>
                  <w:tcW w:w="499"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10.9961</w:t>
                  </w:r>
                </w:p>
              </w:tc>
              <w:tc>
                <w:tcPr>
                  <w:tcW w:w="499"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10.9961</w:t>
                  </w:r>
                </w:p>
              </w:tc>
              <w:tc>
                <w:tcPr>
                  <w:tcW w:w="499"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10.9961</w:t>
                  </w:r>
                </w:p>
              </w:tc>
              <w:tc>
                <w:tcPr>
                  <w:tcW w:w="499"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10.9961</w:t>
                  </w:r>
                </w:p>
              </w:tc>
              <w:tc>
                <w:tcPr>
                  <w:tcW w:w="504"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10.9961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13.9424</w:t>
                  </w:r>
                </w:p>
              </w:tc>
              <w:tc>
                <w:tcPr>
                  <w:tcW w:w="517"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13.3566</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12.2038</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11.3773</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11.051</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10.9735</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10.961</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20</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13.0228</w:t>
                  </w:r>
                </w:p>
              </w:tc>
              <w:tc>
                <w:tcPr>
                  <w:tcW w:w="517"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12.8051</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12.2784</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11.707</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11.2871</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11.0585</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10.924</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10.9221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50</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12.1207</w:t>
                  </w:r>
                </w:p>
              </w:tc>
              <w:tc>
                <w:tcPr>
                  <w:tcW w:w="517"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12.0644</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11.9097</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11.6929</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11.459</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11.2465</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10.8862</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10.8236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100</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11.529</w:t>
                  </w:r>
                </w:p>
              </w:tc>
              <w:tc>
                <w:tcPr>
                  <w:tcW w:w="517"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11.5092</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11.4525</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11.3659</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11.2596</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11.1451</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10.8477</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10.7409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200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200</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10.8701</w:t>
                  </w:r>
                </w:p>
              </w:tc>
              <w:tc>
                <w:tcPr>
                  <w:tcW w:w="517"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10.8646</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10.8465</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10.8176</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10.7802</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10.7371</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10.6077</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10.5519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500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9.598</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9.604</w:t>
                  </w:r>
                </w:p>
              </w:tc>
              <w:tc>
                <w:tcPr>
                  <w:tcW w:w="517"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9.6083</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9.6108</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9.612</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9.6121</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9.6114</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9.6088</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9.6065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1000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7.9847</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7.9911</w:t>
                  </w:r>
                </w:p>
              </w:tc>
              <w:tc>
                <w:tcPr>
                  <w:tcW w:w="517"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7.9969</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8.0021</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8.0068</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8.0109</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8.0144</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8.0196</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8.0225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1500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6.6633</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6.6676</w:t>
                  </w:r>
                </w:p>
              </w:tc>
              <w:tc>
                <w:tcPr>
                  <w:tcW w:w="517"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6.6716</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6.6752</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6.6784</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6.6813</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6.6838</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6.6875</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6.6897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2000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5.565</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5.5678</w:t>
                  </w:r>
                </w:p>
              </w:tc>
              <w:tc>
                <w:tcPr>
                  <w:tcW w:w="517"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5.5704</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5.5728</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5.5749</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5.5768</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5.5785</w:t>
                  </w:r>
                </w:p>
              </w:tc>
              <w:tc>
                <w:tcPr>
                  <w:tcW w:w="499"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5.5809</w:t>
                  </w:r>
                </w:p>
              </w:tc>
              <w:tc>
                <w:tcPr>
                  <w:tcW w:w="504"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5.5823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2500</w:t>
                  </w:r>
                </w:p>
              </w:tc>
              <w:tc>
                <w:tcPr>
                  <w:tcW w:w="909"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4.6498</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4.6517</w:t>
                  </w:r>
                </w:p>
              </w:tc>
              <w:tc>
                <w:tcPr>
                  <w:tcW w:w="935"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4.6534</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4.655</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4.6564</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4.6577</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4.6588</w:t>
                  </w:r>
                </w:p>
              </w:tc>
              <w:tc>
                <w:tcPr>
                  <w:tcW w:w="90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4.6605</w:t>
                  </w:r>
                </w:p>
              </w:tc>
              <w:tc>
                <w:tcPr>
                  <w:tcW w:w="91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4.6614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3000</w:t>
                  </w:r>
                </w:p>
              </w:tc>
              <w:tc>
                <w:tcPr>
                  <w:tcW w:w="909"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3.8863</w:t>
                  </w:r>
                </w:p>
              </w:tc>
              <w:tc>
                <w:tcPr>
                  <w:tcW w:w="902"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3.8876</w:t>
                  </w:r>
                </w:p>
              </w:tc>
              <w:tc>
                <w:tcPr>
                  <w:tcW w:w="935"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3.8888</w:t>
                  </w:r>
                </w:p>
              </w:tc>
              <w:tc>
                <w:tcPr>
                  <w:tcW w:w="902"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3.8899</w:t>
                  </w:r>
                </w:p>
              </w:tc>
              <w:tc>
                <w:tcPr>
                  <w:tcW w:w="902"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3.8909</w:t>
                  </w:r>
                </w:p>
              </w:tc>
              <w:tc>
                <w:tcPr>
                  <w:tcW w:w="902"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3.8918</w:t>
                  </w:r>
                </w:p>
              </w:tc>
              <w:tc>
                <w:tcPr>
                  <w:tcW w:w="902"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3.8925</w:t>
                  </w:r>
                </w:p>
              </w:tc>
              <w:tc>
                <w:tcPr>
                  <w:tcW w:w="902" w:type="dxa"/>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3.8937</w:t>
                  </w:r>
                </w:p>
              </w:tc>
              <w:tc>
                <w:tcPr>
                  <w:tcW w:w="912" w:type="dxa"/>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3.8943</w:t>
                  </w:r>
                </w:p>
              </w:tc>
            </w:tr>
          </w:tbl>
          <w:p>
            <w:pPr>
              <w:jc w:val="center"/>
              <w:rPr>
                <w:rFonts w:hint="default"/>
                <w:b/>
                <w:bCs/>
                <w:color w:val="auto"/>
                <w:szCs w:val="21"/>
                <w:u w:val="none"/>
                <w:lang w:val="en-US"/>
              </w:rPr>
            </w:pPr>
            <w:r>
              <w:rPr>
                <w:rFonts w:hint="eastAsia"/>
                <w:b/>
                <w:bCs/>
                <w:color w:val="auto"/>
                <w:szCs w:val="21"/>
                <w:u w:val="none"/>
              </w:rPr>
              <w:t>表</w:t>
            </w:r>
            <w:r>
              <w:rPr>
                <w:b/>
                <w:bCs/>
                <w:color w:val="auto"/>
                <w:szCs w:val="21"/>
                <w:u w:val="none"/>
              </w:rPr>
              <w:t>7-</w:t>
            </w:r>
            <w:r>
              <w:rPr>
                <w:rFonts w:hint="eastAsia"/>
                <w:b/>
                <w:bCs/>
                <w:color w:val="auto"/>
                <w:szCs w:val="21"/>
                <w:u w:val="none"/>
              </w:rPr>
              <w:t>1</w:t>
            </w:r>
            <w:r>
              <w:rPr>
                <w:rFonts w:hint="eastAsia"/>
                <w:b/>
                <w:bCs/>
                <w:color w:val="auto"/>
                <w:szCs w:val="21"/>
                <w:u w:val="none"/>
                <w:lang w:val="en-US" w:eastAsia="zh-CN"/>
              </w:rPr>
              <w:t>6</w:t>
            </w:r>
            <w:r>
              <w:rPr>
                <w:rFonts w:hint="eastAsia"/>
                <w:b/>
                <w:bCs/>
                <w:color w:val="auto"/>
                <w:szCs w:val="21"/>
                <w:u w:val="none"/>
              </w:rPr>
              <w:t xml:space="preserve"> </w:t>
            </w:r>
            <w:r>
              <w:rPr>
                <w:b/>
                <w:bCs/>
                <w:color w:val="auto"/>
                <w:szCs w:val="21"/>
                <w:u w:val="none"/>
              </w:rPr>
              <w:t xml:space="preserve"> </w:t>
            </w:r>
            <w:r>
              <w:rPr>
                <w:rFonts w:hint="eastAsia"/>
                <w:b/>
                <w:bCs/>
                <w:color w:val="auto"/>
                <w:szCs w:val="21"/>
                <w:u w:val="none"/>
                <w:lang w:val="en-US" w:eastAsia="zh-CN"/>
              </w:rPr>
              <w:t>事故情况下NH</w:t>
            </w:r>
            <w:r>
              <w:rPr>
                <w:rFonts w:hint="eastAsia"/>
                <w:b/>
                <w:bCs/>
                <w:color w:val="auto"/>
                <w:szCs w:val="21"/>
                <w:u w:val="none"/>
                <w:vertAlign w:val="subscript"/>
                <w:lang w:val="en-US" w:eastAsia="zh-CN"/>
              </w:rPr>
              <w:t>3</w:t>
            </w:r>
            <w:r>
              <w:rPr>
                <w:rFonts w:hint="eastAsia"/>
                <w:b/>
                <w:bCs/>
                <w:color w:val="auto"/>
                <w:szCs w:val="21"/>
                <w:u w:val="none"/>
                <w:vertAlign w:val="baseline"/>
                <w:lang w:val="en-US" w:eastAsia="zh-CN"/>
              </w:rPr>
              <w:t>-N</w:t>
            </w:r>
            <w:r>
              <w:rPr>
                <w:rFonts w:hint="eastAsia"/>
                <w:b/>
                <w:bCs/>
                <w:color w:val="auto"/>
                <w:szCs w:val="21"/>
                <w:u w:val="none"/>
                <w:lang w:val="en-US" w:eastAsia="zh-CN"/>
              </w:rPr>
              <w:t xml:space="preserve">预测结果一览表   单位 </w:t>
            </w:r>
            <w:r>
              <w:rPr>
                <w:rFonts w:hint="default"/>
                <w:b/>
                <w:bCs/>
                <w:color w:val="auto"/>
                <w:szCs w:val="21"/>
                <w:u w:val="none"/>
                <w:lang w:val="en-US" w:eastAsia="zh-CN"/>
              </w:rPr>
              <w:t>mg/</w:t>
            </w:r>
            <w:r>
              <w:rPr>
                <w:rFonts w:hint="eastAsia"/>
                <w:b/>
                <w:bCs/>
                <w:color w:val="auto"/>
                <w:szCs w:val="21"/>
                <w:u w:val="none"/>
                <w:lang w:val="en-US" w:eastAsia="zh-CN"/>
              </w:rPr>
              <w:t>L</w:t>
            </w:r>
          </w:p>
          <w:tbl>
            <w:tblPr>
              <w:tblStyle w:val="28"/>
              <w:tblW w:w="492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0"/>
              <w:gridCol w:w="898"/>
              <w:gridCol w:w="890"/>
              <w:gridCol w:w="923"/>
              <w:gridCol w:w="890"/>
              <w:gridCol w:w="890"/>
              <w:gridCol w:w="890"/>
              <w:gridCol w:w="890"/>
              <w:gridCol w:w="891"/>
              <w:gridCol w:w="9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481" w:type="pct"/>
                  <w:vMerge w:val="restart"/>
                  <w:tcBorders>
                    <w:tl2br w:val="nil"/>
                    <w:tr2bl w:val="nil"/>
                  </w:tcBorders>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pict>
                      <v:line id="_x0000_s2389" o:spid="_x0000_s2389" o:spt="20" style="position:absolute;left:0pt;margin-left:-5.15pt;margin-top:0.25pt;height:32.45pt;width:42.55pt;z-index:252004352;mso-width-relative:page;mso-height-relative:page;" filled="f" stroked="t" coordsize="21600,21600" o:gfxdata="UEsDBAoAAAAAAIdO4kAAAAAAAAAAAAAAAAAEAAAAZHJzL1BLAwQUAAAACACHTuJAQLUA0NQAAAAG&#10;AQAADwAAAGRycy9kb3ducmV2LnhtbE2PMU/DMBCFdyT+g3VIbNRuKpGSxumAxICEBAQGRje5Jin2&#10;OdhuEv49xwTj6T1977tyvzgrJgxx8KRhvVIgkBrfDtRpeH97uNmCiMlQa6wn1PCNEfbV5UVpitbP&#10;9IpTnTrBEIqF0dCnNBZSxqZHZ+LKj0icHX1wJvEZOtkGMzPcWZkpdSudGYgXejPifY/NZ312TKH8&#10;67jY8PHy/NRv6/mEj1OOWl9frdUORMIl/ZXhV5/VoWKngz9TG4XVsOGehuwuB8FpvuE/DtxSKgNZ&#10;lfK/fvUDUEsDBBQAAAAIAIdO4kCtc/iP2gEAAHQDAAAOAAAAZHJzL2Uyb0RvYy54bWytU0uOEzEQ&#10;3SNxB8t70p2e/KaVziwmGjYIIgEHqLjtbkv+yTbp5BJcAIkdrFiy5zYMx6DsDvNjh8iiYrvKr+o9&#10;v15fHbUiB+6DtKah00lJCTfMttJ0DX3/7ubFipIQwbSgrOENPfFArzbPn60HV/PK9la13BMEMaEe&#10;XEP7GF1dFIH1XEOYWMcNJoX1GiJufVe0HgZE16qoynJRDNa3zlvGQ8DT7Zikm4wvBGfxjRCBR6Ia&#10;irPFHH2O+xSLzRrqzoPrJTuPAf8whQZpsOkd1BYikA9e/gWlJfM2WBEnzOrCCiEZzxyQzbR8wuZt&#10;D45nLihOcHcyhf8Hy14fdp7ItqHVBSUGNL7R7afvPz9++fXjM8bbb18JZlCmwYUaq6/Nzp93we18&#10;4nwUXqd/ZEOODb28nK6WqPUJ/TCtqnI2H1Xmx0gY5meLxbKaU8KwYDZbLpY5X9zjOB/iS241SYuG&#10;KmmSCFDD4VWI2BtL/5SkY2NvpFL5IZUhQ0MXF3NszwDtJBREXGqHBIPpKAHVoU9Z9BkxWCXbdDvh&#10;BN/tr5UnB0heyb80OHZ7VJZabyH0Y11Ojfy0jGhlJXVDVw9vK4MgSb1Rr7Ta2/aUZczn+LS5zdmG&#10;yTsP9/n2/cey+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AtQDQ1AAAAAYBAAAPAAAAAAAAAAEA&#10;IAAAACIAAABkcnMvZG93bnJldi54bWxQSwECFAAUAAAACACHTuJArXP4j9oBAAB0AwAADgAAAAAA&#10;AAABACAAAAAjAQAAZHJzL2Uyb0RvYy54bWxQSwUGAAAAAAYABgBZAQAAbwUAAAAA&#10;">
                        <v:path arrowok="t"/>
                        <v:fill on="f" focussize="0,0"/>
                        <v:stroke weight="0.5pt" color="#000000" joinstyle="miter"/>
                        <v:imagedata o:title=""/>
                        <o:lock v:ext="edit" aspectratio="f"/>
                      </v:line>
                    </w:pict>
                  </w:r>
                  <w:r>
                    <w:rPr>
                      <w:rFonts w:hint="eastAsia" w:ascii="Times New Roman" w:hAnsi="Times New Roman" w:eastAsia="宋体" w:cs="Times New Roman"/>
                      <w:color w:val="auto"/>
                      <w:sz w:val="21"/>
                      <w:szCs w:val="21"/>
                      <w:u w:val="none"/>
                      <w:lang w:val="en-US" w:eastAsia="zh-CN"/>
                    </w:rPr>
                    <w:t>X</w:t>
                  </w:r>
                </w:p>
                <w:p>
                  <w:pPr>
                    <w:jc w:val="both"/>
                    <w:rPr>
                      <w:rFonts w:hint="default"/>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Y</w:t>
                  </w:r>
                </w:p>
              </w:tc>
              <w:tc>
                <w:tcPr>
                  <w:tcW w:w="4518" w:type="pct"/>
                  <w:gridSpan w:val="9"/>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NH</w:t>
                  </w:r>
                  <w:r>
                    <w:rPr>
                      <w:rFonts w:hint="eastAsia" w:ascii="Times New Roman" w:hAnsi="Times New Roman" w:eastAsia="宋体" w:cs="Times New Roman"/>
                      <w:color w:val="auto"/>
                      <w:sz w:val="21"/>
                      <w:szCs w:val="21"/>
                      <w:u w:val="none"/>
                      <w:vertAlign w:val="subscript"/>
                      <w:lang w:val="en-US" w:eastAsia="zh-CN"/>
                    </w:rPr>
                    <w:t>3</w:t>
                  </w:r>
                  <w:r>
                    <w:rPr>
                      <w:rFonts w:hint="eastAsia" w:ascii="Times New Roman" w:hAnsi="Times New Roman" w:eastAsia="宋体" w:cs="Times New Roman"/>
                      <w:color w:val="auto"/>
                      <w:sz w:val="21"/>
                      <w:szCs w:val="21"/>
                      <w:u w:val="none"/>
                      <w:vertAlign w:val="baseline"/>
                      <w:lang w:val="en-US" w:eastAsia="zh-CN"/>
                    </w:rPr>
                    <w:t>-N</w:t>
                  </w:r>
                  <w:r>
                    <w:rPr>
                      <w:rFonts w:hint="default" w:ascii="Times New Roman" w:hAnsi="Times New Roman" w:eastAsia="宋体" w:cs="Times New Roman"/>
                      <w:color w:val="auto"/>
                      <w:sz w:val="21"/>
                      <w:szCs w:val="21"/>
                      <w:u w:val="none"/>
                      <w:lang w:val="en-US" w:eastAsia="zh-CN"/>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vMerge w:val="continue"/>
                  <w:tcBorders>
                    <w:tl2br w:val="nil"/>
                    <w:tr2bl w:val="nil"/>
                  </w:tcBorders>
                </w:tcPr>
                <w:p>
                  <w:pPr>
                    <w:jc w:val="center"/>
                    <w:rPr>
                      <w:rFonts w:hint="default" w:ascii="Times New Roman" w:hAnsi="Times New Roman" w:eastAsia="宋体" w:cs="Times New Roman"/>
                      <w:color w:val="auto"/>
                      <w:sz w:val="21"/>
                      <w:szCs w:val="21"/>
                      <w:u w:val="none"/>
                      <w:lang w:val="en-US" w:eastAsia="zh-CN"/>
                    </w:rPr>
                  </w:pPr>
                </w:p>
              </w:tc>
              <w:tc>
                <w:tcPr>
                  <w:tcW w:w="502"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0</w:t>
                  </w:r>
                </w:p>
              </w:tc>
              <w:tc>
                <w:tcPr>
                  <w:tcW w:w="498"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10</w:t>
                  </w:r>
                </w:p>
              </w:tc>
              <w:tc>
                <w:tcPr>
                  <w:tcW w:w="516"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20</w:t>
                  </w:r>
                </w:p>
              </w:tc>
              <w:tc>
                <w:tcPr>
                  <w:tcW w:w="498"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30</w:t>
                  </w:r>
                </w:p>
              </w:tc>
              <w:tc>
                <w:tcPr>
                  <w:tcW w:w="498"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40</w:t>
                  </w:r>
                </w:p>
              </w:tc>
              <w:tc>
                <w:tcPr>
                  <w:tcW w:w="498" w:type="pct"/>
                  <w:tcBorders>
                    <w:tl2br w:val="nil"/>
                    <w:tr2bl w:val="nil"/>
                  </w:tcBorders>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50</w:t>
                  </w:r>
                </w:p>
              </w:tc>
              <w:tc>
                <w:tcPr>
                  <w:tcW w:w="498" w:type="pct"/>
                  <w:tcBorders>
                    <w:tl2br w:val="nil"/>
                    <w:tr2bl w:val="nil"/>
                  </w:tcBorders>
                  <w:vAlign w:val="top"/>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60</w:t>
                  </w:r>
                </w:p>
              </w:tc>
              <w:tc>
                <w:tcPr>
                  <w:tcW w:w="498" w:type="pct"/>
                  <w:tcBorders>
                    <w:tl2br w:val="nil"/>
                    <w:tr2bl w:val="nil"/>
                  </w:tcBorders>
                  <w:vAlign w:val="top"/>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80</w:t>
                  </w:r>
                </w:p>
              </w:tc>
              <w:tc>
                <w:tcPr>
                  <w:tcW w:w="505" w:type="pct"/>
                  <w:tcBorders>
                    <w:tl2br w:val="nil"/>
                    <w:tr2bl w:val="nil"/>
                  </w:tcBorders>
                  <w:vAlign w:val="top"/>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w:t>
                  </w:r>
                </w:p>
              </w:tc>
              <w:tc>
                <w:tcPr>
                  <w:tcW w:w="502"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1.4457</w:t>
                  </w:r>
                </w:p>
              </w:tc>
              <w:tc>
                <w:tcPr>
                  <w:tcW w:w="498"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0.3966</w:t>
                  </w:r>
                </w:p>
              </w:tc>
              <w:tc>
                <w:tcPr>
                  <w:tcW w:w="516"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0.2642</w:t>
                  </w:r>
                </w:p>
              </w:tc>
              <w:tc>
                <w:tcPr>
                  <w:tcW w:w="498"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w:t>
                  </w:r>
                </w:p>
              </w:tc>
              <w:tc>
                <w:tcPr>
                  <w:tcW w:w="498"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w:t>
                  </w:r>
                </w:p>
              </w:tc>
              <w:tc>
                <w:tcPr>
                  <w:tcW w:w="498"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w:t>
                  </w:r>
                </w:p>
              </w:tc>
              <w:tc>
                <w:tcPr>
                  <w:tcW w:w="498"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w:t>
                  </w:r>
                </w:p>
              </w:tc>
              <w:tc>
                <w:tcPr>
                  <w:tcW w:w="498"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w:t>
                  </w:r>
                </w:p>
              </w:tc>
              <w:tc>
                <w:tcPr>
                  <w:tcW w:w="505"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0.6372</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0.5638</w:t>
                  </w:r>
                </w:p>
              </w:tc>
              <w:tc>
                <w:tcPr>
                  <w:tcW w:w="516"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0.4194</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0.3159</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0.2751</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0.2654</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0.2639</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0.2638</w:t>
                  </w:r>
                </w:p>
              </w:tc>
              <w:tc>
                <w:tcPr>
                  <w:tcW w:w="505"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0.5274</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0.5001</w:t>
                  </w:r>
                </w:p>
              </w:tc>
              <w:tc>
                <w:tcPr>
                  <w:tcW w:w="516"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0.4339</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0.3622</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0.3094</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0.2807</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0.2687</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0.2638</w:t>
                  </w:r>
                </w:p>
              </w:tc>
              <w:tc>
                <w:tcPr>
                  <w:tcW w:w="505"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0.4294</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0.4222</w:t>
                  </w:r>
                </w:p>
              </w:tc>
              <w:tc>
                <w:tcPr>
                  <w:tcW w:w="516"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0.4026</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0.3752</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0.3456</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0.3187</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0.2974</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0.273</w:t>
                  </w:r>
                </w:p>
              </w:tc>
              <w:tc>
                <w:tcPr>
                  <w:tcW w:w="505"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0.379</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0.3765</w:t>
                  </w:r>
                </w:p>
              </w:tc>
              <w:tc>
                <w:tcPr>
                  <w:tcW w:w="516"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0.3692</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0.3581</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0.3445</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0.3298</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0.3154</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0.2916</w:t>
                  </w:r>
                </w:p>
              </w:tc>
              <w:tc>
                <w:tcPr>
                  <w:tcW w:w="505"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200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0.3421</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0.3414</w:t>
                  </w:r>
                </w:p>
              </w:tc>
              <w:tc>
                <w:tcPr>
                  <w:tcW w:w="516"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0.339</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0.3352</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0.3303</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0.3246</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0.3186</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0.3075</w:t>
                  </w:r>
                </w:p>
              </w:tc>
              <w:tc>
                <w:tcPr>
                  <w:tcW w:w="505"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500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0.309</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0.3099</w:t>
                  </w:r>
                </w:p>
              </w:tc>
              <w:tc>
                <w:tcPr>
                  <w:tcW w:w="516"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0.3105</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0.3109</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0.311</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0.3111</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0.311</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0.3106</w:t>
                  </w:r>
                </w:p>
              </w:tc>
              <w:tc>
                <w:tcPr>
                  <w:tcW w:w="505"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0.3103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1000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0.2883</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0.2893</w:t>
                  </w:r>
                </w:p>
              </w:tc>
              <w:tc>
                <w:tcPr>
                  <w:tcW w:w="516"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0.2903</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0.2911</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0.2919</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0.2926</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0.2931</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0.294</w:t>
                  </w:r>
                </w:p>
              </w:tc>
              <w:tc>
                <w:tcPr>
                  <w:tcW w:w="505"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0.2945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1500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0.2726</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0.2734</w:t>
                  </w:r>
                </w:p>
              </w:tc>
              <w:tc>
                <w:tcPr>
                  <w:tcW w:w="516"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0.2742</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0.2749</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0.2755</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0.276</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0.2765</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0.2772</w:t>
                  </w:r>
                </w:p>
              </w:tc>
              <w:tc>
                <w:tcPr>
                  <w:tcW w:w="505"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0.2776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2000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0.2587</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0.2593</w:t>
                  </w:r>
                </w:p>
              </w:tc>
              <w:tc>
                <w:tcPr>
                  <w:tcW w:w="516"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0.2599</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0.2604</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0.2609</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0.2613</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0.2616</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0.2622</w:t>
                  </w:r>
                </w:p>
              </w:tc>
              <w:tc>
                <w:tcPr>
                  <w:tcW w:w="505"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2500</w:t>
                  </w:r>
                </w:p>
              </w:tc>
              <w:tc>
                <w:tcPr>
                  <w:tcW w:w="502"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0.2343</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0.2347</w:t>
                  </w:r>
                </w:p>
              </w:tc>
              <w:tc>
                <w:tcPr>
                  <w:tcW w:w="516"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0.235</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0.2353</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0.2356</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0.2358</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0.2361</w:t>
                  </w:r>
                </w:p>
              </w:tc>
              <w:tc>
                <w:tcPr>
                  <w:tcW w:w="498"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0.2364</w:t>
                  </w:r>
                </w:p>
              </w:tc>
              <w:tc>
                <w:tcPr>
                  <w:tcW w:w="505"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0.2366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81"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3000</w:t>
                  </w:r>
                </w:p>
              </w:tc>
              <w:tc>
                <w:tcPr>
                  <w:tcW w:w="502"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1.4457</w:t>
                  </w:r>
                </w:p>
              </w:tc>
              <w:tc>
                <w:tcPr>
                  <w:tcW w:w="498"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0.3966</w:t>
                  </w:r>
                </w:p>
              </w:tc>
              <w:tc>
                <w:tcPr>
                  <w:tcW w:w="516"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0.2642</w:t>
                  </w:r>
                </w:p>
              </w:tc>
              <w:tc>
                <w:tcPr>
                  <w:tcW w:w="498"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w:t>
                  </w:r>
                </w:p>
              </w:tc>
              <w:tc>
                <w:tcPr>
                  <w:tcW w:w="498"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w:t>
                  </w:r>
                </w:p>
              </w:tc>
              <w:tc>
                <w:tcPr>
                  <w:tcW w:w="498"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w:t>
                  </w:r>
                </w:p>
              </w:tc>
              <w:tc>
                <w:tcPr>
                  <w:tcW w:w="498"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w:t>
                  </w:r>
                </w:p>
              </w:tc>
              <w:tc>
                <w:tcPr>
                  <w:tcW w:w="498" w:type="pct"/>
                  <w:tcBorders>
                    <w:tl2br w:val="nil"/>
                    <w:tr2bl w:val="nil"/>
                  </w:tcBorders>
                  <w:vAlign w:val="center"/>
                </w:tcPr>
                <w:p>
                  <w:pPr>
                    <w:jc w:val="cente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w:t>
                  </w:r>
                </w:p>
              </w:tc>
              <w:tc>
                <w:tcPr>
                  <w:tcW w:w="505" w:type="pct"/>
                  <w:tcBorders>
                    <w:tl2br w:val="nil"/>
                    <w:tr2bl w:val="nil"/>
                  </w:tcBorders>
                  <w:vAlign w:val="center"/>
                </w:tcPr>
                <w:p>
                  <w:pPr>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0.264</w:t>
                  </w:r>
                </w:p>
              </w:tc>
            </w:tr>
          </w:tbl>
          <w:p>
            <w:pPr>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ascii="Times New Roman" w:hAnsi="Times New Roman"/>
                <w:color w:val="auto"/>
                <w:sz w:val="24"/>
                <w:highlight w:val="none"/>
                <w:u w:val="none"/>
              </w:rPr>
            </w:pPr>
            <w:r>
              <w:rPr>
                <w:rFonts w:ascii="Times New Roman" w:hAnsi="Times New Roman"/>
                <w:color w:val="auto"/>
                <w:sz w:val="24"/>
                <w:highlight w:val="none"/>
                <w:u w:val="none"/>
              </w:rPr>
              <w:t>由表</w:t>
            </w:r>
            <w:r>
              <w:rPr>
                <w:rFonts w:hint="eastAsia"/>
                <w:color w:val="auto"/>
                <w:sz w:val="24"/>
                <w:highlight w:val="none"/>
                <w:u w:val="none"/>
                <w:lang w:val="en-US" w:eastAsia="zh-CN"/>
              </w:rPr>
              <w:t>7-13</w:t>
            </w:r>
            <w:r>
              <w:rPr>
                <w:rFonts w:ascii="Times New Roman" w:hAnsi="Times New Roman"/>
                <w:color w:val="auto"/>
                <w:sz w:val="24"/>
                <w:highlight w:val="none"/>
                <w:u w:val="none"/>
              </w:rPr>
              <w:t>、表</w:t>
            </w:r>
            <w:r>
              <w:rPr>
                <w:rFonts w:hint="eastAsia"/>
                <w:color w:val="auto"/>
                <w:sz w:val="24"/>
                <w:highlight w:val="none"/>
                <w:u w:val="none"/>
                <w:lang w:val="en-US" w:eastAsia="zh-CN"/>
              </w:rPr>
              <w:t>7-14</w:t>
            </w:r>
            <w:r>
              <w:rPr>
                <w:rFonts w:ascii="Times New Roman" w:hAnsi="Times New Roman"/>
                <w:color w:val="auto"/>
                <w:sz w:val="24"/>
                <w:highlight w:val="none"/>
                <w:u w:val="none"/>
              </w:rPr>
              <w:t>可知，</w:t>
            </w:r>
            <w:r>
              <w:rPr>
                <w:color w:val="auto"/>
                <w:sz w:val="24"/>
                <w:highlight w:val="none"/>
                <w:u w:val="none"/>
              </w:rPr>
              <w:t>CODCr的最大预测值为</w:t>
            </w:r>
            <w:r>
              <w:rPr>
                <w:rFonts w:hint="eastAsia"/>
                <w:color w:val="auto"/>
                <w:sz w:val="24"/>
                <w:highlight w:val="none"/>
                <w:u w:val="none"/>
                <w:lang w:val="en-US" w:eastAsia="zh-CN"/>
              </w:rPr>
              <w:t>11.7058</w:t>
            </w:r>
            <w:r>
              <w:rPr>
                <w:color w:val="auto"/>
                <w:sz w:val="24"/>
                <w:highlight w:val="none"/>
                <w:u w:val="none"/>
              </w:rPr>
              <w:t>mg/L</w:t>
            </w:r>
            <w:r>
              <w:rPr>
                <w:rFonts w:ascii="Times New Roman" w:hAnsi="Times New Roman"/>
                <w:color w:val="auto"/>
                <w:sz w:val="24"/>
                <w:highlight w:val="none"/>
                <w:u w:val="none"/>
              </w:rPr>
              <w:t>，</w:t>
            </w:r>
            <w:r>
              <w:rPr>
                <w:rFonts w:hint="eastAsia"/>
                <w:color w:val="auto"/>
                <w:sz w:val="24"/>
                <w:highlight w:val="none"/>
                <w:u w:val="none"/>
                <w:lang w:val="en-US" w:eastAsia="zh-CN"/>
              </w:rPr>
              <w:t>NH</w:t>
            </w:r>
            <w:r>
              <w:rPr>
                <w:rFonts w:hint="eastAsia"/>
                <w:color w:val="auto"/>
                <w:sz w:val="24"/>
                <w:highlight w:val="none"/>
                <w:u w:val="none"/>
                <w:vertAlign w:val="subscript"/>
                <w:lang w:val="en-US" w:eastAsia="zh-CN"/>
              </w:rPr>
              <w:t>3</w:t>
            </w:r>
            <w:r>
              <w:rPr>
                <w:rFonts w:hint="eastAsia"/>
                <w:color w:val="auto"/>
                <w:sz w:val="24"/>
                <w:highlight w:val="none"/>
                <w:u w:val="none"/>
                <w:vertAlign w:val="baseline"/>
                <w:lang w:val="en-US" w:eastAsia="zh-CN"/>
              </w:rPr>
              <w:t>-N</w:t>
            </w:r>
            <w:r>
              <w:rPr>
                <w:color w:val="auto"/>
                <w:sz w:val="24"/>
                <w:highlight w:val="none"/>
                <w:u w:val="none"/>
              </w:rPr>
              <w:t>的最大预测值为</w:t>
            </w:r>
            <w:r>
              <w:rPr>
                <w:rFonts w:hint="eastAsia"/>
                <w:color w:val="auto"/>
                <w:sz w:val="24"/>
                <w:highlight w:val="none"/>
                <w:u w:val="none"/>
                <w:lang w:val="en-US" w:eastAsia="zh-CN"/>
              </w:rPr>
              <w:t>0.5807</w:t>
            </w:r>
            <w:r>
              <w:rPr>
                <w:color w:val="auto"/>
                <w:sz w:val="24"/>
                <w:highlight w:val="none"/>
                <w:u w:val="none"/>
              </w:rPr>
              <w:t>mg/L</w:t>
            </w:r>
            <w:r>
              <w:rPr>
                <w:rFonts w:hint="eastAsia"/>
                <w:color w:val="auto"/>
                <w:sz w:val="24"/>
                <w:highlight w:val="none"/>
                <w:u w:val="none"/>
                <w:lang w:eastAsia="zh-CN"/>
              </w:rPr>
              <w:t>。</w:t>
            </w:r>
            <w:r>
              <w:rPr>
                <w:rFonts w:hint="eastAsia" w:ascii="Times New Roman" w:hAnsi="Times New Roman" w:eastAsia="宋体" w:cs="Times New Roman"/>
                <w:color w:val="auto"/>
                <w:kern w:val="2"/>
                <w:sz w:val="24"/>
                <w:szCs w:val="22"/>
                <w:highlight w:val="none"/>
                <w:u w:val="none"/>
                <w:lang w:val="en-US" w:eastAsia="zh-CN" w:bidi="ar-SA"/>
              </w:rPr>
              <w:t>污水在正常排放下污染物浓度</w:t>
            </w:r>
            <w:r>
              <w:rPr>
                <w:rFonts w:hint="eastAsia"/>
                <w:color w:val="auto"/>
                <w:sz w:val="24"/>
                <w:highlight w:val="none"/>
                <w:u w:val="none"/>
                <w:lang w:eastAsia="zh-CN"/>
              </w:rPr>
              <w:t>满足《</w:t>
            </w:r>
            <w:r>
              <w:rPr>
                <w:rFonts w:ascii="Times New Roman" w:hAnsi="Times New Roman"/>
                <w:color w:val="auto"/>
                <w:sz w:val="24"/>
                <w:highlight w:val="none"/>
                <w:u w:val="none"/>
              </w:rPr>
              <w:t>地表水环境质量标准》（GB3838-2002）</w:t>
            </w:r>
            <w:r>
              <w:rPr>
                <w:rFonts w:hint="eastAsia" w:ascii="Times New Roman" w:hAnsi="Times New Roman"/>
                <w:color w:val="auto"/>
                <w:sz w:val="24"/>
                <w:highlight w:val="none"/>
                <w:u w:val="none"/>
              </w:rPr>
              <w:t>Ⅲ</w:t>
            </w:r>
            <w:r>
              <w:rPr>
                <w:rFonts w:ascii="Times New Roman" w:hAnsi="Times New Roman"/>
                <w:color w:val="auto"/>
                <w:sz w:val="24"/>
                <w:highlight w:val="none"/>
                <w:u w:val="none"/>
              </w:rPr>
              <w:t>类水质标准</w:t>
            </w:r>
            <w:r>
              <w:rPr>
                <w:rFonts w:hint="eastAsia"/>
                <w:color w:val="auto"/>
                <w:sz w:val="24"/>
                <w:highlight w:val="none"/>
                <w:u w:val="none"/>
                <w:lang w:eastAsia="zh-CN"/>
              </w:rPr>
              <w:t>，且满足</w:t>
            </w:r>
            <w:r>
              <w:rPr>
                <w:rFonts w:hint="eastAsia" w:hAnsi="宋体"/>
                <w:color w:val="auto"/>
                <w:sz w:val="24"/>
                <w:highlight w:val="none"/>
                <w:u w:val="none"/>
              </w:rPr>
              <w:t>环境质量标准预留10%安全余量后</w:t>
            </w:r>
            <w:r>
              <w:rPr>
                <w:rFonts w:hint="eastAsia" w:hAnsi="宋体"/>
                <w:color w:val="auto"/>
                <w:sz w:val="24"/>
                <w:highlight w:val="none"/>
                <w:u w:val="none"/>
                <w:lang w:eastAsia="zh-CN"/>
              </w:rPr>
              <w:t>的</w:t>
            </w:r>
            <w:r>
              <w:rPr>
                <w:rFonts w:hint="eastAsia" w:hAnsi="宋体"/>
                <w:color w:val="auto"/>
                <w:sz w:val="24"/>
                <w:highlight w:val="none"/>
                <w:u w:val="none"/>
              </w:rPr>
              <w:t>环境质量底线要求</w:t>
            </w:r>
            <w:r>
              <w:rPr>
                <w:rFonts w:ascii="Times New Roman" w:hAnsi="Times New Roman"/>
                <w:color w:val="auto"/>
                <w:sz w:val="24"/>
                <w:highlight w:val="none"/>
                <w:u w:val="none"/>
              </w:rPr>
              <w:t>。</w:t>
            </w:r>
          </w:p>
          <w:p>
            <w:pPr>
              <w:keepNext w:val="0"/>
              <w:keepLines w:val="0"/>
              <w:pageBreakBefore w:val="0"/>
              <w:kinsoku/>
              <w:wordWrap/>
              <w:overflowPunct/>
              <w:topLinePunct w:val="0"/>
              <w:autoSpaceDE/>
              <w:autoSpaceDN/>
              <w:bidi w:val="0"/>
              <w:adjustRightInd w:val="0"/>
              <w:snapToGrid w:val="0"/>
              <w:spacing w:line="360" w:lineRule="auto"/>
              <w:ind w:firstLine="462" w:firstLineChars="200"/>
              <w:jc w:val="left"/>
              <w:textAlignment w:val="auto"/>
              <w:rPr>
                <w:rFonts w:hint="eastAsia" w:cs="Times New Roman"/>
                <w:color w:val="FF0000"/>
                <w:sz w:val="24"/>
                <w:highlight w:val="none"/>
                <w:u w:val="wave"/>
                <w:lang w:val="en-US" w:eastAsia="zh-CN"/>
              </w:rPr>
            </w:pPr>
            <w:r>
              <w:rPr>
                <w:rFonts w:hint="eastAsia" w:ascii="Times New Roman" w:hAnsi="宋体" w:cs="Times New Roman"/>
                <w:color w:val="FF0000"/>
                <w:sz w:val="24"/>
                <w:szCs w:val="22"/>
                <w:highlight w:val="none"/>
                <w:u w:val="wave"/>
                <w:lang w:eastAsia="zh-CN"/>
              </w:rPr>
              <w:t>项目排污口上游</w:t>
            </w:r>
            <w:r>
              <w:rPr>
                <w:rFonts w:hint="eastAsia" w:ascii="Times New Roman" w:hAnsi="宋体" w:cs="Times New Roman"/>
                <w:color w:val="FF0000"/>
                <w:sz w:val="24"/>
                <w:szCs w:val="22"/>
                <w:highlight w:val="none"/>
                <w:u w:val="wave"/>
                <w:lang w:val="en-US" w:eastAsia="zh-CN"/>
              </w:rPr>
              <w:t>1.</w:t>
            </w:r>
            <w:r>
              <w:rPr>
                <w:rFonts w:hint="eastAsia" w:hAnsi="宋体" w:cs="Times New Roman"/>
                <w:color w:val="FF0000"/>
                <w:sz w:val="24"/>
                <w:szCs w:val="22"/>
                <w:highlight w:val="none"/>
                <w:u w:val="wave"/>
                <w:lang w:val="en-US" w:eastAsia="zh-CN"/>
              </w:rPr>
              <w:t>0</w:t>
            </w:r>
            <w:r>
              <w:rPr>
                <w:rFonts w:hint="eastAsia" w:ascii="Times New Roman" w:hAnsi="宋体" w:cs="Times New Roman"/>
                <w:color w:val="FF0000"/>
                <w:sz w:val="24"/>
                <w:szCs w:val="22"/>
                <w:highlight w:val="none"/>
                <w:u w:val="wave"/>
                <w:lang w:val="en-US" w:eastAsia="zh-CN"/>
              </w:rPr>
              <w:t>km处为渡头桥镇</w:t>
            </w:r>
            <w:r>
              <w:rPr>
                <w:rFonts w:hint="eastAsia" w:hAnsi="宋体" w:cs="Times New Roman"/>
                <w:color w:val="FF0000"/>
                <w:sz w:val="24"/>
                <w:szCs w:val="22"/>
                <w:highlight w:val="none"/>
                <w:u w:val="wave"/>
                <w:lang w:val="en-US" w:eastAsia="zh-CN"/>
              </w:rPr>
              <w:t>惠民</w:t>
            </w:r>
            <w:r>
              <w:rPr>
                <w:rFonts w:hint="eastAsia" w:ascii="Times New Roman" w:hAnsi="宋体" w:cs="Times New Roman"/>
                <w:color w:val="FF0000"/>
                <w:sz w:val="24"/>
                <w:szCs w:val="22"/>
                <w:highlight w:val="none"/>
                <w:u w:val="wave"/>
                <w:lang w:val="en-US" w:eastAsia="zh-CN"/>
              </w:rPr>
              <w:t>水厂</w:t>
            </w:r>
            <w:r>
              <w:rPr>
                <w:rFonts w:hint="eastAsia" w:cs="Times New Roman"/>
                <w:color w:val="FF0000"/>
                <w:sz w:val="24"/>
                <w:highlight w:val="none"/>
                <w:u w:val="wave"/>
                <w:lang w:val="en-US" w:eastAsia="zh-CN"/>
              </w:rPr>
              <w:t>惠民</w:t>
            </w:r>
            <w:r>
              <w:rPr>
                <w:rFonts w:hint="eastAsia" w:ascii="Times New Roman" w:hAnsi="Times New Roman" w:cs="Times New Roman"/>
                <w:color w:val="FF0000"/>
                <w:sz w:val="24"/>
                <w:highlight w:val="none"/>
                <w:u w:val="wave"/>
                <w:lang w:val="en-US" w:eastAsia="zh-CN"/>
              </w:rPr>
              <w:t>水厂水源地（邵水）</w:t>
            </w:r>
            <w:r>
              <w:rPr>
                <w:rFonts w:hint="eastAsia" w:cs="Times New Roman"/>
                <w:color w:val="FF0000"/>
                <w:sz w:val="24"/>
                <w:highlight w:val="none"/>
                <w:u w:val="wave"/>
                <w:lang w:val="en-US" w:eastAsia="zh-CN"/>
              </w:rPr>
              <w:t>为饮用水源保护区，</w:t>
            </w:r>
            <w:r>
              <w:rPr>
                <w:rFonts w:hint="eastAsia" w:ascii="Times New Roman" w:hAnsi="Times New Roman" w:cs="Times New Roman"/>
                <w:color w:val="FF0000"/>
                <w:sz w:val="24"/>
                <w:highlight w:val="none"/>
                <w:u w:val="wave"/>
                <w:lang w:val="en-US" w:eastAsia="zh-CN"/>
              </w:rPr>
              <w:t>其一级保护区范围划定为邵水X019渡头桥处至蔡家洲周尾的河道水域、二级保护区范围划定为一级保护区上边界上溯670m，下边界下延70m的河道水域。</w:t>
            </w:r>
            <w:r>
              <w:rPr>
                <w:rFonts w:hint="default" w:ascii="Times New Roman" w:hAnsi="Times New Roman" w:cs="Times New Roman"/>
                <w:color w:val="FF0000"/>
                <w:sz w:val="24"/>
                <w:highlight w:val="none"/>
                <w:u w:val="wave"/>
                <w:lang w:val="en-US" w:eastAsia="zh-CN"/>
              </w:rPr>
              <w:t>项目拟设排污口</w:t>
            </w:r>
            <w:r>
              <w:rPr>
                <w:rFonts w:hint="eastAsia" w:ascii="Times New Roman" w:hAnsi="Times New Roman" w:cs="Times New Roman"/>
                <w:color w:val="FF0000"/>
                <w:sz w:val="24"/>
                <w:highlight w:val="none"/>
                <w:u w:val="wave"/>
                <w:lang w:val="en-US" w:eastAsia="zh-CN"/>
              </w:rPr>
              <w:t>位于其取水口下游，距离其划分的饮用水源保护区</w:t>
            </w:r>
            <w:r>
              <w:rPr>
                <w:rFonts w:hint="default" w:ascii="Times New Roman" w:hAnsi="Times New Roman" w:cs="Times New Roman"/>
                <w:color w:val="FF0000"/>
                <w:sz w:val="24"/>
                <w:highlight w:val="none"/>
                <w:u w:val="wave"/>
                <w:lang w:val="en-US" w:eastAsia="zh-CN"/>
              </w:rPr>
              <w:t>1.</w:t>
            </w:r>
            <w:r>
              <w:rPr>
                <w:rFonts w:hint="eastAsia" w:ascii="Times New Roman" w:hAnsi="Times New Roman" w:cs="Times New Roman"/>
                <w:color w:val="FF0000"/>
                <w:sz w:val="24"/>
                <w:highlight w:val="none"/>
                <w:u w:val="wave"/>
                <w:lang w:val="en-US" w:eastAsia="zh-CN"/>
              </w:rPr>
              <w:t>0</w:t>
            </w:r>
            <w:r>
              <w:rPr>
                <w:rFonts w:hint="default" w:ascii="Times New Roman" w:hAnsi="Times New Roman" w:cs="Times New Roman"/>
                <w:color w:val="FF0000"/>
                <w:sz w:val="24"/>
                <w:highlight w:val="none"/>
                <w:u w:val="wave"/>
                <w:lang w:val="en-US" w:eastAsia="zh-CN"/>
              </w:rPr>
              <w:t>km，不在其划定饮用水源保护区范围内</w:t>
            </w:r>
            <w:r>
              <w:rPr>
                <w:rFonts w:hint="eastAsia" w:cs="Times New Roman"/>
                <w:color w:val="FF0000"/>
                <w:sz w:val="24"/>
                <w:highlight w:val="none"/>
                <w:u w:val="wave"/>
                <w:lang w:val="en-US" w:eastAsia="zh-CN"/>
              </w:rPr>
              <w:t>，项目废水排放不会对其产生影响。</w:t>
            </w:r>
          </w:p>
          <w:p>
            <w:pPr>
              <w:keepNext w:val="0"/>
              <w:keepLines w:val="0"/>
              <w:pageBreakBefore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FF0000"/>
                <w:sz w:val="24"/>
                <w:szCs w:val="22"/>
                <w:highlight w:val="none"/>
                <w:u w:val="wave"/>
                <w:lang w:val="en-US" w:eastAsia="zh-CN"/>
              </w:rPr>
            </w:pPr>
            <w:r>
              <w:rPr>
                <w:rFonts w:hint="eastAsia" w:cs="Times New Roman"/>
                <w:color w:val="FF0000"/>
                <w:sz w:val="24"/>
                <w:szCs w:val="22"/>
                <w:highlight w:val="none"/>
                <w:u w:val="wave"/>
                <w:lang w:val="en-US" w:eastAsia="zh-CN"/>
              </w:rPr>
              <w:t>项目下排污口游1.65km处为云水水电点库区，库区有300m断面高程比项目排污口下游断面高1m，河流水位上深时可能出现倒灌情况。但渡头桥镇惠民水厂取水口断面高程高于云水水电站库区断面，且项目排污口距离上游饮用水源保护区距离1.0km，在库区倒灌情况下，对渡头桥镇惠民水厂取水口影响较小。</w:t>
            </w:r>
          </w:p>
          <w:p>
            <w:pPr>
              <w:keepNext w:val="0"/>
              <w:keepLines w:val="0"/>
              <w:pageBreakBefore w:val="0"/>
              <w:kinsoku/>
              <w:wordWrap/>
              <w:overflowPunct/>
              <w:topLinePunct w:val="0"/>
              <w:autoSpaceDE/>
              <w:autoSpaceDN/>
              <w:bidi w:val="0"/>
              <w:adjustRightInd w:val="0"/>
              <w:snapToGrid w:val="0"/>
              <w:spacing w:line="360" w:lineRule="auto"/>
              <w:ind w:firstLine="462" w:firstLineChars="200"/>
              <w:textAlignment w:val="auto"/>
              <w:rPr>
                <w:rFonts w:hint="eastAsia" w:ascii="Times New Roman" w:hAnsi="Times New Roman" w:eastAsia="宋体"/>
                <w:color w:val="auto"/>
                <w:sz w:val="24"/>
                <w:highlight w:val="none"/>
                <w:u w:val="none"/>
                <w:lang w:eastAsia="zh-CN"/>
              </w:rPr>
            </w:pPr>
            <w:r>
              <w:rPr>
                <w:rFonts w:hint="eastAsia" w:ascii="Times New Roman" w:hAnsi="Times New Roman" w:eastAsia="宋体" w:cs="Times New Roman"/>
                <w:color w:val="auto"/>
                <w:sz w:val="24"/>
                <w:szCs w:val="22"/>
                <w:highlight w:val="none"/>
                <w:u w:val="none"/>
                <w:lang w:val="en-US" w:eastAsia="zh-CN"/>
              </w:rPr>
              <w:t>由表7-15、表7-16可知，在</w:t>
            </w:r>
            <w:r>
              <w:rPr>
                <w:rFonts w:ascii="Times New Roman" w:hAnsi="Times New Roman"/>
                <w:color w:val="auto"/>
                <w:sz w:val="24"/>
                <w:highlight w:val="none"/>
                <w:u w:val="none"/>
              </w:rPr>
              <w:t>事故排放情况下，</w:t>
            </w:r>
            <w:r>
              <w:rPr>
                <w:color w:val="auto"/>
                <w:sz w:val="24"/>
                <w:highlight w:val="none"/>
                <w:u w:val="none"/>
              </w:rPr>
              <w:t>CODCr的最大预测值为</w:t>
            </w:r>
            <w:r>
              <w:rPr>
                <w:rFonts w:hint="eastAsia"/>
                <w:color w:val="auto"/>
                <w:sz w:val="24"/>
                <w:highlight w:val="none"/>
                <w:u w:val="none"/>
                <w:lang w:val="en-US" w:eastAsia="zh-CN"/>
              </w:rPr>
              <w:t>20.4543</w:t>
            </w:r>
            <w:r>
              <w:rPr>
                <w:color w:val="auto"/>
                <w:sz w:val="24"/>
                <w:highlight w:val="none"/>
                <w:u w:val="none"/>
              </w:rPr>
              <w:t>mg/L</w:t>
            </w:r>
            <w:r>
              <w:rPr>
                <w:rFonts w:ascii="Times New Roman" w:hAnsi="Times New Roman"/>
                <w:color w:val="auto"/>
                <w:sz w:val="24"/>
                <w:highlight w:val="none"/>
                <w:u w:val="none"/>
              </w:rPr>
              <w:t>，</w:t>
            </w:r>
            <w:r>
              <w:rPr>
                <w:rFonts w:hint="eastAsia"/>
                <w:color w:val="auto"/>
                <w:sz w:val="24"/>
                <w:highlight w:val="none"/>
                <w:u w:val="none"/>
                <w:lang w:val="en-US" w:eastAsia="zh-CN"/>
              </w:rPr>
              <w:t>NH</w:t>
            </w:r>
            <w:r>
              <w:rPr>
                <w:rFonts w:hint="eastAsia"/>
                <w:color w:val="auto"/>
                <w:sz w:val="24"/>
                <w:highlight w:val="none"/>
                <w:u w:val="none"/>
                <w:vertAlign w:val="subscript"/>
                <w:lang w:val="en-US" w:eastAsia="zh-CN"/>
              </w:rPr>
              <w:t>3</w:t>
            </w:r>
            <w:r>
              <w:rPr>
                <w:rFonts w:hint="eastAsia"/>
                <w:color w:val="auto"/>
                <w:sz w:val="24"/>
                <w:highlight w:val="none"/>
                <w:u w:val="none"/>
                <w:vertAlign w:val="baseline"/>
                <w:lang w:val="en-US" w:eastAsia="zh-CN"/>
              </w:rPr>
              <w:t>-N</w:t>
            </w:r>
            <w:r>
              <w:rPr>
                <w:color w:val="auto"/>
                <w:sz w:val="24"/>
                <w:highlight w:val="none"/>
                <w:u w:val="none"/>
              </w:rPr>
              <w:t>的最大预测值为</w:t>
            </w:r>
            <w:r>
              <w:rPr>
                <w:rFonts w:hint="eastAsia"/>
                <w:color w:val="auto"/>
                <w:sz w:val="24"/>
                <w:highlight w:val="none"/>
                <w:u w:val="none"/>
                <w:lang w:val="en-US" w:eastAsia="zh-CN"/>
              </w:rPr>
              <w:t>1.4457</w:t>
            </w:r>
            <w:r>
              <w:rPr>
                <w:color w:val="auto"/>
                <w:sz w:val="24"/>
                <w:highlight w:val="none"/>
                <w:u w:val="none"/>
              </w:rPr>
              <w:t>mg/L</w:t>
            </w:r>
            <w:r>
              <w:rPr>
                <w:rFonts w:hint="eastAsia"/>
                <w:color w:val="auto"/>
                <w:sz w:val="24"/>
                <w:highlight w:val="none"/>
                <w:u w:val="none"/>
                <w:lang w:eastAsia="zh-CN"/>
              </w:rPr>
              <w:t>，事故下</w:t>
            </w:r>
            <w:r>
              <w:rPr>
                <w:rFonts w:ascii="Times New Roman" w:hAnsi="Times New Roman"/>
                <w:color w:val="auto"/>
                <w:sz w:val="24"/>
                <w:highlight w:val="none"/>
                <w:u w:val="none"/>
              </w:rPr>
              <w:t>预测浓度</w:t>
            </w:r>
            <w:r>
              <w:rPr>
                <w:rFonts w:hint="eastAsia"/>
                <w:color w:val="auto"/>
                <w:sz w:val="24"/>
                <w:highlight w:val="none"/>
                <w:u w:val="none"/>
                <w:lang w:eastAsia="zh-CN"/>
              </w:rPr>
              <w:t>均超过</w:t>
            </w:r>
            <w:r>
              <w:rPr>
                <w:rFonts w:ascii="Times New Roman" w:hAnsi="Times New Roman"/>
                <w:color w:val="auto"/>
                <w:sz w:val="24"/>
                <w:highlight w:val="none"/>
                <w:u w:val="none"/>
              </w:rPr>
              <w:t>《地表水环境质量标准》Ⅲ类标准限值</w:t>
            </w:r>
            <w:r>
              <w:rPr>
                <w:rFonts w:hint="eastAsia" w:ascii="Times New Roman" w:hAnsi="Times New Roman"/>
                <w:color w:val="auto"/>
                <w:sz w:val="24"/>
                <w:highlight w:val="none"/>
                <w:u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ascii="Times New Roman" w:hAnsi="Times New Roman"/>
                <w:color w:val="auto"/>
                <w:sz w:val="24"/>
                <w:u w:val="none"/>
              </w:rPr>
            </w:pPr>
            <w:r>
              <w:rPr>
                <w:rFonts w:hint="eastAsia"/>
                <w:color w:val="auto"/>
                <w:sz w:val="24"/>
                <w:u w:val="none"/>
                <w:lang w:eastAsia="zh-CN"/>
              </w:rPr>
              <w:t>综上，</w:t>
            </w:r>
            <w:r>
              <w:rPr>
                <w:rFonts w:hint="eastAsia"/>
                <w:color w:val="auto"/>
                <w:sz w:val="24"/>
                <w:u w:val="none"/>
              </w:rPr>
              <w:t>项目应加强污水处理站的运行管理，定期维护设备，并采用双电源供电，杜绝污水事故排放的发生。</w:t>
            </w:r>
            <w:r>
              <w:rPr>
                <w:rFonts w:hint="eastAsia" w:ascii="Times New Roman" w:hAnsi="Times New Roman"/>
                <w:color w:val="auto"/>
                <w:sz w:val="24"/>
                <w:u w:val="none"/>
                <w:lang w:val="en-US" w:eastAsia="zh-CN"/>
              </w:rPr>
              <w:t xml:space="preserve">本项目为污水处理厂项目，项目建成后能有效的改善当地地表水水体水质。 </w:t>
            </w:r>
          </w:p>
          <w:p>
            <w:pPr>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Times New Roman" w:hAnsi="Times New Roman" w:eastAsia="宋体" w:cs="Times New Roman"/>
                <w:color w:val="auto"/>
                <w:sz w:val="24"/>
                <w:szCs w:val="22"/>
                <w:u w:val="none"/>
                <w:lang w:val="en-US" w:eastAsia="zh-CN"/>
              </w:rPr>
            </w:pPr>
            <w:r>
              <w:rPr>
                <w:rFonts w:hint="eastAsia" w:ascii="Times New Roman" w:hAnsi="Times New Roman" w:eastAsia="宋体" w:cs="Times New Roman"/>
                <w:color w:val="auto"/>
                <w:sz w:val="24"/>
                <w:szCs w:val="22"/>
                <w:u w:val="none"/>
                <w:lang w:eastAsia="zh-CN"/>
              </w:rPr>
              <w:t>（</w:t>
            </w:r>
            <w:r>
              <w:rPr>
                <w:rFonts w:hint="eastAsia" w:ascii="Times New Roman" w:hAnsi="Times New Roman" w:eastAsia="宋体" w:cs="Times New Roman"/>
                <w:color w:val="auto"/>
                <w:sz w:val="24"/>
                <w:szCs w:val="22"/>
                <w:u w:val="none"/>
                <w:lang w:val="en-US" w:eastAsia="zh-CN"/>
              </w:rPr>
              <w:t>3</w:t>
            </w:r>
            <w:r>
              <w:rPr>
                <w:rFonts w:hint="eastAsia" w:ascii="Times New Roman" w:hAnsi="Times New Roman" w:eastAsia="宋体" w:cs="Times New Roman"/>
                <w:color w:val="auto"/>
                <w:sz w:val="24"/>
                <w:szCs w:val="22"/>
                <w:u w:val="none"/>
                <w:lang w:eastAsia="zh-CN"/>
              </w:rPr>
              <w:t>）建设项目废水污染物排放信息</w:t>
            </w:r>
          </w:p>
          <w:p>
            <w:pPr>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Times New Roman" w:hAnsi="Times New Roman" w:eastAsia="宋体" w:cs="Times New Roman"/>
                <w:color w:val="auto"/>
                <w:sz w:val="24"/>
                <w:szCs w:val="22"/>
                <w:u w:val="none"/>
              </w:rPr>
            </w:pPr>
            <w:r>
              <w:rPr>
                <w:rFonts w:hint="eastAsia" w:ascii="Times New Roman" w:hAnsi="Times New Roman" w:eastAsia="宋体" w:cs="Times New Roman"/>
                <w:color w:val="auto"/>
                <w:sz w:val="24"/>
                <w:szCs w:val="22"/>
                <w:u w:val="none"/>
              </w:rPr>
              <w:t>①废水类别、污染物及污染治理设施信息</w:t>
            </w:r>
          </w:p>
          <w:p>
            <w:pPr>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Times New Roman" w:hAnsi="Times New Roman" w:eastAsia="宋体" w:cs="Times New Roman"/>
                <w:color w:val="auto"/>
                <w:sz w:val="24"/>
                <w:szCs w:val="22"/>
                <w:u w:val="none"/>
              </w:rPr>
            </w:pPr>
            <w:r>
              <w:rPr>
                <w:rFonts w:hint="eastAsia" w:ascii="Times New Roman" w:hAnsi="Times New Roman" w:eastAsia="宋体" w:cs="Times New Roman"/>
                <w:color w:val="auto"/>
                <w:sz w:val="24"/>
                <w:szCs w:val="22"/>
                <w:u w:val="none"/>
              </w:rPr>
              <w:t>项目废水类别、污染物及污染治理设施信息见表</w:t>
            </w:r>
            <w:r>
              <w:rPr>
                <w:rFonts w:hint="eastAsia" w:ascii="Times New Roman" w:hAnsi="Times New Roman" w:eastAsia="宋体" w:cs="Times New Roman"/>
                <w:color w:val="auto"/>
                <w:sz w:val="24"/>
                <w:szCs w:val="22"/>
                <w:u w:val="none"/>
                <w:lang w:val="en-US" w:eastAsia="zh-CN"/>
              </w:rPr>
              <w:t>7-17</w:t>
            </w:r>
            <w:r>
              <w:rPr>
                <w:rFonts w:hint="eastAsia" w:ascii="Times New Roman" w:hAnsi="Times New Roman" w:eastAsia="宋体" w:cs="Times New Roman"/>
                <w:color w:val="auto"/>
                <w:sz w:val="24"/>
                <w:szCs w:val="22"/>
                <w:u w:val="none"/>
              </w:rPr>
              <w:t>。</w:t>
            </w:r>
          </w:p>
          <w:p>
            <w:pPr>
              <w:pStyle w:val="25"/>
              <w:keepNext w:val="0"/>
              <w:keepLines w:val="0"/>
              <w:pageBreakBefore w:val="0"/>
              <w:widowControl w:val="0"/>
              <w:kinsoku/>
              <w:wordWrap/>
              <w:overflowPunct/>
              <w:topLinePunct w:val="0"/>
              <w:autoSpaceDE/>
              <w:autoSpaceDN/>
              <w:bidi w:val="0"/>
              <w:adjustRightInd w:val="0"/>
              <w:snapToGrid w:val="0"/>
              <w:spacing w:beforeLines="0" w:after="0" w:line="240" w:lineRule="auto"/>
              <w:jc w:val="center"/>
              <w:textAlignment w:val="auto"/>
              <w:rPr>
                <w:rFonts w:ascii="Times New Roman" w:hAnsi="Times New Roman"/>
                <w:b/>
                <w:bCs/>
                <w:color w:val="auto"/>
                <w:sz w:val="21"/>
                <w:szCs w:val="21"/>
                <w:u w:val="none"/>
              </w:rPr>
            </w:pPr>
          </w:p>
          <w:p>
            <w:pPr>
              <w:pStyle w:val="25"/>
              <w:keepNext w:val="0"/>
              <w:keepLines w:val="0"/>
              <w:pageBreakBefore w:val="0"/>
              <w:widowControl w:val="0"/>
              <w:kinsoku/>
              <w:wordWrap/>
              <w:overflowPunct/>
              <w:topLinePunct w:val="0"/>
              <w:autoSpaceDE/>
              <w:autoSpaceDN/>
              <w:bidi w:val="0"/>
              <w:adjustRightInd w:val="0"/>
              <w:snapToGrid w:val="0"/>
              <w:spacing w:beforeLines="0" w:after="0" w:line="240" w:lineRule="auto"/>
              <w:jc w:val="center"/>
              <w:textAlignment w:val="auto"/>
              <w:rPr>
                <w:rFonts w:ascii="Times New Roman" w:hAnsi="Times New Roman"/>
                <w:b/>
                <w:bCs/>
                <w:color w:val="auto"/>
                <w:sz w:val="21"/>
                <w:szCs w:val="21"/>
                <w:u w:val="none"/>
              </w:rPr>
            </w:pPr>
          </w:p>
          <w:p>
            <w:pPr>
              <w:pStyle w:val="25"/>
              <w:keepNext w:val="0"/>
              <w:keepLines w:val="0"/>
              <w:pageBreakBefore w:val="0"/>
              <w:widowControl w:val="0"/>
              <w:kinsoku/>
              <w:wordWrap/>
              <w:overflowPunct/>
              <w:topLinePunct w:val="0"/>
              <w:autoSpaceDE/>
              <w:autoSpaceDN/>
              <w:bidi w:val="0"/>
              <w:adjustRightInd w:val="0"/>
              <w:snapToGrid w:val="0"/>
              <w:spacing w:beforeLines="0" w:after="0" w:line="240" w:lineRule="auto"/>
              <w:jc w:val="center"/>
              <w:textAlignment w:val="auto"/>
              <w:rPr>
                <w:rFonts w:ascii="Times New Roman" w:hAnsi="Times New Roman"/>
                <w:b/>
                <w:bCs/>
                <w:color w:val="auto"/>
                <w:sz w:val="21"/>
                <w:szCs w:val="21"/>
                <w:u w:val="none"/>
              </w:rPr>
            </w:pPr>
          </w:p>
          <w:p>
            <w:pPr>
              <w:pStyle w:val="25"/>
              <w:keepNext w:val="0"/>
              <w:keepLines w:val="0"/>
              <w:pageBreakBefore w:val="0"/>
              <w:widowControl w:val="0"/>
              <w:kinsoku/>
              <w:wordWrap/>
              <w:overflowPunct/>
              <w:topLinePunct w:val="0"/>
              <w:autoSpaceDE/>
              <w:autoSpaceDN/>
              <w:bidi w:val="0"/>
              <w:adjustRightInd w:val="0"/>
              <w:snapToGrid w:val="0"/>
              <w:spacing w:beforeLines="0" w:after="0" w:line="240" w:lineRule="auto"/>
              <w:jc w:val="center"/>
              <w:textAlignment w:val="auto"/>
              <w:rPr>
                <w:rFonts w:ascii="Times New Roman" w:hAnsi="Times New Roman"/>
                <w:b/>
                <w:bCs/>
                <w:color w:val="auto"/>
                <w:sz w:val="21"/>
                <w:szCs w:val="21"/>
                <w:u w:val="none"/>
              </w:rPr>
            </w:pPr>
          </w:p>
          <w:p>
            <w:pPr>
              <w:pStyle w:val="25"/>
              <w:keepNext w:val="0"/>
              <w:keepLines w:val="0"/>
              <w:pageBreakBefore w:val="0"/>
              <w:widowControl w:val="0"/>
              <w:kinsoku/>
              <w:wordWrap/>
              <w:overflowPunct/>
              <w:topLinePunct w:val="0"/>
              <w:autoSpaceDE/>
              <w:autoSpaceDN/>
              <w:bidi w:val="0"/>
              <w:adjustRightInd w:val="0"/>
              <w:snapToGrid w:val="0"/>
              <w:spacing w:beforeLines="0" w:after="0" w:line="240" w:lineRule="auto"/>
              <w:jc w:val="center"/>
              <w:textAlignment w:val="auto"/>
              <w:rPr>
                <w:rFonts w:ascii="Times New Roman" w:hAnsi="Times New Roman"/>
                <w:b/>
                <w:bCs/>
                <w:color w:val="auto"/>
                <w:sz w:val="21"/>
                <w:szCs w:val="21"/>
                <w:u w:val="none"/>
              </w:rPr>
            </w:pPr>
          </w:p>
          <w:p>
            <w:pPr>
              <w:pStyle w:val="25"/>
              <w:keepNext w:val="0"/>
              <w:keepLines w:val="0"/>
              <w:pageBreakBefore w:val="0"/>
              <w:widowControl w:val="0"/>
              <w:kinsoku/>
              <w:wordWrap/>
              <w:overflowPunct/>
              <w:topLinePunct w:val="0"/>
              <w:autoSpaceDE/>
              <w:autoSpaceDN/>
              <w:bidi w:val="0"/>
              <w:adjustRightInd w:val="0"/>
              <w:snapToGrid w:val="0"/>
              <w:spacing w:beforeLines="0" w:after="0" w:line="240" w:lineRule="auto"/>
              <w:jc w:val="center"/>
              <w:textAlignment w:val="auto"/>
              <w:rPr>
                <w:rFonts w:ascii="Times New Roman" w:hAnsi="Times New Roman"/>
                <w:b/>
                <w:bCs/>
                <w:color w:val="auto"/>
                <w:sz w:val="21"/>
                <w:szCs w:val="21"/>
                <w:u w:val="none"/>
              </w:rPr>
            </w:pPr>
          </w:p>
          <w:p>
            <w:pPr>
              <w:pStyle w:val="25"/>
              <w:keepNext w:val="0"/>
              <w:keepLines w:val="0"/>
              <w:pageBreakBefore w:val="0"/>
              <w:widowControl w:val="0"/>
              <w:kinsoku/>
              <w:wordWrap/>
              <w:overflowPunct/>
              <w:topLinePunct w:val="0"/>
              <w:autoSpaceDE/>
              <w:autoSpaceDN/>
              <w:bidi w:val="0"/>
              <w:adjustRightInd w:val="0"/>
              <w:snapToGrid w:val="0"/>
              <w:spacing w:beforeLines="0" w:after="0" w:line="240" w:lineRule="auto"/>
              <w:jc w:val="center"/>
              <w:textAlignment w:val="auto"/>
              <w:rPr>
                <w:rFonts w:ascii="Times New Roman" w:hAnsi="Times New Roman"/>
                <w:b/>
                <w:bCs/>
                <w:color w:val="auto"/>
                <w:sz w:val="21"/>
                <w:szCs w:val="21"/>
                <w:u w:val="none"/>
              </w:rPr>
            </w:pPr>
          </w:p>
          <w:p>
            <w:pPr>
              <w:pStyle w:val="25"/>
              <w:keepNext w:val="0"/>
              <w:keepLines w:val="0"/>
              <w:pageBreakBefore w:val="0"/>
              <w:widowControl w:val="0"/>
              <w:kinsoku/>
              <w:wordWrap/>
              <w:overflowPunct/>
              <w:topLinePunct w:val="0"/>
              <w:autoSpaceDE/>
              <w:autoSpaceDN/>
              <w:bidi w:val="0"/>
              <w:adjustRightInd w:val="0"/>
              <w:snapToGrid w:val="0"/>
              <w:spacing w:beforeLines="0" w:after="0" w:line="240" w:lineRule="auto"/>
              <w:jc w:val="center"/>
              <w:textAlignment w:val="auto"/>
              <w:rPr>
                <w:rFonts w:ascii="Times New Roman" w:hAnsi="Times New Roman"/>
                <w:b/>
                <w:bCs/>
                <w:color w:val="auto"/>
                <w:sz w:val="21"/>
                <w:szCs w:val="21"/>
                <w:u w:val="none"/>
              </w:rPr>
            </w:pPr>
          </w:p>
          <w:p>
            <w:pPr>
              <w:pStyle w:val="25"/>
              <w:keepNext w:val="0"/>
              <w:keepLines w:val="0"/>
              <w:pageBreakBefore w:val="0"/>
              <w:widowControl w:val="0"/>
              <w:kinsoku/>
              <w:wordWrap/>
              <w:overflowPunct/>
              <w:topLinePunct w:val="0"/>
              <w:autoSpaceDE/>
              <w:autoSpaceDN/>
              <w:bidi w:val="0"/>
              <w:adjustRightInd w:val="0"/>
              <w:snapToGrid w:val="0"/>
              <w:spacing w:beforeLines="0" w:after="0" w:line="240" w:lineRule="auto"/>
              <w:jc w:val="center"/>
              <w:textAlignment w:val="auto"/>
              <w:rPr>
                <w:rFonts w:ascii="Times New Roman" w:hAnsi="Times New Roman"/>
                <w:b/>
                <w:bCs/>
                <w:color w:val="auto"/>
                <w:sz w:val="21"/>
                <w:szCs w:val="21"/>
                <w:u w:val="none"/>
              </w:rPr>
            </w:pPr>
          </w:p>
          <w:p>
            <w:pPr>
              <w:pStyle w:val="25"/>
              <w:keepNext w:val="0"/>
              <w:keepLines w:val="0"/>
              <w:pageBreakBefore w:val="0"/>
              <w:widowControl w:val="0"/>
              <w:kinsoku/>
              <w:wordWrap/>
              <w:overflowPunct/>
              <w:topLinePunct w:val="0"/>
              <w:autoSpaceDE/>
              <w:autoSpaceDN/>
              <w:bidi w:val="0"/>
              <w:adjustRightInd w:val="0"/>
              <w:snapToGrid w:val="0"/>
              <w:spacing w:beforeLines="0" w:after="0" w:line="240" w:lineRule="auto"/>
              <w:jc w:val="center"/>
              <w:textAlignment w:val="auto"/>
              <w:rPr>
                <w:rFonts w:ascii="Times New Roman" w:hAnsi="Times New Roman"/>
                <w:b/>
                <w:bCs/>
                <w:color w:val="auto"/>
                <w:sz w:val="21"/>
                <w:szCs w:val="21"/>
                <w:u w:val="none"/>
              </w:rPr>
            </w:pPr>
          </w:p>
          <w:p>
            <w:pPr>
              <w:pStyle w:val="25"/>
              <w:keepNext w:val="0"/>
              <w:keepLines w:val="0"/>
              <w:pageBreakBefore w:val="0"/>
              <w:widowControl w:val="0"/>
              <w:kinsoku/>
              <w:wordWrap/>
              <w:overflowPunct/>
              <w:topLinePunct w:val="0"/>
              <w:autoSpaceDE/>
              <w:autoSpaceDN/>
              <w:bidi w:val="0"/>
              <w:adjustRightInd w:val="0"/>
              <w:snapToGrid w:val="0"/>
              <w:spacing w:beforeLines="0" w:after="0" w:line="240" w:lineRule="auto"/>
              <w:jc w:val="center"/>
              <w:textAlignment w:val="auto"/>
              <w:rPr>
                <w:rFonts w:ascii="Times New Roman" w:hAnsi="Times New Roman"/>
                <w:b/>
                <w:bCs/>
                <w:color w:val="auto"/>
                <w:sz w:val="21"/>
                <w:szCs w:val="21"/>
                <w:u w:val="none"/>
              </w:rPr>
            </w:pPr>
          </w:p>
          <w:p>
            <w:pPr>
              <w:pStyle w:val="25"/>
              <w:keepNext w:val="0"/>
              <w:keepLines w:val="0"/>
              <w:pageBreakBefore w:val="0"/>
              <w:widowControl w:val="0"/>
              <w:kinsoku/>
              <w:wordWrap/>
              <w:overflowPunct/>
              <w:topLinePunct w:val="0"/>
              <w:autoSpaceDE/>
              <w:autoSpaceDN/>
              <w:bidi w:val="0"/>
              <w:adjustRightInd w:val="0"/>
              <w:snapToGrid w:val="0"/>
              <w:spacing w:beforeLines="0" w:after="0" w:line="240" w:lineRule="auto"/>
              <w:jc w:val="center"/>
              <w:textAlignment w:val="auto"/>
              <w:rPr>
                <w:rFonts w:hint="eastAsia" w:ascii="Times New Roman" w:hAnsi="Times New Roman" w:eastAsia="宋体"/>
                <w:b/>
                <w:bCs/>
                <w:color w:val="auto"/>
                <w:sz w:val="21"/>
                <w:szCs w:val="21"/>
                <w:u w:val="none"/>
                <w:lang w:eastAsia="zh-CN"/>
              </w:rPr>
            </w:pPr>
            <w:r>
              <w:rPr>
                <w:rFonts w:ascii="Times New Roman" w:hAnsi="Times New Roman"/>
                <w:b/>
                <w:bCs/>
                <w:color w:val="auto"/>
                <w:sz w:val="21"/>
                <w:szCs w:val="21"/>
                <w:u w:val="none"/>
              </w:rPr>
              <w:t>表</w:t>
            </w:r>
            <w:r>
              <w:rPr>
                <w:rFonts w:hint="eastAsia"/>
                <w:b/>
                <w:bCs/>
                <w:color w:val="auto"/>
                <w:sz w:val="21"/>
                <w:szCs w:val="21"/>
                <w:u w:val="none"/>
                <w:lang w:val="en-US" w:eastAsia="zh-CN"/>
              </w:rPr>
              <w:t>7</w:t>
            </w:r>
            <w:r>
              <w:rPr>
                <w:rFonts w:hint="eastAsia" w:ascii="Times New Roman" w:hAnsi="Times New Roman"/>
                <w:b/>
                <w:bCs/>
                <w:color w:val="auto"/>
                <w:sz w:val="21"/>
                <w:szCs w:val="21"/>
                <w:u w:val="none"/>
                <w:lang w:val="en-US" w:eastAsia="zh-CN"/>
              </w:rPr>
              <w:t>-</w:t>
            </w:r>
            <w:r>
              <w:rPr>
                <w:rFonts w:hint="eastAsia"/>
                <w:b/>
                <w:bCs/>
                <w:color w:val="auto"/>
                <w:sz w:val="21"/>
                <w:szCs w:val="21"/>
                <w:u w:val="none"/>
                <w:lang w:val="en-US" w:eastAsia="zh-CN"/>
              </w:rPr>
              <w:t>17</w:t>
            </w:r>
            <w:r>
              <w:rPr>
                <w:rFonts w:hint="eastAsia" w:ascii="Times New Roman" w:hAnsi="Times New Roman"/>
                <w:b/>
                <w:bCs/>
                <w:color w:val="auto"/>
                <w:sz w:val="21"/>
                <w:szCs w:val="21"/>
                <w:u w:val="none"/>
                <w:lang w:val="en-US" w:eastAsia="zh-CN"/>
              </w:rPr>
              <w:t xml:space="preserve"> </w:t>
            </w:r>
            <w:r>
              <w:rPr>
                <w:rFonts w:ascii="Times New Roman" w:hAnsi="Times New Roman"/>
                <w:b/>
                <w:bCs/>
                <w:color w:val="auto"/>
                <w:sz w:val="21"/>
                <w:szCs w:val="21"/>
                <w:u w:val="none"/>
              </w:rPr>
              <w:t xml:space="preserve"> 废水类别、污染物及污染治理设施信息表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72"/>
              <w:gridCol w:w="1008"/>
              <w:gridCol w:w="908"/>
              <w:gridCol w:w="559"/>
              <w:gridCol w:w="870"/>
              <w:gridCol w:w="714"/>
              <w:gridCol w:w="1200"/>
              <w:gridCol w:w="872"/>
              <w:gridCol w:w="948"/>
              <w:gridCol w:w="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2" w:type="pct"/>
                  <w:vMerge w:val="restart"/>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r>
                    <w:rPr>
                      <w:rFonts w:hint="eastAsia" w:ascii="Times New Roman" w:hAnsi="Times New Roman" w:eastAsia="宋体" w:cs="Times New Roman"/>
                      <w:color w:val="auto"/>
                      <w:szCs w:val="21"/>
                      <w:u w:val="none"/>
                    </w:rPr>
                    <w:t>序号</w:t>
                  </w:r>
                </w:p>
              </w:tc>
              <w:tc>
                <w:tcPr>
                  <w:tcW w:w="425" w:type="pct"/>
                  <w:vMerge w:val="restart"/>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r>
                    <w:rPr>
                      <w:rFonts w:hint="eastAsia" w:ascii="Times New Roman" w:hAnsi="Times New Roman" w:eastAsia="宋体" w:cs="Times New Roman"/>
                      <w:color w:val="auto"/>
                      <w:szCs w:val="21"/>
                      <w:u w:val="none"/>
                    </w:rPr>
                    <w:t>废水类别</w:t>
                  </w:r>
                </w:p>
              </w:tc>
              <w:tc>
                <w:tcPr>
                  <w:tcW w:w="555" w:type="pct"/>
                  <w:vMerge w:val="restart"/>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r>
                    <w:rPr>
                      <w:rFonts w:hint="eastAsia" w:ascii="Times New Roman" w:hAnsi="Times New Roman" w:eastAsia="宋体" w:cs="Times New Roman"/>
                      <w:color w:val="auto"/>
                      <w:szCs w:val="21"/>
                      <w:u w:val="none"/>
                    </w:rPr>
                    <w:t>污染物种类</w:t>
                  </w:r>
                </w:p>
              </w:tc>
              <w:tc>
                <w:tcPr>
                  <w:tcW w:w="500" w:type="pct"/>
                  <w:vMerge w:val="restart"/>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r>
                    <w:rPr>
                      <w:rFonts w:hint="eastAsia" w:ascii="Times New Roman" w:hAnsi="Times New Roman" w:eastAsia="宋体" w:cs="Times New Roman"/>
                      <w:color w:val="auto"/>
                      <w:szCs w:val="21"/>
                      <w:u w:val="none"/>
                    </w:rPr>
                    <w:t>排放去向</w:t>
                  </w:r>
                </w:p>
              </w:tc>
              <w:tc>
                <w:tcPr>
                  <w:tcW w:w="308" w:type="pct"/>
                  <w:vMerge w:val="restart"/>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r>
                    <w:rPr>
                      <w:rFonts w:hint="eastAsia" w:ascii="Times New Roman" w:hAnsi="Times New Roman" w:eastAsia="宋体" w:cs="Times New Roman"/>
                      <w:color w:val="auto"/>
                      <w:szCs w:val="21"/>
                      <w:u w:val="none"/>
                    </w:rPr>
                    <w:t>排放规律</w:t>
                  </w:r>
                </w:p>
              </w:tc>
              <w:tc>
                <w:tcPr>
                  <w:tcW w:w="1533" w:type="pct"/>
                  <w:gridSpan w:val="3"/>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r>
                    <w:rPr>
                      <w:rFonts w:hint="eastAsia" w:ascii="Times New Roman" w:hAnsi="Times New Roman" w:eastAsia="宋体" w:cs="Times New Roman"/>
                      <w:color w:val="auto"/>
                      <w:szCs w:val="21"/>
                      <w:u w:val="none"/>
                    </w:rPr>
                    <w:t>污染治理设施</w:t>
                  </w:r>
                </w:p>
              </w:tc>
              <w:tc>
                <w:tcPr>
                  <w:tcW w:w="480" w:type="pct"/>
                  <w:vMerge w:val="restart"/>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r>
                    <w:rPr>
                      <w:rFonts w:hint="eastAsia" w:ascii="Times New Roman" w:hAnsi="Times New Roman" w:eastAsia="宋体" w:cs="Times New Roman"/>
                      <w:color w:val="auto"/>
                      <w:szCs w:val="21"/>
                      <w:u w:val="none"/>
                    </w:rPr>
                    <w:t>排放口编号</w:t>
                  </w:r>
                </w:p>
              </w:tc>
              <w:tc>
                <w:tcPr>
                  <w:tcW w:w="522" w:type="pct"/>
                  <w:vMerge w:val="restart"/>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r>
                    <w:rPr>
                      <w:rFonts w:hint="eastAsia" w:ascii="Times New Roman" w:hAnsi="Times New Roman" w:eastAsia="宋体" w:cs="Times New Roman"/>
                      <w:color w:val="auto"/>
                      <w:szCs w:val="21"/>
                      <w:u w:val="none"/>
                    </w:rPr>
                    <w:t>排放口设置是否符合要求</w:t>
                  </w:r>
                </w:p>
              </w:tc>
              <w:tc>
                <w:tcPr>
                  <w:tcW w:w="443" w:type="pct"/>
                  <w:vMerge w:val="restart"/>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r>
                    <w:rPr>
                      <w:rFonts w:hint="eastAsia" w:ascii="Times New Roman" w:hAnsi="Times New Roman" w:eastAsia="宋体" w:cs="Times New Roman"/>
                      <w:color w:val="auto"/>
                      <w:szCs w:val="21"/>
                      <w:u w:val="none"/>
                    </w:rPr>
                    <w:t>排放口类型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2" w:type="pct"/>
                  <w:vMerge w:val="continue"/>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p>
              </w:tc>
              <w:tc>
                <w:tcPr>
                  <w:tcW w:w="425" w:type="pct"/>
                  <w:vMerge w:val="continue"/>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p>
              </w:tc>
              <w:tc>
                <w:tcPr>
                  <w:tcW w:w="555" w:type="pct"/>
                  <w:vMerge w:val="continue"/>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p>
              </w:tc>
              <w:tc>
                <w:tcPr>
                  <w:tcW w:w="500" w:type="pct"/>
                  <w:vMerge w:val="continue"/>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p>
              </w:tc>
              <w:tc>
                <w:tcPr>
                  <w:tcW w:w="308" w:type="pct"/>
                  <w:vMerge w:val="continue"/>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p>
              </w:tc>
              <w:tc>
                <w:tcPr>
                  <w:tcW w:w="479" w:type="pct"/>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r>
                    <w:rPr>
                      <w:rFonts w:hint="eastAsia" w:ascii="Times New Roman" w:hAnsi="Times New Roman" w:eastAsia="宋体" w:cs="Times New Roman"/>
                      <w:color w:val="auto"/>
                      <w:szCs w:val="21"/>
                      <w:u w:val="none"/>
                    </w:rPr>
                    <w:t>污染治理设施编号</w:t>
                  </w:r>
                </w:p>
              </w:tc>
              <w:tc>
                <w:tcPr>
                  <w:tcW w:w="393" w:type="pct"/>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r>
                    <w:rPr>
                      <w:rFonts w:hint="eastAsia" w:ascii="Times New Roman" w:hAnsi="Times New Roman" w:eastAsia="宋体" w:cs="Times New Roman"/>
                      <w:color w:val="auto"/>
                      <w:szCs w:val="21"/>
                      <w:u w:val="none"/>
                    </w:rPr>
                    <w:t>污染治理设施名称</w:t>
                  </w:r>
                </w:p>
              </w:tc>
              <w:tc>
                <w:tcPr>
                  <w:tcW w:w="659" w:type="pct"/>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r>
                    <w:rPr>
                      <w:rFonts w:hint="eastAsia" w:ascii="Times New Roman" w:hAnsi="Times New Roman" w:eastAsia="宋体" w:cs="Times New Roman"/>
                      <w:color w:val="auto"/>
                      <w:szCs w:val="21"/>
                      <w:u w:val="none"/>
                    </w:rPr>
                    <w:t>污染治理设施工艺</w:t>
                  </w:r>
                </w:p>
              </w:tc>
              <w:tc>
                <w:tcPr>
                  <w:tcW w:w="480" w:type="pct"/>
                  <w:vMerge w:val="continue"/>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p>
              </w:tc>
              <w:tc>
                <w:tcPr>
                  <w:tcW w:w="522" w:type="pct"/>
                  <w:vMerge w:val="continue"/>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p>
              </w:tc>
              <w:tc>
                <w:tcPr>
                  <w:tcW w:w="443" w:type="pct"/>
                  <w:vMerge w:val="continue"/>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2" w:type="pct"/>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r>
                    <w:rPr>
                      <w:rFonts w:hint="eastAsia" w:ascii="Times New Roman" w:hAnsi="Times New Roman" w:eastAsia="宋体" w:cs="Times New Roman"/>
                      <w:color w:val="auto"/>
                      <w:szCs w:val="21"/>
                      <w:u w:val="none"/>
                    </w:rPr>
                    <w:t>1</w:t>
                  </w:r>
                </w:p>
              </w:tc>
              <w:tc>
                <w:tcPr>
                  <w:tcW w:w="425" w:type="pct"/>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lang w:eastAsia="zh-CN"/>
                    </w:rPr>
                  </w:pPr>
                  <w:r>
                    <w:rPr>
                      <w:rFonts w:hint="eastAsia" w:ascii="Times New Roman" w:hAnsi="Times New Roman" w:eastAsia="宋体" w:cs="Times New Roman"/>
                      <w:color w:val="auto"/>
                      <w:szCs w:val="21"/>
                      <w:u w:val="none"/>
                      <w:lang w:eastAsia="zh-CN"/>
                    </w:rPr>
                    <w:t>生活污水</w:t>
                  </w:r>
                </w:p>
              </w:tc>
              <w:tc>
                <w:tcPr>
                  <w:tcW w:w="555" w:type="pct"/>
                  <w:tcBorders>
                    <w:tl2br w:val="nil"/>
                    <w:tr2bl w:val="nil"/>
                  </w:tcBorders>
                  <w:noWrap w:val="0"/>
                  <w:vAlign w:val="center"/>
                </w:tcPr>
                <w:p>
                  <w:pPr>
                    <w:pStyle w:val="21"/>
                    <w:ind w:left="0" w:leftChars="0"/>
                    <w:jc w:val="center"/>
                    <w:rPr>
                      <w:rFonts w:hint="default" w:ascii="Times New Roman" w:hAnsi="Times New Roman" w:eastAsia="宋体" w:cs="Times New Roman"/>
                      <w:color w:val="auto"/>
                      <w:szCs w:val="21"/>
                      <w:u w:val="none"/>
                      <w:lang w:val="en-US" w:eastAsia="zh-CN"/>
                    </w:rPr>
                  </w:pPr>
                  <w:r>
                    <w:rPr>
                      <w:rFonts w:hint="eastAsia" w:ascii="Times New Roman" w:hAnsi="Times New Roman" w:eastAsia="宋体" w:cs="Times New Roman"/>
                      <w:color w:val="auto"/>
                      <w:szCs w:val="21"/>
                      <w:u w:val="none"/>
                    </w:rPr>
                    <w:t>COD、NH</w:t>
                  </w:r>
                  <w:r>
                    <w:rPr>
                      <w:rFonts w:hint="eastAsia" w:ascii="Times New Roman" w:hAnsi="Times New Roman" w:eastAsia="宋体" w:cs="Times New Roman"/>
                      <w:color w:val="auto"/>
                      <w:szCs w:val="21"/>
                      <w:u w:val="none"/>
                      <w:vertAlign w:val="subscript"/>
                    </w:rPr>
                    <w:t>3</w:t>
                  </w:r>
                  <w:r>
                    <w:rPr>
                      <w:rFonts w:hint="eastAsia" w:ascii="Times New Roman" w:hAnsi="Times New Roman" w:eastAsia="宋体" w:cs="Times New Roman"/>
                      <w:color w:val="auto"/>
                      <w:szCs w:val="21"/>
                      <w:u w:val="none"/>
                    </w:rPr>
                    <w:t>-N、SS、</w:t>
                  </w:r>
                  <w:r>
                    <w:rPr>
                      <w:rFonts w:hint="eastAsia" w:ascii="Times New Roman" w:hAnsi="Times New Roman" w:eastAsia="宋体" w:cs="Times New Roman"/>
                      <w:color w:val="auto"/>
                      <w:szCs w:val="21"/>
                      <w:u w:val="none"/>
                      <w:lang w:val="en-US" w:eastAsia="zh-CN"/>
                    </w:rPr>
                    <w:t>TP、TN</w:t>
                  </w:r>
                </w:p>
              </w:tc>
              <w:tc>
                <w:tcPr>
                  <w:tcW w:w="500" w:type="pct"/>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lang w:eastAsia="zh-CN"/>
                    </w:rPr>
                  </w:pPr>
                  <w:r>
                    <w:rPr>
                      <w:rFonts w:hint="eastAsia" w:ascii="Times New Roman" w:hAnsi="Times New Roman" w:eastAsia="宋体" w:cs="Times New Roman"/>
                      <w:color w:val="auto"/>
                      <w:szCs w:val="21"/>
                      <w:u w:val="none"/>
                      <w:lang w:eastAsia="zh-CN"/>
                    </w:rPr>
                    <w:t>邵水</w:t>
                  </w:r>
                </w:p>
              </w:tc>
              <w:tc>
                <w:tcPr>
                  <w:tcW w:w="308" w:type="pct"/>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r>
                    <w:rPr>
                      <w:rFonts w:hint="eastAsia" w:ascii="Times New Roman" w:hAnsi="Times New Roman" w:eastAsia="宋体" w:cs="Times New Roman"/>
                      <w:color w:val="auto"/>
                      <w:szCs w:val="21"/>
                      <w:u w:val="none"/>
                      <w:lang w:eastAsia="zh-CN"/>
                    </w:rPr>
                    <w:t>连续</w:t>
                  </w:r>
                  <w:r>
                    <w:rPr>
                      <w:rFonts w:hint="eastAsia" w:ascii="Times New Roman" w:hAnsi="Times New Roman" w:eastAsia="宋体" w:cs="Times New Roman"/>
                      <w:color w:val="auto"/>
                      <w:szCs w:val="21"/>
                      <w:u w:val="none"/>
                    </w:rPr>
                    <w:t>排放</w:t>
                  </w:r>
                </w:p>
              </w:tc>
              <w:tc>
                <w:tcPr>
                  <w:tcW w:w="479" w:type="pct"/>
                  <w:tcBorders>
                    <w:tl2br w:val="nil"/>
                    <w:tr2bl w:val="nil"/>
                  </w:tcBorders>
                  <w:noWrap w:val="0"/>
                  <w:vAlign w:val="center"/>
                </w:tcPr>
                <w:p>
                  <w:pPr>
                    <w:pStyle w:val="21"/>
                    <w:ind w:left="0" w:leftChars="0"/>
                    <w:jc w:val="center"/>
                    <w:rPr>
                      <w:rFonts w:hint="default" w:ascii="Times New Roman" w:hAnsi="Times New Roman" w:eastAsia="宋体" w:cs="Times New Roman"/>
                      <w:color w:val="auto"/>
                      <w:szCs w:val="21"/>
                      <w:u w:val="none"/>
                      <w:lang w:val="en-US" w:eastAsia="zh-CN"/>
                    </w:rPr>
                  </w:pPr>
                  <w:r>
                    <w:rPr>
                      <w:rFonts w:hint="eastAsia" w:ascii="Times New Roman" w:hAnsi="Times New Roman" w:eastAsia="宋体" w:cs="Times New Roman"/>
                      <w:color w:val="auto"/>
                      <w:szCs w:val="21"/>
                      <w:u w:val="none"/>
                      <w:lang w:val="en-US" w:eastAsia="zh-CN"/>
                    </w:rPr>
                    <w:t>1#</w:t>
                  </w:r>
                </w:p>
              </w:tc>
              <w:tc>
                <w:tcPr>
                  <w:tcW w:w="393" w:type="pct"/>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lang w:eastAsia="zh-CN"/>
                    </w:rPr>
                  </w:pPr>
                  <w:r>
                    <w:rPr>
                      <w:rFonts w:hint="eastAsia" w:ascii="Times New Roman" w:hAnsi="Times New Roman" w:eastAsia="宋体" w:cs="Times New Roman"/>
                      <w:color w:val="auto"/>
                      <w:szCs w:val="21"/>
                      <w:u w:val="none"/>
                    </w:rPr>
                    <w:t>污水处理</w:t>
                  </w:r>
                  <w:r>
                    <w:rPr>
                      <w:rFonts w:hint="eastAsia" w:ascii="Times New Roman" w:hAnsi="Times New Roman" w:eastAsia="宋体" w:cs="Times New Roman"/>
                      <w:color w:val="auto"/>
                      <w:szCs w:val="21"/>
                      <w:u w:val="none"/>
                      <w:lang w:eastAsia="zh-CN"/>
                    </w:rPr>
                    <w:t>系统</w:t>
                  </w:r>
                </w:p>
              </w:tc>
              <w:tc>
                <w:tcPr>
                  <w:tcW w:w="659" w:type="pct"/>
                  <w:tcBorders>
                    <w:tl2br w:val="nil"/>
                    <w:tr2bl w:val="nil"/>
                  </w:tcBorders>
                  <w:noWrap w:val="0"/>
                  <w:vAlign w:val="center"/>
                </w:tcPr>
                <w:p>
                  <w:pPr>
                    <w:pStyle w:val="21"/>
                    <w:ind w:left="0" w:leftChars="0"/>
                    <w:jc w:val="center"/>
                    <w:rPr>
                      <w:rFonts w:hint="default" w:ascii="Times New Roman" w:hAnsi="Times New Roman" w:eastAsia="宋体" w:cs="Times New Roman"/>
                      <w:color w:val="auto"/>
                      <w:szCs w:val="21"/>
                      <w:u w:val="none"/>
                      <w:lang w:val="en-US" w:eastAsia="zh-CN"/>
                    </w:rPr>
                  </w:pPr>
                  <w:r>
                    <w:rPr>
                      <w:rFonts w:hint="eastAsia" w:ascii="Times New Roman" w:hAnsi="Times New Roman" w:eastAsia="宋体" w:cs="Times New Roman"/>
                      <w:color w:val="auto"/>
                      <w:szCs w:val="21"/>
                      <w:u w:val="none"/>
                      <w:lang w:eastAsia="zh-CN"/>
                    </w:rPr>
                    <w:t>格栅</w:t>
                  </w:r>
                  <w:r>
                    <w:rPr>
                      <w:rFonts w:hint="eastAsia" w:ascii="Times New Roman" w:hAnsi="Times New Roman" w:eastAsia="宋体" w:cs="Times New Roman"/>
                      <w:color w:val="auto"/>
                      <w:szCs w:val="21"/>
                      <w:u w:val="none"/>
                      <w:lang w:val="en-US" w:eastAsia="zh-CN"/>
                    </w:rPr>
                    <w:t>+</w:t>
                  </w:r>
                  <w:r>
                    <w:rPr>
                      <w:rFonts w:hint="eastAsia" w:cs="Times New Roman"/>
                      <w:color w:val="auto"/>
                      <w:szCs w:val="21"/>
                      <w:u w:val="none"/>
                      <w:lang w:val="en-US" w:eastAsia="zh-CN"/>
                    </w:rPr>
                    <w:t>调节池（包含储泥池）</w:t>
                  </w:r>
                  <w:r>
                    <w:rPr>
                      <w:rFonts w:hint="eastAsia" w:ascii="Times New Roman" w:hAnsi="Times New Roman" w:eastAsia="宋体" w:cs="Times New Roman"/>
                      <w:color w:val="auto"/>
                      <w:szCs w:val="21"/>
                      <w:u w:val="none"/>
                      <w:lang w:val="en-US" w:eastAsia="zh-CN"/>
                    </w:rPr>
                    <w:t>+</w:t>
                  </w:r>
                  <w:r>
                    <w:rPr>
                      <w:rFonts w:hint="eastAsia" w:cs="Times New Roman"/>
                      <w:color w:val="auto"/>
                      <w:szCs w:val="21"/>
                      <w:u w:val="none"/>
                      <w:lang w:val="en-US" w:eastAsia="zh-CN"/>
                    </w:rPr>
                    <w:t>一体化A/O+生化膜设备+紫外线消毒池</w:t>
                  </w:r>
                </w:p>
              </w:tc>
              <w:tc>
                <w:tcPr>
                  <w:tcW w:w="480" w:type="pct"/>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r>
                    <w:rPr>
                      <w:rFonts w:hint="eastAsia" w:ascii="Times New Roman" w:hAnsi="Times New Roman" w:eastAsia="宋体" w:cs="Times New Roman"/>
                      <w:color w:val="auto"/>
                      <w:szCs w:val="21"/>
                      <w:u w:val="none"/>
                    </w:rPr>
                    <w:t>DW001</w:t>
                  </w:r>
                </w:p>
              </w:tc>
              <w:tc>
                <w:tcPr>
                  <w:tcW w:w="522" w:type="pct"/>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r>
                    <w:rPr>
                      <w:rFonts w:hint="eastAsia" w:ascii="Times New Roman" w:hAnsi="Times New Roman" w:eastAsia="宋体" w:cs="Times New Roman"/>
                      <w:color w:val="auto"/>
                      <w:szCs w:val="21"/>
                      <w:u w:val="none"/>
                    </w:rPr>
                    <w:t>符合</w:t>
                  </w:r>
                </w:p>
              </w:tc>
              <w:tc>
                <w:tcPr>
                  <w:tcW w:w="443" w:type="pct"/>
                  <w:tcBorders>
                    <w:tl2br w:val="nil"/>
                    <w:tr2bl w:val="nil"/>
                  </w:tcBorders>
                  <w:noWrap w:val="0"/>
                  <w:vAlign w:val="center"/>
                </w:tcPr>
                <w:p>
                  <w:pPr>
                    <w:pStyle w:val="21"/>
                    <w:ind w:left="0" w:leftChars="0"/>
                    <w:jc w:val="center"/>
                    <w:rPr>
                      <w:rFonts w:hint="eastAsia" w:ascii="Times New Roman" w:hAnsi="Times New Roman" w:eastAsia="宋体" w:cs="Times New Roman"/>
                      <w:color w:val="auto"/>
                      <w:szCs w:val="21"/>
                      <w:u w:val="none"/>
                    </w:rPr>
                  </w:pPr>
                  <w:r>
                    <w:rPr>
                      <w:rFonts w:hint="eastAsia" w:ascii="Times New Roman" w:hAnsi="Times New Roman" w:eastAsia="宋体" w:cs="Times New Roman"/>
                      <w:color w:val="auto"/>
                      <w:szCs w:val="21"/>
                      <w:u w:val="none"/>
                      <w:lang w:eastAsia="zh-CN"/>
                    </w:rPr>
                    <w:t>污水处理厂总排</w:t>
                  </w:r>
                  <w:r>
                    <w:rPr>
                      <w:rFonts w:hint="eastAsia" w:ascii="Times New Roman" w:hAnsi="Times New Roman" w:eastAsia="宋体" w:cs="Times New Roman"/>
                      <w:color w:val="auto"/>
                      <w:szCs w:val="21"/>
                      <w:u w:val="none"/>
                    </w:rPr>
                    <w:t>口</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ascii="Times New Roman" w:hAnsi="Times New Roman"/>
                <w:color w:val="auto"/>
                <w:sz w:val="24"/>
                <w:u w:val="none"/>
              </w:rPr>
            </w:pPr>
            <w:r>
              <w:rPr>
                <w:rFonts w:ascii="Times New Roman" w:hAnsi="Times New Roman"/>
                <w:color w:val="auto"/>
                <w:sz w:val="24"/>
                <w:u w:val="none"/>
              </w:rPr>
              <w:t>②废水排放口基本信息</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ascii="Times New Roman" w:hAnsi="Times New Roman"/>
                <w:color w:val="auto"/>
                <w:sz w:val="24"/>
                <w:u w:val="none"/>
              </w:rPr>
            </w:pPr>
            <w:r>
              <w:rPr>
                <w:rFonts w:ascii="Times New Roman" w:hAnsi="Times New Roman"/>
                <w:color w:val="auto"/>
                <w:sz w:val="24"/>
                <w:u w:val="none"/>
              </w:rPr>
              <w:t>项目废水排放口基本信息见表</w:t>
            </w:r>
            <w:r>
              <w:rPr>
                <w:rFonts w:hint="eastAsia"/>
                <w:color w:val="auto"/>
                <w:sz w:val="24"/>
                <w:u w:val="none"/>
                <w:lang w:val="en-US" w:eastAsia="zh-CN"/>
              </w:rPr>
              <w:t>7</w:t>
            </w:r>
            <w:r>
              <w:rPr>
                <w:rFonts w:hint="eastAsia" w:ascii="Times New Roman" w:hAnsi="Times New Roman"/>
                <w:color w:val="auto"/>
                <w:sz w:val="24"/>
                <w:u w:val="none"/>
                <w:lang w:val="en-US" w:eastAsia="zh-CN"/>
              </w:rPr>
              <w:t>-</w:t>
            </w:r>
            <w:r>
              <w:rPr>
                <w:rFonts w:hint="eastAsia"/>
                <w:color w:val="auto"/>
                <w:sz w:val="24"/>
                <w:u w:val="none"/>
                <w:lang w:val="en-US" w:eastAsia="zh-CN"/>
              </w:rPr>
              <w:t>18</w:t>
            </w:r>
            <w:r>
              <w:rPr>
                <w:rFonts w:ascii="Times New Roman" w:hAnsi="Times New Roman"/>
                <w:color w:val="auto"/>
                <w:sz w:val="24"/>
                <w:u w:val="none"/>
              </w:rPr>
              <w:t>。</w:t>
            </w:r>
          </w:p>
          <w:p>
            <w:pPr>
              <w:pStyle w:val="25"/>
              <w:keepNext w:val="0"/>
              <w:keepLines w:val="0"/>
              <w:pageBreakBefore w:val="0"/>
              <w:widowControl w:val="0"/>
              <w:kinsoku/>
              <w:wordWrap/>
              <w:overflowPunct/>
              <w:topLinePunct w:val="0"/>
              <w:autoSpaceDE/>
              <w:autoSpaceDN/>
              <w:bidi w:val="0"/>
              <w:adjustRightInd w:val="0"/>
              <w:snapToGrid w:val="0"/>
              <w:spacing w:beforeLines="0" w:after="0" w:line="240" w:lineRule="auto"/>
              <w:jc w:val="center"/>
              <w:textAlignment w:val="auto"/>
              <w:rPr>
                <w:rFonts w:ascii="Times New Roman" w:hAnsi="Times New Roman" w:eastAsia="宋体" w:cs="Times New Roman"/>
                <w:b/>
                <w:bCs/>
                <w:color w:val="auto"/>
                <w:sz w:val="21"/>
                <w:szCs w:val="21"/>
                <w:u w:val="none"/>
              </w:rPr>
            </w:pPr>
          </w:p>
          <w:p>
            <w:pPr>
              <w:pStyle w:val="25"/>
              <w:keepNext w:val="0"/>
              <w:keepLines w:val="0"/>
              <w:pageBreakBefore w:val="0"/>
              <w:widowControl w:val="0"/>
              <w:kinsoku/>
              <w:wordWrap/>
              <w:overflowPunct/>
              <w:topLinePunct w:val="0"/>
              <w:autoSpaceDE/>
              <w:autoSpaceDN/>
              <w:bidi w:val="0"/>
              <w:adjustRightInd w:val="0"/>
              <w:snapToGrid w:val="0"/>
              <w:spacing w:beforeLines="0" w:after="0" w:line="240" w:lineRule="auto"/>
              <w:jc w:val="center"/>
              <w:textAlignment w:val="auto"/>
              <w:rPr>
                <w:rFonts w:ascii="Times New Roman" w:hAnsi="Times New Roman" w:eastAsia="宋体" w:cs="Times New Roman"/>
                <w:b/>
                <w:bCs/>
                <w:color w:val="auto"/>
                <w:sz w:val="21"/>
                <w:szCs w:val="21"/>
                <w:u w:val="none"/>
              </w:rPr>
            </w:pPr>
            <w:r>
              <w:rPr>
                <w:rFonts w:ascii="Times New Roman" w:hAnsi="Times New Roman" w:eastAsia="宋体" w:cs="Times New Roman"/>
                <w:b/>
                <w:bCs/>
                <w:color w:val="auto"/>
                <w:sz w:val="21"/>
                <w:szCs w:val="21"/>
                <w:u w:val="none"/>
              </w:rPr>
              <w:t>表</w:t>
            </w:r>
            <w:r>
              <w:rPr>
                <w:rFonts w:hint="eastAsia" w:ascii="Times New Roman" w:hAnsi="Times New Roman" w:eastAsia="宋体" w:cs="Times New Roman"/>
                <w:b/>
                <w:bCs/>
                <w:color w:val="auto"/>
                <w:sz w:val="21"/>
                <w:szCs w:val="21"/>
                <w:u w:val="none"/>
                <w:lang w:val="en-US" w:eastAsia="zh-CN"/>
              </w:rPr>
              <w:t xml:space="preserve">7-18  </w:t>
            </w:r>
            <w:r>
              <w:rPr>
                <w:rFonts w:ascii="Times New Roman" w:hAnsi="Times New Roman" w:eastAsia="宋体" w:cs="Times New Roman"/>
                <w:b/>
                <w:bCs/>
                <w:color w:val="auto"/>
                <w:sz w:val="21"/>
                <w:szCs w:val="21"/>
                <w:u w:val="none"/>
              </w:rPr>
              <w:t>废水直接排放口基本信息表</w:t>
            </w:r>
          </w:p>
          <w:tbl>
            <w:tblPr>
              <w:tblStyle w:val="27"/>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4"/>
              <w:gridCol w:w="879"/>
              <w:gridCol w:w="780"/>
              <w:gridCol w:w="847"/>
              <w:gridCol w:w="1125"/>
              <w:gridCol w:w="685"/>
              <w:gridCol w:w="1179"/>
              <w:gridCol w:w="664"/>
              <w:gridCol w:w="739"/>
              <w:gridCol w:w="922"/>
              <w:gridCol w:w="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33" w:type="pct"/>
                  <w:vMerge w:val="restart"/>
                  <w:tcBorders>
                    <w:tl2br w:val="nil"/>
                    <w:tr2bl w:val="nil"/>
                  </w:tcBorders>
                  <w:noWrap w:val="0"/>
                  <w:vAlign w:val="center"/>
                </w:tcPr>
                <w:p>
                  <w:pPr>
                    <w:jc w:val="center"/>
                    <w:rPr>
                      <w:rFonts w:ascii="Times New Roman" w:hAnsi="Times New Roman"/>
                      <w:color w:val="auto"/>
                      <w:szCs w:val="21"/>
                      <w:u w:val="none"/>
                    </w:rPr>
                  </w:pPr>
                  <w:r>
                    <w:rPr>
                      <w:rFonts w:ascii="Times New Roman" w:hAnsi="Times New Roman"/>
                      <w:color w:val="auto"/>
                      <w:szCs w:val="21"/>
                      <w:u w:val="none"/>
                    </w:rPr>
                    <w:t>序号</w:t>
                  </w:r>
                </w:p>
              </w:tc>
              <w:tc>
                <w:tcPr>
                  <w:tcW w:w="484" w:type="pct"/>
                  <w:vMerge w:val="restart"/>
                  <w:tcBorders>
                    <w:tl2br w:val="nil"/>
                    <w:tr2bl w:val="nil"/>
                  </w:tcBorders>
                  <w:noWrap w:val="0"/>
                  <w:vAlign w:val="center"/>
                </w:tcPr>
                <w:p>
                  <w:pPr>
                    <w:jc w:val="center"/>
                    <w:rPr>
                      <w:rFonts w:ascii="Times New Roman" w:hAnsi="Times New Roman"/>
                      <w:color w:val="auto"/>
                      <w:szCs w:val="21"/>
                      <w:u w:val="none"/>
                    </w:rPr>
                  </w:pPr>
                  <w:r>
                    <w:rPr>
                      <w:rFonts w:ascii="Times New Roman" w:hAnsi="Times New Roman"/>
                      <w:color w:val="auto"/>
                      <w:szCs w:val="21"/>
                      <w:u w:val="none"/>
                    </w:rPr>
                    <w:t>排放口编号</w:t>
                  </w:r>
                </w:p>
              </w:tc>
              <w:tc>
                <w:tcPr>
                  <w:tcW w:w="896" w:type="pct"/>
                  <w:gridSpan w:val="2"/>
                  <w:tcBorders>
                    <w:tl2br w:val="nil"/>
                    <w:tr2bl w:val="nil"/>
                  </w:tcBorders>
                  <w:noWrap w:val="0"/>
                  <w:vAlign w:val="center"/>
                </w:tcPr>
                <w:p>
                  <w:pPr>
                    <w:jc w:val="center"/>
                    <w:rPr>
                      <w:rFonts w:ascii="Times New Roman" w:hAnsi="Times New Roman"/>
                      <w:color w:val="auto"/>
                      <w:szCs w:val="21"/>
                      <w:u w:val="none"/>
                    </w:rPr>
                  </w:pPr>
                  <w:r>
                    <w:rPr>
                      <w:rFonts w:ascii="Times New Roman" w:hAnsi="Times New Roman"/>
                      <w:color w:val="auto"/>
                      <w:szCs w:val="21"/>
                      <w:u w:val="none"/>
                    </w:rPr>
                    <w:t>排放口地理坐标</w:t>
                  </w:r>
                </w:p>
              </w:tc>
              <w:tc>
                <w:tcPr>
                  <w:tcW w:w="620" w:type="pct"/>
                  <w:vMerge w:val="restart"/>
                  <w:tcBorders>
                    <w:tl2br w:val="nil"/>
                    <w:tr2bl w:val="nil"/>
                  </w:tcBorders>
                  <w:noWrap w:val="0"/>
                  <w:vAlign w:val="center"/>
                </w:tcPr>
                <w:p>
                  <w:pPr>
                    <w:jc w:val="center"/>
                    <w:rPr>
                      <w:rFonts w:ascii="Times New Roman" w:hAnsi="Times New Roman"/>
                      <w:color w:val="auto"/>
                      <w:szCs w:val="21"/>
                      <w:u w:val="none"/>
                    </w:rPr>
                  </w:pPr>
                  <w:r>
                    <w:rPr>
                      <w:rFonts w:ascii="Times New Roman" w:hAnsi="Times New Roman"/>
                      <w:color w:val="auto"/>
                      <w:szCs w:val="21"/>
                      <w:u w:val="none"/>
                    </w:rPr>
                    <w:t>废水排放量/（m</w:t>
                  </w:r>
                  <w:r>
                    <w:rPr>
                      <w:rFonts w:ascii="Times New Roman" w:hAnsi="Times New Roman"/>
                      <w:color w:val="auto"/>
                      <w:szCs w:val="21"/>
                      <w:u w:val="none"/>
                      <w:vertAlign w:val="superscript"/>
                    </w:rPr>
                    <w:t>3</w:t>
                  </w:r>
                  <w:r>
                    <w:rPr>
                      <w:rFonts w:ascii="Times New Roman" w:hAnsi="Times New Roman"/>
                      <w:color w:val="auto"/>
                      <w:szCs w:val="21"/>
                      <w:u w:val="none"/>
                    </w:rPr>
                    <w:t>/a）</w:t>
                  </w:r>
                </w:p>
              </w:tc>
              <w:tc>
                <w:tcPr>
                  <w:tcW w:w="1027" w:type="pct"/>
                  <w:gridSpan w:val="2"/>
                  <w:tcBorders>
                    <w:tl2br w:val="nil"/>
                    <w:tr2bl w:val="nil"/>
                  </w:tcBorders>
                  <w:noWrap w:val="0"/>
                  <w:vAlign w:val="center"/>
                </w:tcPr>
                <w:p>
                  <w:pPr>
                    <w:jc w:val="center"/>
                    <w:rPr>
                      <w:rFonts w:ascii="Times New Roman" w:hAnsi="Times New Roman"/>
                      <w:color w:val="auto"/>
                      <w:szCs w:val="21"/>
                      <w:u w:val="none"/>
                    </w:rPr>
                  </w:pPr>
                  <w:r>
                    <w:rPr>
                      <w:rFonts w:ascii="Times New Roman" w:hAnsi="Times New Roman"/>
                      <w:color w:val="auto"/>
                      <w:szCs w:val="21"/>
                      <w:u w:val="none"/>
                    </w:rPr>
                    <w:t>受纳自然水体信息</w:t>
                  </w:r>
                </w:p>
              </w:tc>
              <w:tc>
                <w:tcPr>
                  <w:tcW w:w="366" w:type="pct"/>
                  <w:vMerge w:val="restart"/>
                  <w:tcBorders>
                    <w:tl2br w:val="nil"/>
                    <w:tr2bl w:val="nil"/>
                  </w:tcBorders>
                  <w:noWrap w:val="0"/>
                  <w:vAlign w:val="center"/>
                </w:tcPr>
                <w:p>
                  <w:pPr>
                    <w:jc w:val="center"/>
                    <w:rPr>
                      <w:rFonts w:ascii="Times New Roman" w:hAnsi="Times New Roman"/>
                      <w:color w:val="auto"/>
                      <w:szCs w:val="21"/>
                      <w:u w:val="none"/>
                    </w:rPr>
                  </w:pPr>
                  <w:r>
                    <w:rPr>
                      <w:rFonts w:ascii="Times New Roman" w:hAnsi="Times New Roman"/>
                      <w:color w:val="auto"/>
                      <w:szCs w:val="21"/>
                      <w:u w:val="none"/>
                    </w:rPr>
                    <w:t>排放规律</w:t>
                  </w:r>
                </w:p>
              </w:tc>
              <w:tc>
                <w:tcPr>
                  <w:tcW w:w="407" w:type="pct"/>
                  <w:vMerge w:val="restart"/>
                  <w:tcBorders>
                    <w:tl2br w:val="nil"/>
                    <w:tr2bl w:val="nil"/>
                  </w:tcBorders>
                  <w:noWrap w:val="0"/>
                  <w:vAlign w:val="center"/>
                </w:tcPr>
                <w:p>
                  <w:pPr>
                    <w:jc w:val="center"/>
                    <w:rPr>
                      <w:rFonts w:ascii="Times New Roman" w:hAnsi="Times New Roman"/>
                      <w:color w:val="auto"/>
                      <w:szCs w:val="21"/>
                      <w:u w:val="none"/>
                    </w:rPr>
                  </w:pPr>
                  <w:r>
                    <w:rPr>
                      <w:rFonts w:ascii="Times New Roman" w:hAnsi="Times New Roman"/>
                      <w:color w:val="auto"/>
                      <w:szCs w:val="21"/>
                      <w:u w:val="none"/>
                    </w:rPr>
                    <w:t>排放时段</w:t>
                  </w:r>
                </w:p>
              </w:tc>
              <w:tc>
                <w:tcPr>
                  <w:tcW w:w="964" w:type="pct"/>
                  <w:gridSpan w:val="2"/>
                  <w:tcBorders>
                    <w:tl2br w:val="nil"/>
                    <w:tr2bl w:val="nil"/>
                  </w:tcBorders>
                  <w:noWrap w:val="0"/>
                  <w:vAlign w:val="center"/>
                </w:tcPr>
                <w:p>
                  <w:pPr>
                    <w:jc w:val="center"/>
                    <w:rPr>
                      <w:rFonts w:ascii="Times New Roman" w:hAnsi="Times New Roman"/>
                      <w:color w:val="auto"/>
                      <w:szCs w:val="21"/>
                      <w:u w:val="none"/>
                    </w:rPr>
                  </w:pPr>
                  <w:r>
                    <w:rPr>
                      <w:rFonts w:hint="eastAsia"/>
                      <w:color w:val="auto"/>
                      <w:szCs w:val="21"/>
                      <w:u w:val="none"/>
                      <w:lang w:eastAsia="zh-CN"/>
                    </w:rPr>
                    <w:t>汇入受纳自然水体地理坐标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3" w:type="pct"/>
                  <w:vMerge w:val="continue"/>
                  <w:tcBorders>
                    <w:tl2br w:val="nil"/>
                    <w:tr2bl w:val="nil"/>
                  </w:tcBorders>
                  <w:noWrap w:val="0"/>
                  <w:vAlign w:val="center"/>
                </w:tcPr>
                <w:p>
                  <w:pPr>
                    <w:jc w:val="center"/>
                    <w:rPr>
                      <w:rFonts w:ascii="Times New Roman" w:hAnsi="Times New Roman"/>
                      <w:color w:val="auto"/>
                      <w:szCs w:val="21"/>
                      <w:u w:val="none"/>
                    </w:rPr>
                  </w:pPr>
                </w:p>
              </w:tc>
              <w:tc>
                <w:tcPr>
                  <w:tcW w:w="484" w:type="pct"/>
                  <w:vMerge w:val="continue"/>
                  <w:tcBorders>
                    <w:tl2br w:val="nil"/>
                    <w:tr2bl w:val="nil"/>
                  </w:tcBorders>
                  <w:noWrap w:val="0"/>
                  <w:vAlign w:val="center"/>
                </w:tcPr>
                <w:p>
                  <w:pPr>
                    <w:jc w:val="center"/>
                    <w:rPr>
                      <w:rFonts w:ascii="Times New Roman" w:hAnsi="Times New Roman"/>
                      <w:color w:val="auto"/>
                      <w:szCs w:val="21"/>
                      <w:u w:val="none"/>
                    </w:rPr>
                  </w:pPr>
                </w:p>
              </w:tc>
              <w:tc>
                <w:tcPr>
                  <w:tcW w:w="429" w:type="pct"/>
                  <w:tcBorders>
                    <w:tl2br w:val="nil"/>
                    <w:tr2bl w:val="nil"/>
                  </w:tcBorders>
                  <w:noWrap w:val="0"/>
                  <w:vAlign w:val="center"/>
                </w:tcPr>
                <w:p>
                  <w:pPr>
                    <w:jc w:val="center"/>
                    <w:rPr>
                      <w:rFonts w:ascii="Times New Roman" w:hAnsi="Times New Roman"/>
                      <w:color w:val="auto"/>
                      <w:szCs w:val="21"/>
                      <w:u w:val="none"/>
                    </w:rPr>
                  </w:pPr>
                  <w:r>
                    <w:rPr>
                      <w:rFonts w:ascii="Times New Roman" w:hAnsi="Times New Roman"/>
                      <w:color w:val="auto"/>
                      <w:szCs w:val="21"/>
                      <w:u w:val="none"/>
                    </w:rPr>
                    <w:t>经度</w:t>
                  </w:r>
                </w:p>
              </w:tc>
              <w:tc>
                <w:tcPr>
                  <w:tcW w:w="466" w:type="pct"/>
                  <w:tcBorders>
                    <w:tl2br w:val="nil"/>
                    <w:tr2bl w:val="nil"/>
                  </w:tcBorders>
                  <w:noWrap w:val="0"/>
                  <w:vAlign w:val="center"/>
                </w:tcPr>
                <w:p>
                  <w:pPr>
                    <w:jc w:val="center"/>
                    <w:rPr>
                      <w:rFonts w:ascii="Times New Roman" w:hAnsi="Times New Roman"/>
                      <w:color w:val="auto"/>
                      <w:szCs w:val="21"/>
                      <w:u w:val="none"/>
                    </w:rPr>
                  </w:pPr>
                  <w:r>
                    <w:rPr>
                      <w:rFonts w:ascii="Times New Roman" w:hAnsi="Times New Roman"/>
                      <w:color w:val="auto"/>
                      <w:szCs w:val="21"/>
                      <w:u w:val="none"/>
                    </w:rPr>
                    <w:t>纬度</w:t>
                  </w:r>
                </w:p>
              </w:tc>
              <w:tc>
                <w:tcPr>
                  <w:tcW w:w="620" w:type="pct"/>
                  <w:vMerge w:val="continue"/>
                  <w:tcBorders>
                    <w:tl2br w:val="nil"/>
                    <w:tr2bl w:val="nil"/>
                  </w:tcBorders>
                  <w:noWrap w:val="0"/>
                  <w:vAlign w:val="center"/>
                </w:tcPr>
                <w:p>
                  <w:pPr>
                    <w:jc w:val="center"/>
                    <w:rPr>
                      <w:rFonts w:ascii="Times New Roman" w:hAnsi="Times New Roman"/>
                      <w:color w:val="auto"/>
                      <w:szCs w:val="21"/>
                      <w:u w:val="none"/>
                    </w:rPr>
                  </w:pPr>
                </w:p>
              </w:tc>
              <w:tc>
                <w:tcPr>
                  <w:tcW w:w="377" w:type="pct"/>
                  <w:tcBorders>
                    <w:tl2br w:val="nil"/>
                    <w:tr2bl w:val="nil"/>
                  </w:tcBorders>
                  <w:noWrap w:val="0"/>
                  <w:vAlign w:val="center"/>
                </w:tcPr>
                <w:p>
                  <w:pPr>
                    <w:jc w:val="center"/>
                    <w:rPr>
                      <w:rFonts w:ascii="Times New Roman" w:hAnsi="Times New Roman"/>
                      <w:color w:val="auto"/>
                      <w:szCs w:val="21"/>
                      <w:u w:val="none"/>
                    </w:rPr>
                  </w:pPr>
                  <w:r>
                    <w:rPr>
                      <w:rFonts w:ascii="Times New Roman" w:hAnsi="Times New Roman"/>
                      <w:color w:val="auto"/>
                      <w:szCs w:val="21"/>
                      <w:u w:val="none"/>
                    </w:rPr>
                    <w:t>名称</w:t>
                  </w:r>
                </w:p>
              </w:tc>
              <w:tc>
                <w:tcPr>
                  <w:tcW w:w="649" w:type="pct"/>
                  <w:tcBorders>
                    <w:tl2br w:val="nil"/>
                    <w:tr2bl w:val="nil"/>
                  </w:tcBorders>
                  <w:noWrap w:val="0"/>
                  <w:vAlign w:val="center"/>
                </w:tcPr>
                <w:p>
                  <w:pPr>
                    <w:jc w:val="center"/>
                    <w:rPr>
                      <w:rFonts w:ascii="Times New Roman" w:hAnsi="Times New Roman"/>
                      <w:color w:val="auto"/>
                      <w:szCs w:val="21"/>
                      <w:u w:val="none"/>
                    </w:rPr>
                  </w:pPr>
                  <w:r>
                    <w:rPr>
                      <w:rFonts w:ascii="Times New Roman" w:hAnsi="Times New Roman"/>
                      <w:color w:val="auto"/>
                      <w:szCs w:val="21"/>
                      <w:u w:val="none"/>
                    </w:rPr>
                    <w:t>受纳水体功能目标</w:t>
                  </w:r>
                </w:p>
              </w:tc>
              <w:tc>
                <w:tcPr>
                  <w:tcW w:w="366" w:type="pct"/>
                  <w:vMerge w:val="continue"/>
                  <w:tcBorders>
                    <w:tl2br w:val="nil"/>
                    <w:tr2bl w:val="nil"/>
                  </w:tcBorders>
                  <w:noWrap w:val="0"/>
                  <w:vAlign w:val="center"/>
                </w:tcPr>
                <w:p>
                  <w:pPr>
                    <w:jc w:val="center"/>
                    <w:rPr>
                      <w:rFonts w:ascii="Times New Roman" w:hAnsi="Times New Roman"/>
                      <w:color w:val="auto"/>
                      <w:szCs w:val="21"/>
                      <w:u w:val="none"/>
                    </w:rPr>
                  </w:pPr>
                </w:p>
              </w:tc>
              <w:tc>
                <w:tcPr>
                  <w:tcW w:w="407" w:type="pct"/>
                  <w:vMerge w:val="continue"/>
                  <w:tcBorders>
                    <w:tl2br w:val="nil"/>
                    <w:tr2bl w:val="nil"/>
                  </w:tcBorders>
                  <w:noWrap w:val="0"/>
                  <w:vAlign w:val="center"/>
                </w:tcPr>
                <w:p>
                  <w:pPr>
                    <w:jc w:val="center"/>
                    <w:rPr>
                      <w:rFonts w:ascii="Times New Roman" w:hAnsi="Times New Roman"/>
                      <w:color w:val="auto"/>
                      <w:szCs w:val="21"/>
                      <w:u w:val="none"/>
                    </w:rPr>
                  </w:pPr>
                </w:p>
              </w:tc>
              <w:tc>
                <w:tcPr>
                  <w:tcW w:w="508" w:type="pct"/>
                  <w:tcBorders>
                    <w:tl2br w:val="nil"/>
                    <w:tr2bl w:val="nil"/>
                  </w:tcBorders>
                  <w:noWrap w:val="0"/>
                  <w:vAlign w:val="center"/>
                </w:tcPr>
                <w:p>
                  <w:pPr>
                    <w:jc w:val="center"/>
                    <w:rPr>
                      <w:rFonts w:ascii="Times New Roman" w:hAnsi="Times New Roman" w:eastAsia="宋体" w:cs="Times New Roman"/>
                      <w:color w:val="auto"/>
                      <w:kern w:val="2"/>
                      <w:sz w:val="21"/>
                      <w:szCs w:val="21"/>
                      <w:u w:val="none"/>
                      <w:lang w:val="en-US" w:eastAsia="zh-CN" w:bidi="ar-SA"/>
                    </w:rPr>
                  </w:pPr>
                  <w:r>
                    <w:rPr>
                      <w:rFonts w:ascii="Times New Roman" w:hAnsi="Times New Roman"/>
                      <w:color w:val="auto"/>
                      <w:szCs w:val="21"/>
                      <w:u w:val="none"/>
                    </w:rPr>
                    <w:t>经度</w:t>
                  </w:r>
                </w:p>
              </w:tc>
              <w:tc>
                <w:tcPr>
                  <w:tcW w:w="455" w:type="pct"/>
                  <w:tcBorders>
                    <w:tl2br w:val="nil"/>
                    <w:tr2bl w:val="nil"/>
                  </w:tcBorders>
                  <w:noWrap w:val="0"/>
                  <w:vAlign w:val="center"/>
                </w:tcPr>
                <w:p>
                  <w:pPr>
                    <w:jc w:val="center"/>
                    <w:rPr>
                      <w:rFonts w:ascii="Times New Roman" w:hAnsi="Times New Roman" w:eastAsia="宋体" w:cs="Times New Roman"/>
                      <w:color w:val="auto"/>
                      <w:kern w:val="2"/>
                      <w:sz w:val="21"/>
                      <w:szCs w:val="21"/>
                      <w:u w:val="none"/>
                      <w:lang w:val="en-US" w:eastAsia="zh-CN" w:bidi="ar-SA"/>
                    </w:rPr>
                  </w:pPr>
                  <w:r>
                    <w:rPr>
                      <w:rFonts w:ascii="Times New Roman" w:hAnsi="Times New Roman"/>
                      <w:color w:val="auto"/>
                      <w:szCs w:val="21"/>
                      <w:u w:val="none"/>
                    </w:rPr>
                    <w:t>纬度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33" w:type="pct"/>
                  <w:tcBorders>
                    <w:tl2br w:val="nil"/>
                    <w:tr2bl w:val="nil"/>
                  </w:tcBorders>
                  <w:noWrap w:val="0"/>
                  <w:vAlign w:val="center"/>
                </w:tcPr>
                <w:p>
                  <w:pPr>
                    <w:jc w:val="center"/>
                    <w:rPr>
                      <w:rFonts w:ascii="Times New Roman" w:hAnsi="Times New Roman"/>
                      <w:color w:val="auto"/>
                      <w:szCs w:val="21"/>
                      <w:u w:val="none"/>
                    </w:rPr>
                  </w:pPr>
                  <w:r>
                    <w:rPr>
                      <w:rFonts w:ascii="Times New Roman" w:hAnsi="Times New Roman"/>
                      <w:color w:val="auto"/>
                      <w:szCs w:val="21"/>
                      <w:u w:val="none"/>
                    </w:rPr>
                    <w:t>1</w:t>
                  </w:r>
                </w:p>
              </w:tc>
              <w:tc>
                <w:tcPr>
                  <w:tcW w:w="484" w:type="pct"/>
                  <w:tcBorders>
                    <w:tl2br w:val="nil"/>
                    <w:tr2bl w:val="nil"/>
                  </w:tcBorders>
                  <w:noWrap w:val="0"/>
                  <w:vAlign w:val="center"/>
                </w:tcPr>
                <w:p>
                  <w:pPr>
                    <w:jc w:val="center"/>
                    <w:rPr>
                      <w:rFonts w:ascii="Times New Roman" w:hAnsi="Times New Roman"/>
                      <w:color w:val="auto"/>
                      <w:szCs w:val="21"/>
                      <w:u w:val="none"/>
                    </w:rPr>
                  </w:pPr>
                  <w:r>
                    <w:rPr>
                      <w:rFonts w:ascii="Times New Roman" w:hAnsi="Times New Roman"/>
                      <w:color w:val="auto"/>
                      <w:szCs w:val="21"/>
                      <w:u w:val="none"/>
                    </w:rPr>
                    <w:t>DW001</w:t>
                  </w:r>
                </w:p>
              </w:tc>
              <w:tc>
                <w:tcPr>
                  <w:tcW w:w="429" w:type="pct"/>
                  <w:tcBorders>
                    <w:tl2br w:val="nil"/>
                    <w:tr2bl w:val="nil"/>
                  </w:tcBorders>
                  <w:noWrap w:val="0"/>
                  <w:vAlign w:val="center"/>
                </w:tcPr>
                <w:p>
                  <w:pPr>
                    <w:jc w:val="center"/>
                    <w:rPr>
                      <w:rFonts w:ascii="Times New Roman" w:hAnsi="Times New Roman"/>
                      <w:color w:val="auto"/>
                      <w:szCs w:val="21"/>
                      <w:u w:val="none"/>
                    </w:rPr>
                  </w:pPr>
                  <w:r>
                    <w:rPr>
                      <w:rFonts w:hint="default" w:ascii="Times New Roman" w:hAnsi="Times New Roman" w:cs="Times New Roman"/>
                      <w:color w:val="auto"/>
                      <w:szCs w:val="21"/>
                      <w:u w:val="none"/>
                      <w:lang w:eastAsia="zh-CN"/>
                    </w:rPr>
                    <w:t>11</w:t>
                  </w:r>
                  <w:r>
                    <w:rPr>
                      <w:rFonts w:hint="eastAsia" w:cs="Times New Roman"/>
                      <w:color w:val="auto"/>
                      <w:szCs w:val="21"/>
                      <w:u w:val="none"/>
                      <w:lang w:val="en-US" w:eastAsia="zh-CN"/>
                    </w:rPr>
                    <w:t>1.549050</w:t>
                  </w:r>
                </w:p>
              </w:tc>
              <w:tc>
                <w:tcPr>
                  <w:tcW w:w="466" w:type="pct"/>
                  <w:tcBorders>
                    <w:tl2br w:val="nil"/>
                    <w:tr2bl w:val="nil"/>
                  </w:tcBorders>
                  <w:noWrap w:val="0"/>
                  <w:vAlign w:val="center"/>
                </w:tcPr>
                <w:p>
                  <w:pPr>
                    <w:jc w:val="center"/>
                    <w:rPr>
                      <w:rFonts w:ascii="Times New Roman" w:hAnsi="Times New Roman"/>
                      <w:color w:val="auto"/>
                      <w:szCs w:val="21"/>
                      <w:u w:val="none"/>
                    </w:rPr>
                  </w:pPr>
                  <w:r>
                    <w:rPr>
                      <w:rFonts w:hint="eastAsia" w:cs="Times New Roman"/>
                      <w:color w:val="auto"/>
                      <w:szCs w:val="21"/>
                      <w:u w:val="none"/>
                      <w:lang w:val="en-US" w:eastAsia="zh-CN"/>
                    </w:rPr>
                    <w:t>27.194210</w:t>
                  </w:r>
                </w:p>
              </w:tc>
              <w:tc>
                <w:tcPr>
                  <w:tcW w:w="620" w:type="pct"/>
                  <w:tcBorders>
                    <w:tl2br w:val="nil"/>
                    <w:tr2bl w:val="nil"/>
                  </w:tcBorders>
                  <w:noWrap w:val="0"/>
                  <w:vAlign w:val="center"/>
                </w:tcPr>
                <w:p>
                  <w:pPr>
                    <w:jc w:val="center"/>
                    <w:rPr>
                      <w:rFonts w:hint="default" w:ascii="Times New Roman" w:hAnsi="Times New Roman"/>
                      <w:color w:val="auto"/>
                      <w:szCs w:val="21"/>
                      <w:u w:val="none"/>
                      <w:lang w:val="en-US"/>
                    </w:rPr>
                  </w:pPr>
                  <w:r>
                    <w:rPr>
                      <w:rFonts w:hint="eastAsia"/>
                      <w:color w:val="auto"/>
                      <w:szCs w:val="21"/>
                      <w:u w:val="none"/>
                      <w:lang w:val="en-US" w:eastAsia="zh-CN"/>
                    </w:rPr>
                    <w:t>365000</w:t>
                  </w:r>
                </w:p>
              </w:tc>
              <w:tc>
                <w:tcPr>
                  <w:tcW w:w="377" w:type="pct"/>
                  <w:tcBorders>
                    <w:tl2br w:val="nil"/>
                    <w:tr2bl w:val="nil"/>
                  </w:tcBorders>
                  <w:noWrap w:val="0"/>
                  <w:vAlign w:val="center"/>
                </w:tcPr>
                <w:p>
                  <w:pPr>
                    <w:jc w:val="center"/>
                    <w:rPr>
                      <w:rFonts w:hint="eastAsia" w:ascii="Times New Roman" w:hAnsi="Times New Roman" w:eastAsia="宋体"/>
                      <w:color w:val="auto"/>
                      <w:szCs w:val="21"/>
                      <w:u w:val="none"/>
                      <w:lang w:eastAsia="zh-CN"/>
                    </w:rPr>
                  </w:pPr>
                  <w:r>
                    <w:rPr>
                      <w:rFonts w:hint="eastAsia"/>
                      <w:color w:val="auto"/>
                      <w:szCs w:val="21"/>
                      <w:u w:val="none"/>
                      <w:lang w:eastAsia="zh-CN"/>
                    </w:rPr>
                    <w:t>邵水</w:t>
                  </w:r>
                </w:p>
              </w:tc>
              <w:tc>
                <w:tcPr>
                  <w:tcW w:w="649" w:type="pct"/>
                  <w:tcBorders>
                    <w:tl2br w:val="nil"/>
                    <w:tr2bl w:val="nil"/>
                  </w:tcBorders>
                  <w:noWrap w:val="0"/>
                  <w:vAlign w:val="center"/>
                </w:tcPr>
                <w:p>
                  <w:pPr>
                    <w:jc w:val="center"/>
                    <w:rPr>
                      <w:rFonts w:ascii="Times New Roman" w:hAnsi="Times New Roman"/>
                      <w:color w:val="auto"/>
                      <w:szCs w:val="21"/>
                      <w:u w:val="none"/>
                    </w:rPr>
                  </w:pPr>
                  <w:r>
                    <w:rPr>
                      <w:rFonts w:hint="eastAsia" w:ascii="Times New Roman" w:hAnsi="Times New Roman"/>
                      <w:color w:val="auto"/>
                      <w:szCs w:val="21"/>
                      <w:u w:val="none"/>
                    </w:rPr>
                    <w:t>Ⅲ</w:t>
                  </w:r>
                </w:p>
              </w:tc>
              <w:tc>
                <w:tcPr>
                  <w:tcW w:w="366" w:type="pct"/>
                  <w:tcBorders>
                    <w:tl2br w:val="nil"/>
                    <w:tr2bl w:val="nil"/>
                  </w:tcBorders>
                  <w:noWrap w:val="0"/>
                  <w:vAlign w:val="center"/>
                </w:tcPr>
                <w:p>
                  <w:pPr>
                    <w:jc w:val="center"/>
                    <w:rPr>
                      <w:rFonts w:ascii="Times New Roman" w:hAnsi="Times New Roman"/>
                      <w:color w:val="auto"/>
                      <w:szCs w:val="21"/>
                      <w:highlight w:val="none"/>
                      <w:u w:val="none"/>
                    </w:rPr>
                  </w:pPr>
                  <w:r>
                    <w:rPr>
                      <w:rFonts w:hint="eastAsia"/>
                      <w:color w:val="auto"/>
                      <w:szCs w:val="21"/>
                      <w:highlight w:val="none"/>
                      <w:u w:val="none"/>
                      <w:lang w:eastAsia="zh-CN"/>
                    </w:rPr>
                    <w:t>连续</w:t>
                  </w:r>
                  <w:r>
                    <w:rPr>
                      <w:rFonts w:ascii="Times New Roman" w:hAnsi="Times New Roman"/>
                      <w:color w:val="auto"/>
                      <w:szCs w:val="21"/>
                      <w:highlight w:val="none"/>
                      <w:u w:val="none"/>
                    </w:rPr>
                    <w:t>排放</w:t>
                  </w:r>
                </w:p>
              </w:tc>
              <w:tc>
                <w:tcPr>
                  <w:tcW w:w="407" w:type="pct"/>
                  <w:tcBorders>
                    <w:tl2br w:val="nil"/>
                    <w:tr2bl w:val="nil"/>
                  </w:tcBorders>
                  <w:noWrap w:val="0"/>
                  <w:vAlign w:val="center"/>
                </w:tcPr>
                <w:p>
                  <w:pPr>
                    <w:jc w:val="center"/>
                    <w:rPr>
                      <w:rFonts w:ascii="Times New Roman" w:hAnsi="Times New Roman"/>
                      <w:color w:val="auto"/>
                      <w:szCs w:val="21"/>
                      <w:highlight w:val="none"/>
                      <w:u w:val="none"/>
                    </w:rPr>
                  </w:pPr>
                  <w:r>
                    <w:rPr>
                      <w:rFonts w:hint="eastAsia" w:ascii="Times New Roman" w:hAnsi="Times New Roman"/>
                      <w:color w:val="auto"/>
                      <w:szCs w:val="21"/>
                      <w:highlight w:val="none"/>
                      <w:u w:val="none"/>
                      <w:lang w:eastAsia="zh-CN"/>
                    </w:rPr>
                    <w:t>全天</w:t>
                  </w:r>
                </w:p>
              </w:tc>
              <w:tc>
                <w:tcPr>
                  <w:tcW w:w="508" w:type="pct"/>
                  <w:tcBorders>
                    <w:tl2br w:val="nil"/>
                    <w:tr2bl w:val="nil"/>
                  </w:tcBorders>
                  <w:noWrap w:val="0"/>
                  <w:vAlign w:val="center"/>
                </w:tcPr>
                <w:p>
                  <w:pPr>
                    <w:jc w:val="center"/>
                    <w:rPr>
                      <w:rFonts w:hint="eastAsia"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Cs w:val="21"/>
                      <w:u w:val="none"/>
                      <w:lang w:eastAsia="zh-CN"/>
                    </w:rPr>
                    <w:t>11</w:t>
                  </w:r>
                  <w:r>
                    <w:rPr>
                      <w:rFonts w:hint="eastAsia" w:cs="Times New Roman"/>
                      <w:color w:val="auto"/>
                      <w:szCs w:val="21"/>
                      <w:u w:val="none"/>
                      <w:lang w:val="en-US" w:eastAsia="zh-CN"/>
                    </w:rPr>
                    <w:t>1.5478</w:t>
                  </w:r>
                  <w:r>
                    <w:rPr>
                      <w:rFonts w:hint="eastAsia" w:ascii="Times New Roman" w:hAnsi="Times New Roman" w:cs="Times New Roman"/>
                      <w:color w:val="auto"/>
                      <w:szCs w:val="21"/>
                      <w:u w:val="none"/>
                      <w:lang w:val="en-US" w:eastAsia="zh-CN"/>
                    </w:rPr>
                    <w:t>76</w:t>
                  </w:r>
                </w:p>
              </w:tc>
              <w:tc>
                <w:tcPr>
                  <w:tcW w:w="455" w:type="pct"/>
                  <w:tcBorders>
                    <w:tl2br w:val="nil"/>
                    <w:tr2bl w:val="nil"/>
                  </w:tcBorders>
                  <w:noWrap w:val="0"/>
                  <w:vAlign w:val="center"/>
                </w:tcPr>
                <w:p>
                  <w:pPr>
                    <w:jc w:val="center"/>
                    <w:rPr>
                      <w:rFonts w:hint="eastAsia" w:ascii="Times New Roman" w:hAnsi="Times New Roman" w:eastAsia="宋体" w:cs="Times New Roman"/>
                      <w:color w:val="auto"/>
                      <w:kern w:val="2"/>
                      <w:sz w:val="21"/>
                      <w:szCs w:val="21"/>
                      <w:u w:val="none"/>
                      <w:lang w:val="en-US" w:eastAsia="zh-CN" w:bidi="ar-SA"/>
                    </w:rPr>
                  </w:pPr>
                  <w:r>
                    <w:rPr>
                      <w:rFonts w:hint="eastAsia" w:cs="Times New Roman"/>
                      <w:color w:val="auto"/>
                      <w:szCs w:val="21"/>
                      <w:u w:val="none"/>
                      <w:lang w:val="en-US" w:eastAsia="zh-CN"/>
                    </w:rPr>
                    <w:t>27.1931</w:t>
                  </w:r>
                  <w:r>
                    <w:rPr>
                      <w:rFonts w:hint="eastAsia" w:ascii="Times New Roman" w:hAnsi="Times New Roman" w:cs="Times New Roman"/>
                      <w:color w:val="auto"/>
                      <w:szCs w:val="21"/>
                      <w:u w:val="none"/>
                      <w:lang w:val="en-US" w:eastAsia="zh-CN"/>
                    </w:rPr>
                    <w:t>63</w:t>
                  </w:r>
                </w:p>
              </w:tc>
            </w:tr>
          </w:tbl>
          <w:p>
            <w:pPr>
              <w:adjustRightInd w:val="0"/>
              <w:snapToGrid w:val="0"/>
              <w:spacing w:line="360" w:lineRule="auto"/>
              <w:ind w:firstLine="462"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③项目废水污染物排放标准</w:t>
            </w:r>
          </w:p>
          <w:p>
            <w:pPr>
              <w:adjustRightInd w:val="0"/>
              <w:snapToGrid w:val="0"/>
              <w:spacing w:line="360" w:lineRule="auto"/>
              <w:ind w:firstLine="462" w:firstLineChars="200"/>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rPr>
              <w:t>项目废水污染物执行标准见表</w:t>
            </w:r>
            <w:r>
              <w:rPr>
                <w:rFonts w:hint="default" w:ascii="Times New Roman" w:hAnsi="Times New Roman" w:eastAsia="宋体" w:cs="Times New Roman"/>
                <w:color w:val="auto"/>
                <w:sz w:val="24"/>
                <w:u w:val="none"/>
                <w:lang w:val="en-US" w:eastAsia="zh-CN"/>
              </w:rPr>
              <w:t>7-1</w:t>
            </w:r>
            <w:r>
              <w:rPr>
                <w:rFonts w:hint="eastAsia" w:ascii="Times New Roman" w:hAnsi="Times New Roman" w:eastAsia="宋体" w:cs="Times New Roman"/>
                <w:color w:val="auto"/>
                <w:sz w:val="24"/>
                <w:u w:val="none"/>
                <w:lang w:val="en-US" w:eastAsia="zh-CN"/>
              </w:rPr>
              <w:t>9</w:t>
            </w:r>
            <w:r>
              <w:rPr>
                <w:rFonts w:hint="default" w:ascii="Times New Roman" w:hAnsi="Times New Roman" w:eastAsia="宋体" w:cs="Times New Roman"/>
                <w:color w:val="auto"/>
                <w:sz w:val="24"/>
                <w:u w:val="none"/>
              </w:rPr>
              <w:t>。</w:t>
            </w:r>
          </w:p>
          <w:p>
            <w:pPr>
              <w:pStyle w:val="25"/>
              <w:keepNext w:val="0"/>
              <w:keepLines w:val="0"/>
              <w:pageBreakBefore w:val="0"/>
              <w:widowControl w:val="0"/>
              <w:kinsoku/>
              <w:wordWrap/>
              <w:overflowPunct/>
              <w:topLinePunct w:val="0"/>
              <w:autoSpaceDE/>
              <w:autoSpaceDN/>
              <w:bidi w:val="0"/>
              <w:adjustRightInd w:val="0"/>
              <w:snapToGrid w:val="0"/>
              <w:spacing w:beforeLines="0" w:after="0" w:line="240" w:lineRule="auto"/>
              <w:jc w:val="center"/>
              <w:textAlignment w:val="auto"/>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表</w:t>
            </w:r>
            <w:r>
              <w:rPr>
                <w:rFonts w:hint="default" w:ascii="Times New Roman" w:hAnsi="Times New Roman" w:eastAsia="宋体" w:cs="Times New Roman"/>
                <w:b/>
                <w:bCs/>
                <w:color w:val="auto"/>
                <w:sz w:val="21"/>
                <w:szCs w:val="21"/>
                <w:u w:val="none"/>
                <w:lang w:val="en-US" w:eastAsia="zh-CN"/>
              </w:rPr>
              <w:t>7-1</w:t>
            </w:r>
            <w:r>
              <w:rPr>
                <w:rFonts w:hint="eastAsia" w:ascii="Times New Roman" w:hAnsi="Times New Roman" w:eastAsia="宋体" w:cs="Times New Roman"/>
                <w:b/>
                <w:bCs/>
                <w:color w:val="auto"/>
                <w:sz w:val="21"/>
                <w:szCs w:val="21"/>
                <w:u w:val="none"/>
                <w:lang w:val="en-US" w:eastAsia="zh-CN"/>
              </w:rPr>
              <w:t>9</w:t>
            </w:r>
            <w:r>
              <w:rPr>
                <w:rFonts w:hint="default" w:ascii="Times New Roman" w:hAnsi="Times New Roman" w:eastAsia="宋体" w:cs="Times New Roman"/>
                <w:b/>
                <w:bCs/>
                <w:color w:val="auto"/>
                <w:sz w:val="21"/>
                <w:szCs w:val="21"/>
                <w:u w:val="none"/>
                <w:lang w:val="en-US" w:eastAsia="zh-CN"/>
              </w:rPr>
              <w:t xml:space="preserve">  </w:t>
            </w:r>
            <w:r>
              <w:rPr>
                <w:rFonts w:hint="default" w:ascii="Times New Roman" w:hAnsi="Times New Roman" w:eastAsia="宋体" w:cs="Times New Roman"/>
                <w:b/>
                <w:bCs/>
                <w:color w:val="auto"/>
                <w:sz w:val="21"/>
                <w:szCs w:val="21"/>
                <w:u w:val="none"/>
              </w:rPr>
              <w:t xml:space="preserve"> 废水污染物排放执行标准</w:t>
            </w:r>
          </w:p>
          <w:tbl>
            <w:tblPr>
              <w:tblStyle w:val="27"/>
              <w:tblW w:w="85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500"/>
              <w:gridCol w:w="1976"/>
              <w:gridCol w:w="1911"/>
              <w:gridCol w:w="18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10" w:type="dxa"/>
                  <w:vMerge w:val="restart"/>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序号</w:t>
                  </w:r>
                </w:p>
              </w:tc>
              <w:tc>
                <w:tcPr>
                  <w:tcW w:w="1500" w:type="dxa"/>
                  <w:vMerge w:val="restart"/>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排放口编号</w:t>
                  </w:r>
                </w:p>
              </w:tc>
              <w:tc>
                <w:tcPr>
                  <w:tcW w:w="1976" w:type="dxa"/>
                  <w:vMerge w:val="restart"/>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污染物种类</w:t>
                  </w:r>
                </w:p>
              </w:tc>
              <w:tc>
                <w:tcPr>
                  <w:tcW w:w="3757" w:type="dxa"/>
                  <w:gridSpan w:val="2"/>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《城镇污水处理厂污染物排放标准》（GB18918-2002）一级</w:t>
                  </w:r>
                  <w:r>
                    <w:rPr>
                      <w:rFonts w:hint="eastAsia" w:cs="Times New Roman"/>
                      <w:color w:val="auto"/>
                      <w:szCs w:val="21"/>
                      <w:u w:val="none"/>
                      <w:lang w:val="en-US" w:eastAsia="zh-CN"/>
                    </w:rPr>
                    <w:t>B</w:t>
                  </w:r>
                  <w:r>
                    <w:rPr>
                      <w:rFonts w:hint="default" w:ascii="Times New Roman" w:hAnsi="Times New Roman" w:eastAsia="宋体" w:cs="Times New Roman"/>
                      <w:color w:val="auto"/>
                      <w:szCs w:val="21"/>
                      <w:u w:val="none"/>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10" w:type="dxa"/>
                  <w:vMerge w:val="continue"/>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p>
              </w:tc>
              <w:tc>
                <w:tcPr>
                  <w:tcW w:w="1500" w:type="dxa"/>
                  <w:vMerge w:val="continue"/>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p>
              </w:tc>
              <w:tc>
                <w:tcPr>
                  <w:tcW w:w="1976" w:type="dxa"/>
                  <w:vMerge w:val="continue"/>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p>
              </w:tc>
              <w:tc>
                <w:tcPr>
                  <w:tcW w:w="1911" w:type="dxa"/>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名称</w:t>
                  </w:r>
                </w:p>
              </w:tc>
              <w:tc>
                <w:tcPr>
                  <w:tcW w:w="1846" w:type="dxa"/>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浓度限值/（mg/L）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10" w:type="dxa"/>
                  <w:vMerge w:val="restart"/>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1</w:t>
                  </w:r>
                </w:p>
              </w:tc>
              <w:tc>
                <w:tcPr>
                  <w:tcW w:w="1500" w:type="dxa"/>
                  <w:vMerge w:val="restart"/>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DW001</w:t>
                  </w:r>
                </w:p>
              </w:tc>
              <w:tc>
                <w:tcPr>
                  <w:tcW w:w="19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pH</w:t>
                  </w:r>
                </w:p>
              </w:tc>
              <w:tc>
                <w:tcPr>
                  <w:tcW w:w="1911" w:type="dxa"/>
                  <w:vMerge w:val="restart"/>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（GB18918-2002）一级</w:t>
                  </w:r>
                  <w:r>
                    <w:rPr>
                      <w:rFonts w:hint="eastAsia" w:cs="Times New Roman"/>
                      <w:color w:val="auto"/>
                      <w:szCs w:val="21"/>
                      <w:u w:val="none"/>
                      <w:lang w:val="en-US" w:eastAsia="zh-CN"/>
                    </w:rPr>
                    <w:t>B</w:t>
                  </w:r>
                  <w:r>
                    <w:rPr>
                      <w:rFonts w:hint="default" w:ascii="Times New Roman" w:hAnsi="Times New Roman" w:eastAsia="宋体" w:cs="Times New Roman"/>
                      <w:color w:val="auto"/>
                      <w:szCs w:val="21"/>
                      <w:u w:val="none"/>
                    </w:rPr>
                    <w:t>标准</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6-9（无量纲）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0" w:type="dxa"/>
                  <w:vMerge w:val="continue"/>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p>
              </w:tc>
              <w:tc>
                <w:tcPr>
                  <w:tcW w:w="1500" w:type="dxa"/>
                  <w:vMerge w:val="continue"/>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p>
              </w:tc>
              <w:tc>
                <w:tcPr>
                  <w:tcW w:w="19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SS</w:t>
                  </w:r>
                </w:p>
              </w:tc>
              <w:tc>
                <w:tcPr>
                  <w:tcW w:w="1911" w:type="dxa"/>
                  <w:vMerge w:val="continue"/>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eastAsia" w:cs="Times New Roman"/>
                      <w:b w:val="0"/>
                      <w:bCs w:val="0"/>
                      <w:color w:val="auto"/>
                      <w:kern w:val="2"/>
                      <w:sz w:val="21"/>
                      <w:szCs w:val="21"/>
                      <w:u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0" w:type="dxa"/>
                  <w:vMerge w:val="continue"/>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p>
              </w:tc>
              <w:tc>
                <w:tcPr>
                  <w:tcW w:w="1500" w:type="dxa"/>
                  <w:vMerge w:val="continue"/>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p>
              </w:tc>
              <w:tc>
                <w:tcPr>
                  <w:tcW w:w="19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BOD</w:t>
                  </w:r>
                  <w:r>
                    <w:rPr>
                      <w:rFonts w:hint="default" w:ascii="Times New Roman" w:hAnsi="Times New Roman" w:eastAsia="宋体" w:cs="Times New Roman"/>
                      <w:color w:val="auto"/>
                      <w:szCs w:val="21"/>
                      <w:u w:val="none"/>
                      <w:vertAlign w:val="subscript"/>
                    </w:rPr>
                    <w:t>5</w:t>
                  </w:r>
                </w:p>
              </w:tc>
              <w:tc>
                <w:tcPr>
                  <w:tcW w:w="1911" w:type="dxa"/>
                  <w:vMerge w:val="continue"/>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eastAsia" w:cs="Times New Roman"/>
                      <w:b w:val="0"/>
                      <w:bCs w:val="0"/>
                      <w:color w:val="auto"/>
                      <w:kern w:val="2"/>
                      <w:sz w:val="21"/>
                      <w:szCs w:val="21"/>
                      <w:u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0" w:type="dxa"/>
                  <w:vMerge w:val="continue"/>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p>
              </w:tc>
              <w:tc>
                <w:tcPr>
                  <w:tcW w:w="1500" w:type="dxa"/>
                  <w:vMerge w:val="continue"/>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p>
              </w:tc>
              <w:tc>
                <w:tcPr>
                  <w:tcW w:w="19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CODcr</w:t>
                  </w:r>
                </w:p>
              </w:tc>
              <w:tc>
                <w:tcPr>
                  <w:tcW w:w="1911" w:type="dxa"/>
                  <w:vMerge w:val="continue"/>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eastAsia" w:cs="Times New Roman"/>
                      <w:b w:val="0"/>
                      <w:bCs w:val="0"/>
                      <w:color w:val="auto"/>
                      <w:kern w:val="2"/>
                      <w:sz w:val="21"/>
                      <w:szCs w:val="21"/>
                      <w:u w:val="none"/>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0" w:type="dxa"/>
                  <w:vMerge w:val="continue"/>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p>
              </w:tc>
              <w:tc>
                <w:tcPr>
                  <w:tcW w:w="1500" w:type="dxa"/>
                  <w:vMerge w:val="continue"/>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p>
              </w:tc>
              <w:tc>
                <w:tcPr>
                  <w:tcW w:w="19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氨氮</w:t>
                  </w:r>
                </w:p>
              </w:tc>
              <w:tc>
                <w:tcPr>
                  <w:tcW w:w="1911" w:type="dxa"/>
                  <w:vMerge w:val="continue"/>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eastAsia" w:cs="Times New Roman"/>
                      <w:b w:val="0"/>
                      <w:bCs w:val="0"/>
                      <w:color w:val="auto"/>
                      <w:kern w:val="2"/>
                      <w:sz w:val="21"/>
                      <w:szCs w:val="21"/>
                      <w:u w:val="none"/>
                      <w:lang w:val="en-US" w:eastAsia="zh-CN" w:bidi="ar-SA"/>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0" w:type="dxa"/>
                  <w:vMerge w:val="continue"/>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p>
              </w:tc>
              <w:tc>
                <w:tcPr>
                  <w:tcW w:w="1500" w:type="dxa"/>
                  <w:vMerge w:val="continue"/>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p>
              </w:tc>
              <w:tc>
                <w:tcPr>
                  <w:tcW w:w="19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lang w:val="en-US" w:eastAsia="zh-CN"/>
                    </w:rPr>
                  </w:pPr>
                  <w:r>
                    <w:rPr>
                      <w:rFonts w:hint="eastAsia" w:ascii="Times New Roman" w:hAnsi="Times New Roman" w:eastAsia="宋体" w:cs="Times New Roman"/>
                      <w:color w:val="auto"/>
                      <w:szCs w:val="21"/>
                      <w:u w:val="none"/>
                      <w:lang w:val="en-US" w:eastAsia="zh-CN"/>
                    </w:rPr>
                    <w:t>TN</w:t>
                  </w:r>
                </w:p>
              </w:tc>
              <w:tc>
                <w:tcPr>
                  <w:tcW w:w="1911" w:type="dxa"/>
                  <w:vMerge w:val="continue"/>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0" w:type="dxa"/>
                  <w:vMerge w:val="continue"/>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p>
              </w:tc>
              <w:tc>
                <w:tcPr>
                  <w:tcW w:w="1500" w:type="dxa"/>
                  <w:vMerge w:val="continue"/>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p>
              </w:tc>
              <w:tc>
                <w:tcPr>
                  <w:tcW w:w="19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lang w:val="en-US" w:eastAsia="zh-CN"/>
                    </w:rPr>
                  </w:pPr>
                  <w:r>
                    <w:rPr>
                      <w:rFonts w:hint="eastAsia" w:ascii="Times New Roman" w:hAnsi="Times New Roman" w:eastAsia="宋体" w:cs="Times New Roman"/>
                      <w:color w:val="auto"/>
                      <w:szCs w:val="21"/>
                      <w:u w:val="none"/>
                      <w:lang w:val="en-US" w:eastAsia="zh-CN"/>
                    </w:rPr>
                    <w:t>TP</w:t>
                  </w:r>
                </w:p>
              </w:tc>
              <w:tc>
                <w:tcPr>
                  <w:tcW w:w="1911" w:type="dxa"/>
                  <w:vMerge w:val="continue"/>
                  <w:tcBorders>
                    <w:tl2br w:val="nil"/>
                    <w:tr2bl w:val="nil"/>
                  </w:tcBorders>
                  <w:noWrap w:val="0"/>
                  <w:vAlign w:val="center"/>
                </w:tcPr>
                <w:p>
                  <w:pPr>
                    <w:keepNext w:val="0"/>
                    <w:keepLines w:val="0"/>
                    <w:pageBreakBefore w:val="0"/>
                    <w:widowControl w:val="0"/>
                    <w:tabs>
                      <w:tab w:val="left" w:pos="4326"/>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rPr>
                  </w:pP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1</w:t>
                  </w:r>
                </w:p>
              </w:tc>
            </w:tr>
          </w:tbl>
          <w:p>
            <w:pPr>
              <w:adjustRightInd w:val="0"/>
              <w:snapToGrid w:val="0"/>
              <w:spacing w:line="360" w:lineRule="auto"/>
              <w:ind w:firstLine="462"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④废水污染物排放情况</w:t>
            </w:r>
          </w:p>
          <w:p>
            <w:pPr>
              <w:adjustRightInd w:val="0"/>
              <w:snapToGrid w:val="0"/>
              <w:spacing w:line="360" w:lineRule="auto"/>
              <w:ind w:firstLine="462"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项目废水污染物排放情况见表</w:t>
            </w:r>
            <w:r>
              <w:rPr>
                <w:rFonts w:hint="eastAsia" w:ascii="Times New Roman" w:hAnsi="Times New Roman" w:eastAsia="宋体" w:cs="Times New Roman"/>
                <w:color w:val="auto"/>
                <w:sz w:val="24"/>
                <w:u w:val="none"/>
                <w:lang w:val="en-US" w:eastAsia="zh-CN"/>
              </w:rPr>
              <w:t>7</w:t>
            </w:r>
            <w:r>
              <w:rPr>
                <w:rFonts w:hint="default" w:ascii="Times New Roman" w:hAnsi="Times New Roman" w:eastAsia="宋体" w:cs="Times New Roman"/>
                <w:color w:val="auto"/>
                <w:sz w:val="24"/>
                <w:u w:val="none"/>
                <w:lang w:val="en-US" w:eastAsia="zh-CN"/>
              </w:rPr>
              <w:t>-</w:t>
            </w:r>
            <w:r>
              <w:rPr>
                <w:rFonts w:hint="eastAsia" w:ascii="Times New Roman" w:hAnsi="Times New Roman" w:eastAsia="宋体" w:cs="Times New Roman"/>
                <w:color w:val="auto"/>
                <w:sz w:val="24"/>
                <w:u w:val="none"/>
                <w:lang w:val="en-US" w:eastAsia="zh-CN"/>
              </w:rPr>
              <w:t>20</w:t>
            </w:r>
            <w:r>
              <w:rPr>
                <w:rFonts w:hint="default" w:ascii="Times New Roman" w:hAnsi="Times New Roman" w:eastAsia="宋体" w:cs="Times New Roman"/>
                <w:color w:val="auto"/>
                <w:sz w:val="24"/>
                <w:u w:val="none"/>
              </w:rPr>
              <w:t>。</w:t>
            </w:r>
          </w:p>
          <w:p>
            <w:pPr>
              <w:adjustRightInd w:val="0"/>
              <w:snapToGrid w:val="0"/>
              <w:jc w:val="center"/>
              <w:rPr>
                <w:rFonts w:hint="default" w:ascii="Times New Roman" w:hAnsi="Times New Roman" w:eastAsia="宋体" w:cs="Times New Roman"/>
                <w:b/>
                <w:bCs/>
                <w:color w:val="auto"/>
                <w:sz w:val="21"/>
                <w:szCs w:val="24"/>
                <w:u w:val="none"/>
              </w:rPr>
            </w:pPr>
          </w:p>
          <w:p>
            <w:pPr>
              <w:adjustRightInd w:val="0"/>
              <w:snapToGrid w:val="0"/>
              <w:jc w:val="center"/>
              <w:rPr>
                <w:rFonts w:hint="default" w:ascii="Times New Roman" w:hAnsi="Times New Roman" w:eastAsia="宋体" w:cs="Times New Roman"/>
                <w:b/>
                <w:bCs/>
                <w:color w:val="auto"/>
                <w:sz w:val="21"/>
                <w:szCs w:val="24"/>
                <w:u w:val="none"/>
              </w:rPr>
            </w:pPr>
          </w:p>
          <w:p>
            <w:pPr>
              <w:adjustRightInd w:val="0"/>
              <w:snapToGrid w:val="0"/>
              <w:jc w:val="center"/>
              <w:rPr>
                <w:rFonts w:hint="default" w:ascii="Times New Roman" w:hAnsi="Times New Roman" w:eastAsia="宋体" w:cs="Times New Roman"/>
                <w:b/>
                <w:bCs/>
                <w:color w:val="auto"/>
                <w:sz w:val="21"/>
                <w:szCs w:val="24"/>
                <w:u w:val="none"/>
              </w:rPr>
            </w:pPr>
          </w:p>
          <w:p>
            <w:pPr>
              <w:adjustRightInd w:val="0"/>
              <w:snapToGrid w:val="0"/>
              <w:jc w:val="center"/>
              <w:rPr>
                <w:rFonts w:hint="default" w:ascii="Times New Roman" w:hAnsi="Times New Roman" w:eastAsia="宋体" w:cs="Times New Roman"/>
                <w:b/>
                <w:bCs/>
                <w:color w:val="auto"/>
                <w:sz w:val="21"/>
                <w:szCs w:val="24"/>
                <w:u w:val="none"/>
              </w:rPr>
            </w:pPr>
          </w:p>
          <w:p>
            <w:pPr>
              <w:adjustRightInd w:val="0"/>
              <w:snapToGrid w:val="0"/>
              <w:jc w:val="center"/>
              <w:rPr>
                <w:rFonts w:hint="default" w:ascii="Times New Roman" w:hAnsi="Times New Roman" w:eastAsia="宋体" w:cs="Times New Roman"/>
                <w:b/>
                <w:bCs/>
                <w:color w:val="auto"/>
                <w:sz w:val="21"/>
                <w:szCs w:val="24"/>
                <w:u w:val="none"/>
              </w:rPr>
            </w:pPr>
            <w:r>
              <w:rPr>
                <w:rFonts w:hint="default" w:ascii="Times New Roman" w:hAnsi="Times New Roman" w:eastAsia="宋体" w:cs="Times New Roman"/>
                <w:b/>
                <w:bCs/>
                <w:color w:val="auto"/>
                <w:sz w:val="21"/>
                <w:szCs w:val="24"/>
                <w:u w:val="none"/>
              </w:rPr>
              <w:t>表</w:t>
            </w:r>
            <w:r>
              <w:rPr>
                <w:rFonts w:hint="eastAsia" w:ascii="Times New Roman" w:hAnsi="Times New Roman" w:eastAsia="宋体" w:cs="Times New Roman"/>
                <w:b/>
                <w:bCs/>
                <w:color w:val="auto"/>
                <w:sz w:val="21"/>
                <w:szCs w:val="24"/>
                <w:u w:val="none"/>
                <w:lang w:val="en-US" w:eastAsia="zh-CN"/>
              </w:rPr>
              <w:t>7</w:t>
            </w:r>
            <w:r>
              <w:rPr>
                <w:rFonts w:hint="default" w:ascii="Times New Roman" w:hAnsi="Times New Roman" w:eastAsia="宋体" w:cs="Times New Roman"/>
                <w:b/>
                <w:bCs/>
                <w:color w:val="auto"/>
                <w:sz w:val="21"/>
                <w:szCs w:val="24"/>
                <w:u w:val="none"/>
                <w:lang w:val="en-US" w:eastAsia="zh-CN"/>
              </w:rPr>
              <w:t>-</w:t>
            </w:r>
            <w:r>
              <w:rPr>
                <w:rFonts w:hint="eastAsia" w:ascii="Times New Roman" w:hAnsi="Times New Roman" w:eastAsia="宋体" w:cs="Times New Roman"/>
                <w:b/>
                <w:bCs/>
                <w:color w:val="auto"/>
                <w:sz w:val="21"/>
                <w:szCs w:val="24"/>
                <w:u w:val="none"/>
                <w:lang w:val="en-US" w:eastAsia="zh-CN"/>
              </w:rPr>
              <w:t>20</w:t>
            </w:r>
            <w:r>
              <w:rPr>
                <w:rFonts w:hint="default" w:ascii="Times New Roman" w:hAnsi="Times New Roman" w:eastAsia="宋体" w:cs="Times New Roman"/>
                <w:b/>
                <w:bCs/>
                <w:color w:val="auto"/>
                <w:sz w:val="21"/>
                <w:szCs w:val="24"/>
                <w:u w:val="none"/>
              </w:rPr>
              <w:t xml:space="preserve"> </w:t>
            </w:r>
            <w:r>
              <w:rPr>
                <w:rFonts w:hint="default" w:ascii="Times New Roman" w:hAnsi="Times New Roman" w:eastAsia="宋体" w:cs="Times New Roman"/>
                <w:b/>
                <w:bCs/>
                <w:color w:val="auto"/>
                <w:sz w:val="21"/>
                <w:szCs w:val="24"/>
                <w:u w:val="none"/>
                <w:lang w:val="en-US" w:eastAsia="zh-CN"/>
              </w:rPr>
              <w:t xml:space="preserve"> </w:t>
            </w:r>
            <w:r>
              <w:rPr>
                <w:rFonts w:hint="default" w:ascii="Times New Roman" w:hAnsi="Times New Roman" w:eastAsia="宋体" w:cs="Times New Roman"/>
                <w:b/>
                <w:bCs/>
                <w:color w:val="auto"/>
                <w:sz w:val="21"/>
                <w:szCs w:val="24"/>
                <w:u w:val="none"/>
              </w:rPr>
              <w:t>废水污染物排放信息表</w:t>
            </w:r>
          </w:p>
          <w:tbl>
            <w:tblPr>
              <w:tblStyle w:val="27"/>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528"/>
              <w:gridCol w:w="1894"/>
              <w:gridCol w:w="1512"/>
              <w:gridCol w:w="1517"/>
              <w:gridCol w:w="15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1"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序号</w:t>
                  </w:r>
                </w:p>
              </w:tc>
              <w:tc>
                <w:tcPr>
                  <w:tcW w:w="842"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排放口编号</w:t>
                  </w:r>
                </w:p>
              </w:tc>
              <w:tc>
                <w:tcPr>
                  <w:tcW w:w="104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排放源</w:t>
                  </w:r>
                </w:p>
              </w:tc>
              <w:tc>
                <w:tcPr>
                  <w:tcW w:w="833"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污染物种类</w:t>
                  </w:r>
                </w:p>
              </w:tc>
              <w:tc>
                <w:tcPr>
                  <w:tcW w:w="835"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排放浓度/（mg/L）</w:t>
                  </w:r>
                </w:p>
              </w:tc>
              <w:tc>
                <w:tcPr>
                  <w:tcW w:w="833"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11"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w:t>
                  </w:r>
                </w:p>
              </w:tc>
              <w:tc>
                <w:tcPr>
                  <w:tcW w:w="842"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DW001</w:t>
                  </w:r>
                </w:p>
              </w:tc>
              <w:tc>
                <w:tcPr>
                  <w:tcW w:w="1044"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lang w:eastAsia="zh-CN"/>
                    </w:rPr>
                  </w:pPr>
                  <w:r>
                    <w:rPr>
                      <w:rFonts w:hint="eastAsia" w:ascii="Times New Roman" w:hAnsi="Times New Roman" w:eastAsia="宋体" w:cs="Times New Roman"/>
                      <w:color w:val="auto"/>
                      <w:sz w:val="21"/>
                      <w:szCs w:val="21"/>
                      <w:u w:val="none"/>
                      <w:lang w:eastAsia="zh-CN"/>
                    </w:rPr>
                    <w:t>生活污水</w:t>
                  </w:r>
                </w:p>
              </w:tc>
              <w:tc>
                <w:tcPr>
                  <w:tcW w:w="833"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COD</w:t>
                  </w:r>
                </w:p>
              </w:tc>
              <w:tc>
                <w:tcPr>
                  <w:tcW w:w="835"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60</w:t>
                  </w:r>
                </w:p>
              </w:tc>
              <w:tc>
                <w:tcPr>
                  <w:tcW w:w="833" w:type="pct"/>
                  <w:tcBorders>
                    <w:tl2br w:val="nil"/>
                    <w:tr2bl w:val="nil"/>
                  </w:tcBorders>
                  <w:noWrap w:val="0"/>
                  <w:vAlign w:val="center"/>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21.90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1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p>
              </w:tc>
              <w:tc>
                <w:tcPr>
                  <w:tcW w:w="84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p>
              </w:tc>
              <w:tc>
                <w:tcPr>
                  <w:tcW w:w="1044"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p>
              </w:tc>
              <w:tc>
                <w:tcPr>
                  <w:tcW w:w="833"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BOD</w:t>
                  </w:r>
                  <w:r>
                    <w:rPr>
                      <w:rFonts w:hint="default" w:ascii="Times New Roman" w:hAnsi="Times New Roman" w:eastAsia="宋体" w:cs="Times New Roman"/>
                      <w:color w:val="auto"/>
                      <w:sz w:val="21"/>
                      <w:szCs w:val="21"/>
                      <w:u w:val="none"/>
                      <w:vertAlign w:val="subscript"/>
                    </w:rPr>
                    <w:t>5</w:t>
                  </w:r>
                </w:p>
              </w:tc>
              <w:tc>
                <w:tcPr>
                  <w:tcW w:w="835" w:type="pct"/>
                  <w:tcBorders>
                    <w:tl2br w:val="nil"/>
                    <w:tr2bl w:val="nil"/>
                  </w:tcBorders>
                  <w:noWrap w:val="0"/>
                  <w:vAlign w:val="center"/>
                </w:tcPr>
                <w:p>
                  <w:pPr>
                    <w:spacing w:line="240" w:lineRule="auto"/>
                    <w:jc w:val="center"/>
                    <w:rPr>
                      <w:rFonts w:hint="default" w:ascii="Times New Roman" w:hAnsi="Times New Roman" w:eastAsia="宋体" w:cs="Times New Roman"/>
                      <w:color w:val="auto"/>
                      <w:kern w:val="0"/>
                      <w:sz w:val="21"/>
                      <w:szCs w:val="21"/>
                      <w:u w:val="none"/>
                      <w:lang w:val="en-US" w:eastAsia="zh-CN" w:bidi="ar"/>
                    </w:rPr>
                  </w:pPr>
                  <w:r>
                    <w:rPr>
                      <w:rFonts w:hint="eastAsia" w:cs="Times New Roman"/>
                      <w:color w:val="auto"/>
                      <w:kern w:val="0"/>
                      <w:sz w:val="21"/>
                      <w:szCs w:val="21"/>
                      <w:u w:val="none"/>
                      <w:lang w:val="en-US" w:eastAsia="zh-CN" w:bidi="ar"/>
                    </w:rPr>
                    <w:t>20</w:t>
                  </w:r>
                </w:p>
              </w:tc>
              <w:tc>
                <w:tcPr>
                  <w:tcW w:w="833" w:type="pct"/>
                  <w:tcBorders>
                    <w:tl2br w:val="nil"/>
                    <w:tr2bl w:val="nil"/>
                  </w:tcBorders>
                  <w:noWrap w:val="0"/>
                  <w:vAlign w:val="center"/>
                </w:tcPr>
                <w:p>
                  <w:pPr>
                    <w:jc w:val="center"/>
                    <w:rPr>
                      <w:rFonts w:hint="default" w:ascii="Times New Roman" w:hAnsi="Times New Roman" w:eastAsia="宋体" w:cs="Times New Roman"/>
                      <w:color w:val="auto"/>
                      <w:kern w:val="0"/>
                      <w:sz w:val="21"/>
                      <w:szCs w:val="21"/>
                      <w:u w:val="none"/>
                      <w:lang w:val="en-US" w:eastAsia="zh-CN" w:bidi="ar"/>
                    </w:rPr>
                  </w:pPr>
                  <w:r>
                    <w:rPr>
                      <w:rFonts w:hint="eastAsia" w:cs="Times New Roman"/>
                      <w:color w:val="auto"/>
                      <w:kern w:val="0"/>
                      <w:sz w:val="21"/>
                      <w:szCs w:val="21"/>
                      <w:u w:val="none"/>
                      <w:lang w:val="en-US" w:eastAsia="zh-CN" w:bidi="ar"/>
                    </w:rPr>
                    <w:t>7.30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1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p>
              </w:tc>
              <w:tc>
                <w:tcPr>
                  <w:tcW w:w="84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p>
              </w:tc>
              <w:tc>
                <w:tcPr>
                  <w:tcW w:w="1044"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p>
              </w:tc>
              <w:tc>
                <w:tcPr>
                  <w:tcW w:w="833"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SS</w:t>
                  </w:r>
                </w:p>
              </w:tc>
              <w:tc>
                <w:tcPr>
                  <w:tcW w:w="835"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20</w:t>
                  </w:r>
                </w:p>
              </w:tc>
              <w:tc>
                <w:tcPr>
                  <w:tcW w:w="833" w:type="pct"/>
                  <w:tcBorders>
                    <w:tl2br w:val="nil"/>
                    <w:tr2bl w:val="nil"/>
                  </w:tcBorders>
                  <w:noWrap w:val="0"/>
                  <w:vAlign w:val="center"/>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7.30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1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p>
              </w:tc>
              <w:tc>
                <w:tcPr>
                  <w:tcW w:w="84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p>
              </w:tc>
              <w:tc>
                <w:tcPr>
                  <w:tcW w:w="1044"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p>
              </w:tc>
              <w:tc>
                <w:tcPr>
                  <w:tcW w:w="833" w:type="pct"/>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NH</w:t>
                  </w:r>
                  <w:r>
                    <w:rPr>
                      <w:rFonts w:hint="default" w:ascii="Times New Roman" w:hAnsi="Times New Roman" w:eastAsia="宋体" w:cs="Times New Roman"/>
                      <w:color w:val="auto"/>
                      <w:sz w:val="21"/>
                      <w:szCs w:val="21"/>
                      <w:u w:val="none"/>
                      <w:vertAlign w:val="subscript"/>
                    </w:rPr>
                    <w:t>3</w:t>
                  </w:r>
                  <w:r>
                    <w:rPr>
                      <w:rFonts w:hint="default" w:ascii="Times New Roman" w:hAnsi="Times New Roman" w:eastAsia="宋体" w:cs="Times New Roman"/>
                      <w:color w:val="auto"/>
                      <w:sz w:val="21"/>
                      <w:szCs w:val="21"/>
                      <w:u w:val="none"/>
                    </w:rPr>
                    <w:t>-N</w:t>
                  </w:r>
                </w:p>
              </w:tc>
              <w:tc>
                <w:tcPr>
                  <w:tcW w:w="835" w:type="pct"/>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8</w:t>
                  </w:r>
                </w:p>
              </w:tc>
              <w:tc>
                <w:tcPr>
                  <w:tcW w:w="833" w:type="pct"/>
                  <w:tcBorders>
                    <w:tl2br w:val="nil"/>
                    <w:tr2bl w:val="nil"/>
                  </w:tcBorders>
                  <w:noWrap w:val="0"/>
                  <w:vAlign w:val="center"/>
                </w:tcPr>
                <w:p>
                  <w:pPr>
                    <w:jc w:val="center"/>
                    <w:rPr>
                      <w:rFonts w:hint="default" w:ascii="Times New Roman" w:hAnsi="Times New Roman" w:eastAsia="宋体" w:cs="Times New Roman"/>
                      <w:color w:val="auto"/>
                      <w:kern w:val="0"/>
                      <w:sz w:val="21"/>
                      <w:szCs w:val="21"/>
                      <w:u w:val="none"/>
                      <w:lang w:val="en-US" w:eastAsia="zh-CN" w:bidi="ar"/>
                    </w:rPr>
                  </w:pPr>
                  <w:r>
                    <w:rPr>
                      <w:rFonts w:hint="eastAsia" w:cs="Times New Roman"/>
                      <w:color w:val="auto"/>
                      <w:kern w:val="0"/>
                      <w:sz w:val="21"/>
                      <w:szCs w:val="21"/>
                      <w:u w:val="none"/>
                      <w:lang w:val="en-US" w:eastAsia="zh-CN" w:bidi="ar"/>
                    </w:rPr>
                    <w:t>2.92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1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p>
              </w:tc>
              <w:tc>
                <w:tcPr>
                  <w:tcW w:w="84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p>
              </w:tc>
              <w:tc>
                <w:tcPr>
                  <w:tcW w:w="1044"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p>
              </w:tc>
              <w:tc>
                <w:tcPr>
                  <w:tcW w:w="833" w:type="pct"/>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TP</w:t>
                  </w:r>
                </w:p>
              </w:tc>
              <w:tc>
                <w:tcPr>
                  <w:tcW w:w="835" w:type="pct"/>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1</w:t>
                  </w:r>
                </w:p>
              </w:tc>
              <w:tc>
                <w:tcPr>
                  <w:tcW w:w="833" w:type="pct"/>
                  <w:tcBorders>
                    <w:tl2br w:val="nil"/>
                    <w:tr2bl w:val="nil"/>
                  </w:tcBorders>
                  <w:noWrap w:val="0"/>
                  <w:vAlign w:val="center"/>
                </w:tcPr>
                <w:p>
                  <w:pPr>
                    <w:jc w:val="center"/>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0.37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1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p>
              </w:tc>
              <w:tc>
                <w:tcPr>
                  <w:tcW w:w="84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p>
              </w:tc>
              <w:tc>
                <w:tcPr>
                  <w:tcW w:w="1044"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p>
              </w:tc>
              <w:tc>
                <w:tcPr>
                  <w:tcW w:w="833"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TN</w:t>
                  </w:r>
                </w:p>
              </w:tc>
              <w:tc>
                <w:tcPr>
                  <w:tcW w:w="835"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20</w:t>
                  </w:r>
                </w:p>
              </w:tc>
              <w:tc>
                <w:tcPr>
                  <w:tcW w:w="833" w:type="pct"/>
                  <w:tcBorders>
                    <w:tl2br w:val="nil"/>
                    <w:tr2bl w:val="nil"/>
                  </w:tcBorders>
                  <w:noWrap w:val="0"/>
                  <w:vAlign w:val="center"/>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7.30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2"/>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全厂排放</w:t>
                  </w:r>
                  <w:r>
                    <w:rPr>
                      <w:rFonts w:hint="default" w:ascii="Times New Roman" w:hAnsi="Times New Roman" w:eastAsia="宋体" w:cs="Times New Roman"/>
                      <w:color w:val="auto"/>
                      <w:sz w:val="21"/>
                      <w:szCs w:val="21"/>
                      <w:u w:val="none"/>
                      <w:lang w:eastAsia="zh-CN"/>
                    </w:rPr>
                    <w:t>口</w:t>
                  </w:r>
                  <w:r>
                    <w:rPr>
                      <w:rFonts w:hint="default" w:ascii="Times New Roman" w:hAnsi="Times New Roman" w:eastAsia="宋体" w:cs="Times New Roman"/>
                      <w:color w:val="auto"/>
                      <w:sz w:val="21"/>
                      <w:szCs w:val="21"/>
                      <w:u w:val="none"/>
                    </w:rPr>
                    <w:t>合计</w:t>
                  </w:r>
                </w:p>
              </w:tc>
              <w:tc>
                <w:tcPr>
                  <w:tcW w:w="2713" w:type="pct"/>
                  <w:gridSpan w:val="3"/>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COD</w:t>
                  </w:r>
                </w:p>
              </w:tc>
              <w:tc>
                <w:tcPr>
                  <w:tcW w:w="833"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sz w:val="21"/>
                      <w:szCs w:val="21"/>
                      <w:u w:val="none"/>
                      <w:lang w:val="en-US" w:eastAsia="zh-CN"/>
                    </w:rPr>
                    <w:t>21.90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2"/>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p>
              </w:tc>
              <w:tc>
                <w:tcPr>
                  <w:tcW w:w="2713" w:type="pct"/>
                  <w:gridSpan w:val="3"/>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BOD</w:t>
                  </w:r>
                  <w:r>
                    <w:rPr>
                      <w:rFonts w:hint="default" w:ascii="Times New Roman" w:hAnsi="Times New Roman" w:eastAsia="宋体" w:cs="Times New Roman"/>
                      <w:color w:val="auto"/>
                      <w:sz w:val="21"/>
                      <w:szCs w:val="21"/>
                      <w:u w:val="none"/>
                      <w:vertAlign w:val="subscript"/>
                    </w:rPr>
                    <w:t>5</w:t>
                  </w:r>
                </w:p>
              </w:tc>
              <w:tc>
                <w:tcPr>
                  <w:tcW w:w="833" w:type="pct"/>
                  <w:tcBorders>
                    <w:tl2br w:val="nil"/>
                    <w:tr2bl w:val="nil"/>
                  </w:tcBorders>
                  <w:noWrap w:val="0"/>
                  <w:vAlign w:val="center"/>
                </w:tcPr>
                <w:p>
                  <w:pPr>
                    <w:jc w:val="center"/>
                    <w:rPr>
                      <w:rFonts w:hint="default" w:ascii="Times New Roman" w:hAnsi="Times New Roman" w:eastAsia="宋体" w:cs="Times New Roman"/>
                      <w:color w:val="auto"/>
                      <w:kern w:val="0"/>
                      <w:sz w:val="21"/>
                      <w:szCs w:val="21"/>
                      <w:u w:val="none"/>
                      <w:lang w:val="en-US" w:eastAsia="zh-CN" w:bidi="ar"/>
                    </w:rPr>
                  </w:pPr>
                  <w:r>
                    <w:rPr>
                      <w:rFonts w:hint="eastAsia" w:cs="Times New Roman"/>
                      <w:color w:val="auto"/>
                      <w:kern w:val="0"/>
                      <w:sz w:val="21"/>
                      <w:szCs w:val="21"/>
                      <w:u w:val="none"/>
                      <w:lang w:val="en-US" w:eastAsia="zh-CN" w:bidi="ar"/>
                    </w:rPr>
                    <w:t>7.30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2"/>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p>
              </w:tc>
              <w:tc>
                <w:tcPr>
                  <w:tcW w:w="2713" w:type="pct"/>
                  <w:gridSpan w:val="3"/>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SS</w:t>
                  </w:r>
                </w:p>
              </w:tc>
              <w:tc>
                <w:tcPr>
                  <w:tcW w:w="833"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sz w:val="21"/>
                      <w:szCs w:val="21"/>
                      <w:u w:val="none"/>
                      <w:lang w:val="en-US" w:eastAsia="zh-CN"/>
                    </w:rPr>
                    <w:t>7.30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2"/>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p>
              </w:tc>
              <w:tc>
                <w:tcPr>
                  <w:tcW w:w="2713" w:type="pct"/>
                  <w:gridSpan w:val="3"/>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NH</w:t>
                  </w:r>
                  <w:r>
                    <w:rPr>
                      <w:rFonts w:hint="default" w:ascii="Times New Roman" w:hAnsi="Times New Roman" w:eastAsia="宋体" w:cs="Times New Roman"/>
                      <w:color w:val="auto"/>
                      <w:sz w:val="21"/>
                      <w:szCs w:val="21"/>
                      <w:u w:val="none"/>
                      <w:vertAlign w:val="subscript"/>
                    </w:rPr>
                    <w:t>3</w:t>
                  </w:r>
                  <w:r>
                    <w:rPr>
                      <w:rFonts w:hint="default" w:ascii="Times New Roman" w:hAnsi="Times New Roman" w:eastAsia="宋体" w:cs="Times New Roman"/>
                      <w:color w:val="auto"/>
                      <w:sz w:val="21"/>
                      <w:szCs w:val="21"/>
                      <w:u w:val="none"/>
                    </w:rPr>
                    <w:t>-N</w:t>
                  </w:r>
                </w:p>
              </w:tc>
              <w:tc>
                <w:tcPr>
                  <w:tcW w:w="833" w:type="pct"/>
                  <w:tcBorders>
                    <w:tl2br w:val="nil"/>
                    <w:tr2bl w:val="nil"/>
                  </w:tcBorders>
                  <w:noWrap w:val="0"/>
                  <w:vAlign w:val="center"/>
                </w:tcPr>
                <w:p>
                  <w:pPr>
                    <w:jc w:val="center"/>
                    <w:rPr>
                      <w:rFonts w:hint="default" w:ascii="Times New Roman" w:hAnsi="Times New Roman" w:eastAsia="宋体" w:cs="Times New Roman"/>
                      <w:color w:val="auto"/>
                      <w:kern w:val="0"/>
                      <w:sz w:val="21"/>
                      <w:szCs w:val="21"/>
                      <w:u w:val="none"/>
                      <w:lang w:val="en-US" w:eastAsia="zh-CN" w:bidi="ar"/>
                    </w:rPr>
                  </w:pPr>
                  <w:r>
                    <w:rPr>
                      <w:rFonts w:hint="eastAsia" w:cs="Times New Roman"/>
                      <w:color w:val="auto"/>
                      <w:kern w:val="0"/>
                      <w:sz w:val="21"/>
                      <w:szCs w:val="21"/>
                      <w:u w:val="none"/>
                      <w:lang w:val="en-US" w:eastAsia="zh-CN" w:bidi="ar"/>
                    </w:rPr>
                    <w:t>2.92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2"/>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u w:val="none"/>
                    </w:rPr>
                  </w:pPr>
                </w:p>
              </w:tc>
              <w:tc>
                <w:tcPr>
                  <w:tcW w:w="2713" w:type="pct"/>
                  <w:gridSpan w:val="3"/>
                  <w:tcBorders>
                    <w:tl2br w:val="nil"/>
                    <w:tr2bl w:val="nil"/>
                  </w:tcBorders>
                  <w:noWrap w:val="0"/>
                  <w:vAlign w:val="center"/>
                </w:tcPr>
                <w:p>
                  <w:pPr>
                    <w:spacing w:line="240" w:lineRule="auto"/>
                    <w:ind w:left="0" w:leftChars="0" w:right="0" w:rightChars="0"/>
                    <w:jc w:val="center"/>
                    <w:rPr>
                      <w:rFonts w:hint="default" w:ascii="Times New Roman" w:hAnsi="Times New Roman" w:eastAsia="宋体" w:cs="Times New Roman"/>
                      <w:color w:val="auto"/>
                      <w:sz w:val="21"/>
                      <w:szCs w:val="21"/>
                      <w:u w:val="none"/>
                    </w:rPr>
                  </w:pPr>
                  <w:r>
                    <w:rPr>
                      <w:rFonts w:hint="eastAsia" w:ascii="Times New Roman" w:hAnsi="Times New Roman" w:eastAsia="宋体" w:cs="Times New Roman"/>
                      <w:color w:val="auto"/>
                      <w:sz w:val="21"/>
                      <w:szCs w:val="21"/>
                      <w:u w:val="none"/>
                      <w:lang w:val="en-US" w:eastAsia="zh-CN"/>
                    </w:rPr>
                    <w:t>TP</w:t>
                  </w:r>
                </w:p>
              </w:tc>
              <w:tc>
                <w:tcPr>
                  <w:tcW w:w="833"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szCs w:val="21"/>
                      <w:u w:val="none"/>
                      <w:lang w:val="en-US" w:eastAsia="zh-CN"/>
                    </w:rPr>
                    <w:t>0.37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2"/>
                  <w:vMerge w:val="continue"/>
                </w:tcPr>
                <w:p>
                  <w:pPr>
                    <w:spacing w:line="240" w:lineRule="auto"/>
                    <w:jc w:val="center"/>
                    <w:rPr>
                      <w:rFonts w:hint="default" w:ascii="Times New Roman" w:hAnsi="Times New Roman" w:eastAsia="宋体" w:cs="Times New Roman"/>
                      <w:color w:val="auto"/>
                      <w:sz w:val="21"/>
                      <w:szCs w:val="21"/>
                      <w:u w:val="none"/>
                    </w:rPr>
                  </w:pPr>
                </w:p>
              </w:tc>
              <w:tc>
                <w:tcPr>
                  <w:tcW w:w="2713" w:type="pct"/>
                  <w:gridSpan w:val="3"/>
                  <w:vAlign w:val="center"/>
                </w:tcPr>
                <w:p>
                  <w:pPr>
                    <w:spacing w:line="240" w:lineRule="auto"/>
                    <w:jc w:val="center"/>
                    <w:rPr>
                      <w:rFonts w:hint="default" w:ascii="Times New Roman" w:hAnsi="Times New Roman" w:eastAsia="宋体" w:cs="Times New Roman"/>
                      <w:color w:val="auto"/>
                      <w:sz w:val="21"/>
                      <w:szCs w:val="21"/>
                      <w:u w:val="none"/>
                    </w:rPr>
                  </w:pPr>
                  <w:r>
                    <w:rPr>
                      <w:rFonts w:hint="eastAsia" w:ascii="Times New Roman" w:hAnsi="Times New Roman" w:eastAsia="宋体" w:cs="Times New Roman"/>
                      <w:color w:val="auto"/>
                      <w:sz w:val="21"/>
                      <w:szCs w:val="21"/>
                      <w:u w:val="none"/>
                      <w:lang w:val="en-US" w:eastAsia="zh-CN"/>
                    </w:rPr>
                    <w:t>TN</w:t>
                  </w:r>
                </w:p>
              </w:tc>
              <w:tc>
                <w:tcPr>
                  <w:tcW w:w="833" w:type="pct"/>
                  <w:vAlign w:val="center"/>
                </w:tcPr>
                <w:p>
                  <w:pPr>
                    <w:jc w:val="center"/>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sz w:val="21"/>
                      <w:szCs w:val="21"/>
                      <w:u w:val="none"/>
                      <w:lang w:val="en-US" w:eastAsia="zh-CN"/>
                    </w:rPr>
                    <w:t>7.30</w:t>
                  </w:r>
                </w:p>
              </w:tc>
            </w:tr>
          </w:tbl>
          <w:p>
            <w:pPr>
              <w:pageBreakBefore w:val="0"/>
              <w:widowControl w:val="0"/>
              <w:kinsoku/>
              <w:wordWrap/>
              <w:overflowPunct/>
              <w:topLinePunct w:val="0"/>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bCs/>
                <w:color w:val="auto"/>
                <w:sz w:val="24"/>
                <w:szCs w:val="24"/>
                <w:u w:val="none"/>
              </w:rPr>
              <w:t>⑤</w:t>
            </w:r>
            <w:r>
              <w:rPr>
                <w:rFonts w:hint="default" w:ascii="Times New Roman" w:hAnsi="Times New Roman" w:eastAsia="宋体" w:cs="Times New Roman"/>
                <w:color w:val="auto"/>
                <w:sz w:val="24"/>
                <w:szCs w:val="24"/>
                <w:u w:val="none"/>
              </w:rPr>
              <w:t>地表水环境影响自查</w:t>
            </w:r>
          </w:p>
          <w:p>
            <w:pPr>
              <w:pStyle w:val="36"/>
              <w:keepNext w:val="0"/>
              <w:keepLines w:val="0"/>
              <w:pageBreakBefore w:val="0"/>
              <w:widowControl w:val="0"/>
              <w:kinsoku/>
              <w:wordWrap/>
              <w:overflowPunct/>
              <w:topLinePunct w:val="0"/>
              <w:autoSpaceDE w:val="0"/>
              <w:autoSpaceDN w:val="0"/>
              <w:bidi w:val="0"/>
              <w:adjustRightInd w:val="0"/>
              <w:snapToGrid w:val="0"/>
              <w:spacing w:line="360" w:lineRule="auto"/>
              <w:ind w:firstLine="462" w:firstLineChars="200"/>
              <w:textAlignment w:val="auto"/>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sz w:val="24"/>
                <w:szCs w:val="24"/>
                <w:u w:val="none"/>
              </w:rPr>
              <w:t>地表水环境影响评价自查表见附表3。</w:t>
            </w:r>
          </w:p>
          <w:p>
            <w:pPr>
              <w:keepNext w:val="0"/>
              <w:keepLines w:val="0"/>
              <w:pageBreakBefore w:val="0"/>
              <w:kinsoku/>
              <w:wordWrap/>
              <w:overflowPunct/>
              <w:topLinePunct w:val="0"/>
              <w:autoSpaceDE/>
              <w:autoSpaceDN/>
              <w:bidi w:val="0"/>
              <w:adjustRightInd w:val="0"/>
              <w:snapToGrid w:val="0"/>
              <w:spacing w:line="360" w:lineRule="auto"/>
              <w:ind w:firstLine="462" w:firstLineChars="200"/>
              <w:textAlignment w:val="auto"/>
              <w:rPr>
                <w:color w:val="auto"/>
                <w:u w:val="none"/>
              </w:rPr>
            </w:pPr>
            <w:r>
              <w:rPr>
                <w:rFonts w:hint="eastAsia"/>
                <w:color w:val="auto"/>
                <w:sz w:val="24"/>
                <w:szCs w:val="24"/>
                <w:u w:val="none"/>
              </w:rPr>
              <w:t>（</w:t>
            </w:r>
            <w:r>
              <w:rPr>
                <w:rFonts w:hint="eastAsia"/>
                <w:color w:val="auto"/>
                <w:sz w:val="24"/>
                <w:szCs w:val="24"/>
                <w:u w:val="none"/>
                <w:lang w:val="en-US" w:eastAsia="zh-CN"/>
              </w:rPr>
              <w:t>4</w:t>
            </w:r>
            <w:r>
              <w:rPr>
                <w:rFonts w:hint="eastAsia"/>
                <w:color w:val="auto"/>
                <w:sz w:val="24"/>
                <w:szCs w:val="24"/>
                <w:u w:val="none"/>
              </w:rPr>
              <w:t>）污水处理工艺可行性分析</w:t>
            </w:r>
          </w:p>
          <w:p>
            <w:pPr>
              <w:keepNext w:val="0"/>
              <w:keepLines w:val="0"/>
              <w:pageBreakBefore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u w:val="none"/>
                <w:lang w:eastAsia="zh-CN"/>
              </w:rPr>
            </w:pPr>
            <w:r>
              <w:rPr>
                <w:color w:val="auto"/>
                <w:sz w:val="24"/>
                <w:szCs w:val="24"/>
                <w:u w:val="none"/>
              </w:rPr>
              <w:t>根据污水处理厂进出水水质要求，并结合拟建污水处理厂规模、用地条件、管理水平等因素综合考虑，拟从</w:t>
            </w:r>
            <w:r>
              <w:rPr>
                <w:rFonts w:hint="eastAsia"/>
                <w:color w:val="auto"/>
                <w:sz w:val="24"/>
                <w:szCs w:val="24"/>
                <w:u w:val="none"/>
                <w:lang w:val="en-US" w:eastAsia="zh-CN"/>
              </w:rPr>
              <w:t>4</w:t>
            </w:r>
            <w:r>
              <w:rPr>
                <w:color w:val="auto"/>
                <w:sz w:val="24"/>
                <w:szCs w:val="24"/>
                <w:u w:val="none"/>
              </w:rPr>
              <w:t>个工艺方案进行全面的技术经济比较，从而</w:t>
            </w:r>
            <w:r>
              <w:rPr>
                <w:rFonts w:hint="eastAsia"/>
                <w:color w:val="auto"/>
                <w:sz w:val="24"/>
                <w:szCs w:val="24"/>
                <w:u w:val="none"/>
              </w:rPr>
              <w:t>确定</w:t>
            </w:r>
            <w:r>
              <w:rPr>
                <w:color w:val="auto"/>
                <w:sz w:val="24"/>
                <w:szCs w:val="24"/>
                <w:u w:val="none"/>
              </w:rPr>
              <w:t>本工程的最佳方案。</w:t>
            </w:r>
            <w:r>
              <w:rPr>
                <w:rFonts w:hint="eastAsia"/>
                <w:color w:val="auto"/>
                <w:sz w:val="24"/>
                <w:szCs w:val="24"/>
                <w:u w:val="none"/>
                <w:lang w:eastAsia="zh-CN"/>
              </w:rPr>
              <w:t>其分析如下：</w:t>
            </w:r>
          </w:p>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auto"/>
                <w:szCs w:val="21"/>
                <w:u w:val="none"/>
              </w:rPr>
            </w:pPr>
            <w:r>
              <w:rPr>
                <w:rFonts w:hint="eastAsia"/>
                <w:b/>
                <w:bCs/>
                <w:color w:val="auto"/>
                <w:szCs w:val="21"/>
                <w:u w:val="none"/>
              </w:rPr>
              <w:t>表7-17   污水处理工艺方案技术综合比较</w:t>
            </w:r>
          </w:p>
          <w:tbl>
            <w:tblPr>
              <w:tblStyle w:val="27"/>
              <w:tblW w:w="887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07"/>
              <w:gridCol w:w="702"/>
              <w:gridCol w:w="1866"/>
              <w:gridCol w:w="1549"/>
              <w:gridCol w:w="2081"/>
              <w:gridCol w:w="227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0" w:hRule="atLeast"/>
                <w:jc w:val="center"/>
              </w:trPr>
              <w:tc>
                <w:tcPr>
                  <w:tcW w:w="229"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395"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1051"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w:t>
                  </w:r>
                  <w:r>
                    <w:rPr>
                      <w:rFonts w:hint="eastAsia"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rPr>
                    <w:t>O+MBBR工艺</w:t>
                  </w:r>
                </w:p>
              </w:tc>
              <w:tc>
                <w:tcPr>
                  <w:tcW w:w="872"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MBR一体化</w:t>
                  </w:r>
                </w:p>
              </w:tc>
              <w:tc>
                <w:tcPr>
                  <w:tcW w:w="1172"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AO+生物膜法</w:t>
                  </w:r>
                </w:p>
              </w:tc>
              <w:tc>
                <w:tcPr>
                  <w:tcW w:w="1279"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FF0000"/>
                      <w:sz w:val="21"/>
                      <w:szCs w:val="21"/>
                      <w:u w:val="wave"/>
                      <w:lang w:val="en-US" w:eastAsia="zh-CN"/>
                    </w:rPr>
                  </w:pPr>
                  <w:r>
                    <w:rPr>
                      <w:rFonts w:hint="default" w:ascii="Times New Roman" w:hAnsi="Times New Roman" w:eastAsia="宋体" w:cs="Times New Roman"/>
                      <w:color w:val="FF0000"/>
                      <w:sz w:val="21"/>
                      <w:szCs w:val="21"/>
                      <w:u w:val="wave"/>
                      <w:lang w:val="en-US" w:eastAsia="zh-CN"/>
                    </w:rPr>
                    <w:t>兼氧FMBR工艺</w:t>
                  </w:r>
                </w:p>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FF0000"/>
                      <w:sz w:val="21"/>
                      <w:szCs w:val="21"/>
                      <w:u w:val="wave"/>
                    </w:rPr>
                  </w:pPr>
                  <w:r>
                    <w:rPr>
                      <w:rFonts w:hint="eastAsia" w:ascii="Times New Roman" w:hAnsi="Times New Roman" w:cs="Times New Roman"/>
                      <w:color w:val="FF0000"/>
                      <w:sz w:val="21"/>
                      <w:szCs w:val="21"/>
                      <w:u w:val="wave"/>
                      <w:lang w:val="en-US" w:eastAsia="zh-CN"/>
                    </w:rPr>
                    <w:t>（原环评设计工艺）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18" w:hRule="atLeast"/>
                <w:jc w:val="center"/>
              </w:trPr>
              <w:tc>
                <w:tcPr>
                  <w:tcW w:w="229"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95"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工艺</w:t>
                  </w:r>
                </w:p>
              </w:tc>
              <w:tc>
                <w:tcPr>
                  <w:tcW w:w="1051"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31"/>
                      <w:sz w:val="21"/>
                      <w:szCs w:val="21"/>
                    </w:rPr>
                    <w:t>在</w:t>
                  </w:r>
                  <w:r>
                    <w:rPr>
                      <w:rFonts w:hint="default" w:ascii="Times New Roman" w:hAnsi="Times New Roman" w:eastAsia="宋体" w:cs="Times New Roman"/>
                      <w:sz w:val="21"/>
                      <w:szCs w:val="21"/>
                    </w:rPr>
                    <w:t>MBBR</w:t>
                  </w:r>
                  <w:r>
                    <w:rPr>
                      <w:rFonts w:hint="default" w:ascii="Times New Roman" w:hAnsi="Times New Roman" w:eastAsia="宋体" w:cs="Times New Roman"/>
                      <w:spacing w:val="-30"/>
                      <w:sz w:val="21"/>
                      <w:szCs w:val="21"/>
                    </w:rPr>
                    <w:t xml:space="preserve"> </w:t>
                  </w:r>
                  <w:r>
                    <w:rPr>
                      <w:rFonts w:hint="default" w:ascii="Times New Roman" w:hAnsi="Times New Roman" w:eastAsia="宋体" w:cs="Times New Roman"/>
                      <w:spacing w:val="-4"/>
                      <w:sz w:val="21"/>
                      <w:szCs w:val="21"/>
                    </w:rPr>
                    <w:t>工艺的基</w:t>
                  </w:r>
                  <w:r>
                    <w:rPr>
                      <w:rFonts w:hint="default" w:ascii="Times New Roman" w:hAnsi="Times New Roman" w:eastAsia="宋体" w:cs="Times New Roman"/>
                      <w:spacing w:val="-9"/>
                      <w:sz w:val="21"/>
                      <w:szCs w:val="21"/>
                    </w:rPr>
                    <w:t xml:space="preserve">础上通过倒置 </w:t>
                  </w:r>
                  <w:r>
                    <w:rPr>
                      <w:rFonts w:hint="default" w:ascii="Times New Roman" w:hAnsi="Times New Roman" w:eastAsia="宋体" w:cs="Times New Roman"/>
                      <w:sz w:val="21"/>
                      <w:szCs w:val="21"/>
                    </w:rPr>
                    <w:t>A</w:t>
                  </w:r>
                  <w:r>
                    <w:rPr>
                      <w:rFonts w:hint="eastAsia" w:ascii="Times New Roman" w:hAnsi="Times New Roman" w:eastAsia="宋体" w:cs="Times New Roman"/>
                      <w:sz w:val="21"/>
                      <w:szCs w:val="21"/>
                      <w:vertAlign w:val="superscript"/>
                      <w:lang w:val="en-US" w:eastAsia="zh-CN"/>
                    </w:rPr>
                    <w:t>2</w:t>
                  </w:r>
                  <w:r>
                    <w:rPr>
                      <w:rFonts w:hint="default" w:ascii="Times New Roman" w:hAnsi="Times New Roman" w:eastAsia="宋体" w:cs="Times New Roman"/>
                      <w:sz w:val="21"/>
                      <w:szCs w:val="21"/>
                    </w:rPr>
                    <w:t>O工艺，好氧池中有填料</w:t>
                  </w:r>
                </w:p>
              </w:tc>
              <w:tc>
                <w:tcPr>
                  <w:tcW w:w="872"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缺氧+好氧+膜池，较新的工艺，MBR膜占比重，需要选用较好</w:t>
                  </w:r>
                  <w:r>
                    <w:rPr>
                      <w:rFonts w:hint="default" w:ascii="Times New Roman" w:hAnsi="Times New Roman" w:eastAsia="宋体" w:cs="Times New Roman"/>
                      <w:spacing w:val="-12"/>
                      <w:sz w:val="21"/>
                      <w:szCs w:val="21"/>
                    </w:rPr>
                    <w:t>的，市场应用成熟的膜</w:t>
                  </w:r>
                </w:p>
              </w:tc>
              <w:tc>
                <w:tcPr>
                  <w:tcW w:w="1172"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厌氧+好氧+生物转轮+沉淀</w:t>
                  </w:r>
                  <w:r>
                    <w:rPr>
                      <w:rFonts w:hint="default" w:ascii="Times New Roman" w:hAnsi="Times New Roman" w:eastAsia="宋体" w:cs="Times New Roman"/>
                      <w:spacing w:val="-7"/>
                      <w:sz w:val="21"/>
                      <w:szCs w:val="21"/>
                    </w:rPr>
                    <w:t>均是常规工艺，活性污泥法</w:t>
                  </w:r>
                  <w:r>
                    <w:rPr>
                      <w:rFonts w:hint="default" w:ascii="Times New Roman" w:hAnsi="Times New Roman" w:eastAsia="宋体" w:cs="Times New Roman"/>
                      <w:spacing w:val="-8"/>
                      <w:sz w:val="21"/>
                      <w:szCs w:val="21"/>
                    </w:rPr>
                    <w:t>和生物膜法相结合的工艺，</w:t>
                  </w:r>
                  <w:r>
                    <w:rPr>
                      <w:rFonts w:hint="default" w:ascii="Times New Roman" w:hAnsi="Times New Roman" w:eastAsia="宋体" w:cs="Times New Roman"/>
                      <w:spacing w:val="-7"/>
                      <w:sz w:val="21"/>
                      <w:szCs w:val="21"/>
                    </w:rPr>
                    <w:t>自曝气功能，节约曝气设备</w:t>
                  </w:r>
                </w:p>
              </w:tc>
              <w:tc>
                <w:tcPr>
                  <w:tcW w:w="1279"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FF0000"/>
                      <w:sz w:val="21"/>
                      <w:szCs w:val="21"/>
                      <w:u w:val="wave"/>
                    </w:rPr>
                  </w:pPr>
                  <w:r>
                    <w:rPr>
                      <w:rFonts w:hint="default" w:ascii="Times New Roman" w:hAnsi="Times New Roman" w:eastAsia="宋体" w:cs="Times New Roman"/>
                      <w:color w:val="FF0000"/>
                      <w:sz w:val="21"/>
                      <w:szCs w:val="21"/>
                      <w:u w:val="wave"/>
                      <w:lang w:val="en-US" w:eastAsia="zh-CN"/>
                    </w:rPr>
                    <w:t>是一种将膜分离技术与生物处理单元相结合的污水处理工艺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97" w:hRule="atLeast"/>
                <w:jc w:val="center"/>
              </w:trPr>
              <w:tc>
                <w:tcPr>
                  <w:tcW w:w="229"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395"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占地</w:t>
                  </w:r>
                </w:p>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及投</w:t>
                  </w:r>
                  <w:r>
                    <w:rPr>
                      <w:rFonts w:hint="default" w:ascii="Times New Roman" w:hAnsi="Times New Roman" w:eastAsia="宋体" w:cs="Times New Roman"/>
                      <w:sz w:val="21"/>
                      <w:szCs w:val="21"/>
                    </w:rPr>
                    <w:t>资</w:t>
                  </w:r>
                </w:p>
              </w:tc>
              <w:tc>
                <w:tcPr>
                  <w:tcW w:w="1051"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占地小，投资较大</w:t>
                  </w:r>
                </w:p>
              </w:tc>
              <w:tc>
                <w:tcPr>
                  <w:tcW w:w="872"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占地小，投资很大，主</w:t>
                  </w:r>
                  <w:r>
                    <w:rPr>
                      <w:rFonts w:hint="default" w:ascii="Times New Roman" w:hAnsi="Times New Roman" w:eastAsia="宋体" w:cs="Times New Roman"/>
                      <w:sz w:val="21"/>
                      <w:szCs w:val="21"/>
                    </w:rPr>
                    <w:t>要是膜及其配套费用高</w:t>
                  </w:r>
                </w:p>
              </w:tc>
              <w:tc>
                <w:tcPr>
                  <w:tcW w:w="1172"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占地小，投资较小</w:t>
                  </w:r>
                </w:p>
              </w:tc>
              <w:tc>
                <w:tcPr>
                  <w:tcW w:w="1279"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color w:val="FF0000"/>
                      <w:sz w:val="21"/>
                      <w:szCs w:val="21"/>
                      <w:u w:val="wave"/>
                      <w:lang w:eastAsia="zh-CN"/>
                    </w:rPr>
                  </w:pPr>
                  <w:r>
                    <w:rPr>
                      <w:rFonts w:hint="eastAsia" w:ascii="Times New Roman" w:hAnsi="Times New Roman" w:cs="Times New Roman"/>
                      <w:color w:val="FF0000"/>
                      <w:sz w:val="21"/>
                      <w:szCs w:val="21"/>
                      <w:u w:val="wave"/>
                      <w:lang w:eastAsia="zh-CN"/>
                    </w:rPr>
                    <w:t>占地小，</w:t>
                  </w:r>
                  <w:r>
                    <w:rPr>
                      <w:rFonts w:hint="default" w:ascii="Times New Roman" w:hAnsi="Times New Roman" w:eastAsia="宋体" w:cs="Times New Roman"/>
                      <w:color w:val="FF0000"/>
                      <w:sz w:val="21"/>
                      <w:szCs w:val="21"/>
                      <w:u w:val="wave"/>
                    </w:rPr>
                    <w:t>投资较小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80" w:hRule="atLeast"/>
                <w:jc w:val="center"/>
              </w:trPr>
              <w:tc>
                <w:tcPr>
                  <w:tcW w:w="229"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395"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出水效果</w:t>
                  </w:r>
                </w:p>
              </w:tc>
              <w:tc>
                <w:tcPr>
                  <w:tcW w:w="1051"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出水可以稳定达到</w:t>
                  </w:r>
                  <w:r>
                    <w:rPr>
                      <w:rFonts w:hint="default" w:ascii="Times New Roman" w:hAnsi="Times New Roman" w:eastAsia="宋体" w:cs="Times New Roman"/>
                      <w:spacing w:val="-21"/>
                      <w:sz w:val="21"/>
                      <w:szCs w:val="21"/>
                    </w:rPr>
                    <w:t xml:space="preserve">一级 </w:t>
                  </w:r>
                  <w:r>
                    <w:rPr>
                      <w:rFonts w:hint="default" w:ascii="Times New Roman" w:hAnsi="Times New Roman" w:eastAsia="宋体" w:cs="Times New Roman"/>
                      <w:sz w:val="21"/>
                      <w:szCs w:val="21"/>
                    </w:rPr>
                    <w:t>B，在进水管</w:t>
                  </w:r>
                  <w:r>
                    <w:rPr>
                      <w:rFonts w:hint="default" w:ascii="Times New Roman" w:hAnsi="Times New Roman" w:eastAsia="宋体" w:cs="Times New Roman"/>
                      <w:spacing w:val="-3"/>
                      <w:sz w:val="21"/>
                      <w:szCs w:val="21"/>
                    </w:rPr>
                    <w:t>安装管道混合器， 投加除磷剂，去除污水中的总磷，通过后续过滤或人工湿地，可确保出水</w:t>
                  </w:r>
                  <w:r>
                    <w:rPr>
                      <w:rFonts w:hint="default" w:ascii="Times New Roman" w:hAnsi="Times New Roman" w:eastAsia="宋体" w:cs="Times New Roman"/>
                      <w:sz w:val="21"/>
                      <w:szCs w:val="21"/>
                    </w:rPr>
                    <w:t>稳定</w:t>
                  </w:r>
                </w:p>
              </w:tc>
              <w:tc>
                <w:tcPr>
                  <w:tcW w:w="872"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 xml:space="preserve">出水可以达到一级 </w:t>
                  </w:r>
                  <w:r>
                    <w:rPr>
                      <w:rFonts w:hint="default" w:ascii="Times New Roman" w:hAnsi="Times New Roman" w:eastAsia="宋体" w:cs="Times New Roman"/>
                      <w:spacing w:val="-9"/>
                      <w:sz w:val="21"/>
                      <w:szCs w:val="21"/>
                    </w:rPr>
                    <w:t xml:space="preserve">A， </w:t>
                  </w:r>
                  <w:r>
                    <w:rPr>
                      <w:rFonts w:hint="default" w:ascii="Times New Roman" w:hAnsi="Times New Roman" w:eastAsia="宋体" w:cs="Times New Roman"/>
                      <w:sz w:val="21"/>
                      <w:szCs w:val="21"/>
                    </w:rPr>
                    <w:t>TP采用药剂，直接加在膜池</w:t>
                  </w:r>
                </w:p>
              </w:tc>
              <w:tc>
                <w:tcPr>
                  <w:tcW w:w="1172"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出水可以稳定达到一级B， TP采用药剂去除，可确保出水稳定达到一级A</w:t>
                  </w:r>
                </w:p>
              </w:tc>
              <w:tc>
                <w:tcPr>
                  <w:tcW w:w="1279"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color w:val="FF0000"/>
                      <w:sz w:val="21"/>
                      <w:szCs w:val="21"/>
                      <w:u w:val="wave"/>
                      <w:lang w:eastAsia="zh-CN"/>
                    </w:rPr>
                  </w:pPr>
                  <w:r>
                    <w:rPr>
                      <w:color w:val="FF0000"/>
                      <w:sz w:val="21"/>
                      <w:u w:val="wave"/>
                    </w:rPr>
                    <w:t>出水水质优质稳定</w:t>
                  </w:r>
                  <w:r>
                    <w:rPr>
                      <w:rFonts w:hint="eastAsia"/>
                      <w:color w:val="FF0000"/>
                      <w:sz w:val="21"/>
                      <w:u w:val="wave"/>
                      <w:lang w:eastAsia="zh-CN"/>
                    </w:rPr>
                    <w:t>，</w:t>
                  </w:r>
                  <w:r>
                    <w:rPr>
                      <w:rFonts w:hint="eastAsia"/>
                      <w:color w:val="FF0000"/>
                      <w:sz w:val="21"/>
                      <w:u w:val="wave"/>
                      <w:lang w:val="en-US" w:eastAsia="zh-CN"/>
                    </w:rPr>
                    <w:t>出水可达《城镇污水处理厂污染物排放标准</w:t>
                  </w:r>
                  <w:r>
                    <w:rPr>
                      <w:rFonts w:hint="default" w:ascii="Times New Roman" w:hAnsi="Times New Roman" w:cs="Times New Roman"/>
                      <w:color w:val="FF0000"/>
                      <w:sz w:val="21"/>
                      <w:u w:val="wave"/>
                      <w:lang w:val="en-US" w:eastAsia="zh-CN"/>
                    </w:rPr>
                    <w:t>》（GB18918-2002）一级 A 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97" w:hRule="atLeast"/>
                <w:jc w:val="center"/>
              </w:trPr>
              <w:tc>
                <w:tcPr>
                  <w:tcW w:w="229"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395"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配套设备</w:t>
                  </w:r>
                </w:p>
              </w:tc>
              <w:tc>
                <w:tcPr>
                  <w:tcW w:w="1051"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曝气鼓风机+提升泵，均为24h开启</w:t>
                  </w:r>
                </w:p>
              </w:tc>
              <w:tc>
                <w:tcPr>
                  <w:tcW w:w="872"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曝气鼓风机+擦洗鼓风机+抽吸泵，均为24h开启</w:t>
                  </w:r>
                </w:p>
              </w:tc>
              <w:tc>
                <w:tcPr>
                  <w:tcW w:w="1172"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自曝气，不用曝气设备</w:t>
                  </w:r>
                </w:p>
              </w:tc>
              <w:tc>
                <w:tcPr>
                  <w:tcW w:w="1279"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FF0000"/>
                      <w:sz w:val="21"/>
                      <w:szCs w:val="21"/>
                      <w:u w:val="wave"/>
                    </w:rPr>
                  </w:pPr>
                  <w:r>
                    <w:rPr>
                      <w:rFonts w:hint="default" w:ascii="Times New Roman" w:hAnsi="Times New Roman" w:eastAsia="宋体" w:cs="Times New Roman"/>
                      <w:color w:val="FF0000"/>
                      <w:sz w:val="21"/>
                      <w:szCs w:val="21"/>
                      <w:u w:val="wave"/>
                      <w:lang w:val="en-US" w:eastAsia="zh-CN"/>
                    </w:rPr>
                    <w:t>曝气鼓风机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89" w:hRule="atLeast"/>
                <w:jc w:val="center"/>
              </w:trPr>
              <w:tc>
                <w:tcPr>
                  <w:tcW w:w="229"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95"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操作控制系统</w:t>
                  </w:r>
                </w:p>
              </w:tc>
              <w:tc>
                <w:tcPr>
                  <w:tcW w:w="1051"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自动PLC系统及远程控制系统，控制点位少，界面操作简单</w:t>
                  </w:r>
                </w:p>
              </w:tc>
              <w:tc>
                <w:tcPr>
                  <w:tcW w:w="872"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自动 PLC系统，控制点位多，界面操作复杂，程序复杂</w:t>
                  </w:r>
                </w:p>
              </w:tc>
              <w:tc>
                <w:tcPr>
                  <w:tcW w:w="1172"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FF0000"/>
                      <w:sz w:val="21"/>
                      <w:szCs w:val="21"/>
                      <w:u w:val="wave"/>
                      <w:lang w:val="en-US" w:eastAsia="zh-CN"/>
                    </w:rPr>
                  </w:pPr>
                  <w:r>
                    <w:rPr>
                      <w:rFonts w:hint="default" w:ascii="Times New Roman" w:hAnsi="Times New Roman" w:eastAsia="宋体" w:cs="Times New Roman"/>
                      <w:sz w:val="21"/>
                      <w:szCs w:val="21"/>
                      <w:lang w:val="en-US" w:eastAsia="zh-CN"/>
                    </w:rPr>
                    <w:t>自动 PLC系统及远程控制系统，控制点位少，界面操作简单</w:t>
                  </w:r>
                </w:p>
              </w:tc>
              <w:tc>
                <w:tcPr>
                  <w:tcW w:w="1279"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FF0000"/>
                      <w:sz w:val="21"/>
                      <w:szCs w:val="21"/>
                      <w:u w:val="wave"/>
                      <w:lang w:val="en-US" w:eastAsia="zh-CN"/>
                    </w:rPr>
                  </w:pPr>
                  <w:r>
                    <w:rPr>
                      <w:rFonts w:hint="default" w:ascii="Times New Roman" w:hAnsi="Times New Roman" w:eastAsia="宋体" w:cs="Times New Roman"/>
                      <w:color w:val="FF0000"/>
                      <w:sz w:val="21"/>
                      <w:szCs w:val="21"/>
                      <w:u w:val="wave"/>
                      <w:lang w:val="en-US" w:eastAsia="zh-CN"/>
                    </w:rPr>
                    <w:t>自动 PLC系统及远程控制系统，控制点位少，界面操作简单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58" w:hRule="atLeast"/>
                <w:jc w:val="center"/>
              </w:trPr>
              <w:tc>
                <w:tcPr>
                  <w:tcW w:w="229"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395"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运行费用</w:t>
                  </w:r>
                </w:p>
              </w:tc>
              <w:tc>
                <w:tcPr>
                  <w:tcW w:w="1051"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21"/>
                      <w:sz w:val="21"/>
                      <w:szCs w:val="21"/>
                    </w:rPr>
                    <w:t xml:space="preserve">电耗 </w:t>
                  </w:r>
                  <w:r>
                    <w:rPr>
                      <w:rFonts w:hint="default" w:ascii="Times New Roman" w:hAnsi="Times New Roman" w:eastAsia="宋体" w:cs="Times New Roman"/>
                      <w:sz w:val="21"/>
                      <w:szCs w:val="21"/>
                    </w:rPr>
                    <w:t>0.4-0.5kw/</w:t>
                  </w:r>
                  <w:r>
                    <w:rPr>
                      <w:rFonts w:hint="default" w:ascii="Times New Roman" w:hAnsi="Times New Roman" w:eastAsia="宋体" w:cs="Times New Roman"/>
                      <w:spacing w:val="-7"/>
                      <w:sz w:val="21"/>
                      <w:szCs w:val="21"/>
                    </w:rPr>
                    <w:t xml:space="preserve">吨， </w:t>
                  </w:r>
                  <w:r>
                    <w:rPr>
                      <w:rFonts w:hint="default" w:ascii="Times New Roman" w:hAnsi="Times New Roman" w:eastAsia="宋体" w:cs="Times New Roman"/>
                      <w:spacing w:val="-11"/>
                      <w:sz w:val="21"/>
                      <w:szCs w:val="21"/>
                    </w:rPr>
                    <w:t xml:space="preserve">除磷药剂与 </w:t>
                  </w:r>
                  <w:r>
                    <w:rPr>
                      <w:rFonts w:hint="default" w:ascii="Times New Roman" w:hAnsi="Times New Roman" w:eastAsia="宋体" w:cs="Times New Roman"/>
                      <w:sz w:val="21"/>
                      <w:szCs w:val="21"/>
                    </w:rPr>
                    <w:t>MBR同</w:t>
                  </w:r>
                </w:p>
              </w:tc>
              <w:tc>
                <w:tcPr>
                  <w:tcW w:w="872"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电耗0.8~1.0kw/吨，膜</w:t>
                  </w:r>
                  <w:r>
                    <w:rPr>
                      <w:rFonts w:hint="default" w:ascii="Times New Roman" w:hAnsi="Times New Roman" w:eastAsia="宋体" w:cs="Times New Roman"/>
                      <w:spacing w:val="-13"/>
                      <w:sz w:val="21"/>
                      <w:szCs w:val="21"/>
                    </w:rPr>
                    <w:t>药剂清洗费，除磷药剂</w:t>
                  </w:r>
                  <w:r>
                    <w:rPr>
                      <w:rFonts w:hint="default" w:ascii="Times New Roman" w:hAnsi="Times New Roman" w:eastAsia="宋体" w:cs="Times New Roman"/>
                      <w:spacing w:val="-30"/>
                      <w:sz w:val="21"/>
                      <w:szCs w:val="21"/>
                    </w:rPr>
                    <w:t xml:space="preserve">与 </w:t>
                  </w:r>
                  <w:r>
                    <w:rPr>
                      <w:rFonts w:hint="default" w:ascii="Times New Roman" w:hAnsi="Times New Roman" w:eastAsia="宋体" w:cs="Times New Roman"/>
                      <w:sz w:val="21"/>
                      <w:szCs w:val="21"/>
                    </w:rPr>
                    <w:t>AO一体化同</w:t>
                  </w:r>
                </w:p>
              </w:tc>
              <w:tc>
                <w:tcPr>
                  <w:tcW w:w="1172"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电耗0.30~0.36kw/吨，除磷药剂与MBR同</w:t>
                  </w:r>
                </w:p>
              </w:tc>
              <w:tc>
                <w:tcPr>
                  <w:tcW w:w="1279"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FF0000"/>
                      <w:sz w:val="21"/>
                      <w:szCs w:val="21"/>
                      <w:u w:val="wave"/>
                      <w:lang w:val="en-US" w:eastAsia="zh-CN"/>
                    </w:rPr>
                  </w:pPr>
                  <w:r>
                    <w:rPr>
                      <w:rFonts w:hint="eastAsia" w:ascii="Times New Roman" w:hAnsi="Times New Roman" w:cs="Times New Roman"/>
                      <w:color w:val="FF0000"/>
                      <w:sz w:val="21"/>
                      <w:szCs w:val="21"/>
                      <w:u w:val="wave"/>
                      <w:lang w:eastAsia="zh-CN"/>
                    </w:rPr>
                    <w:t>膜运行</w:t>
                  </w:r>
                  <w:r>
                    <w:rPr>
                      <w:rFonts w:hint="eastAsia" w:ascii="Times New Roman" w:hAnsi="Times New Roman" w:cs="Times New Roman"/>
                      <w:color w:val="FF0000"/>
                      <w:sz w:val="21"/>
                      <w:szCs w:val="21"/>
                      <w:u w:val="wave"/>
                      <w:lang w:val="en-US" w:eastAsia="zh-CN"/>
                    </w:rPr>
                    <w:t>1-2年需要更换，更换费用高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47" w:hRule="atLeast"/>
                <w:jc w:val="center"/>
              </w:trPr>
              <w:tc>
                <w:tcPr>
                  <w:tcW w:w="229"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395"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维护方面</w:t>
                  </w:r>
                </w:p>
              </w:tc>
              <w:tc>
                <w:tcPr>
                  <w:tcW w:w="1051"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机电设备常规维</w:t>
                  </w:r>
                  <w:r>
                    <w:rPr>
                      <w:rFonts w:hint="default" w:ascii="Times New Roman" w:hAnsi="Times New Roman" w:eastAsia="宋体" w:cs="Times New Roman"/>
                      <w:spacing w:val="-3"/>
                      <w:sz w:val="21"/>
                      <w:szCs w:val="21"/>
                    </w:rPr>
                    <w:t>护，设备外观的常规检查，运维费用</w:t>
                  </w:r>
                  <w:r>
                    <w:rPr>
                      <w:rFonts w:hint="default" w:ascii="Times New Roman" w:hAnsi="Times New Roman" w:eastAsia="宋体" w:cs="Times New Roman"/>
                      <w:sz w:val="21"/>
                      <w:szCs w:val="21"/>
                    </w:rPr>
                    <w:t>低，填料使用寿命</w:t>
                  </w:r>
                </w:p>
              </w:tc>
              <w:tc>
                <w:tcPr>
                  <w:tcW w:w="872"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机电设备常规维护，设备外观的常规检查，膜</w:t>
                  </w:r>
                  <w:r>
                    <w:rPr>
                      <w:rFonts w:hint="default" w:ascii="Times New Roman" w:hAnsi="Times New Roman" w:eastAsia="宋体" w:cs="Times New Roman"/>
                      <w:sz w:val="21"/>
                      <w:szCs w:val="21"/>
                    </w:rPr>
                    <w:t>系统需要定期用酸碱</w:t>
                  </w:r>
                  <w:r>
                    <w:rPr>
                      <w:rFonts w:hint="default" w:ascii="Times New Roman" w:hAnsi="Times New Roman" w:eastAsia="宋体" w:cs="Times New Roman"/>
                      <w:spacing w:val="-11"/>
                      <w:sz w:val="21"/>
                      <w:szCs w:val="21"/>
                    </w:rPr>
                    <w:t>清洗，运维费用高，膜</w:t>
                  </w:r>
                </w:p>
              </w:tc>
              <w:tc>
                <w:tcPr>
                  <w:tcW w:w="1172"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机电设备常规维护，设备外观的常规检查，运维费用低</w:t>
                  </w:r>
                </w:p>
              </w:tc>
              <w:tc>
                <w:tcPr>
                  <w:tcW w:w="1279" w:type="pct"/>
                  <w:tcBorders>
                    <w:tl2br w:val="nil"/>
                    <w:tr2bl w:val="nil"/>
                  </w:tcBorders>
                  <w:vAlign w:val="center"/>
                </w:tcPr>
                <w:p>
                  <w:pPr>
                    <w:pStyle w:val="47"/>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FF0000"/>
                      <w:sz w:val="21"/>
                      <w:szCs w:val="21"/>
                      <w:u w:val="wave"/>
                    </w:rPr>
                  </w:pPr>
                  <w:r>
                    <w:rPr>
                      <w:color w:val="FF0000"/>
                      <w:sz w:val="21"/>
                      <w:u w:val="wave"/>
                    </w:rPr>
                    <w:t>集成化设备，维护工作量小，维护简单，要求低</w:t>
                  </w:r>
                </w:p>
              </w:tc>
            </w:tr>
          </w:tbl>
          <w:p>
            <w:pPr>
              <w:keepNext w:val="0"/>
              <w:keepLines w:val="0"/>
              <w:pageBreakBefore w:val="0"/>
              <w:kinsoku/>
              <w:wordWrap/>
              <w:overflowPunct/>
              <w:topLinePunct w:val="0"/>
              <w:autoSpaceDE/>
              <w:autoSpaceDN/>
              <w:bidi w:val="0"/>
              <w:adjustRightInd w:val="0"/>
              <w:snapToGrid w:val="0"/>
              <w:spacing w:line="360" w:lineRule="auto"/>
              <w:ind w:firstLine="462" w:firstLineChars="200"/>
              <w:textAlignment w:val="auto"/>
              <w:rPr>
                <w:rFonts w:ascii="Times New Roman" w:hAnsi="Times New Roman" w:eastAsia="宋体" w:cs="Times New Roman"/>
                <w:color w:val="auto"/>
                <w:sz w:val="24"/>
                <w:szCs w:val="24"/>
                <w:u w:val="none"/>
              </w:rPr>
            </w:pPr>
            <w:bookmarkStart w:id="10" w:name="_Toc523252845"/>
            <w:r>
              <w:rPr>
                <w:rFonts w:hint="eastAsia" w:ascii="Times New Roman" w:hAnsi="Times New Roman" w:eastAsia="宋体" w:cs="Times New Roman"/>
                <w:color w:val="auto"/>
                <w:sz w:val="24"/>
                <w:szCs w:val="24"/>
                <w:u w:val="none"/>
                <w:lang w:eastAsia="zh-CN"/>
              </w:rPr>
              <w:t>综上对比可知，</w:t>
            </w:r>
            <w:r>
              <w:rPr>
                <w:rFonts w:ascii="Times New Roman" w:hAnsi="Times New Roman" w:eastAsia="宋体" w:cs="Times New Roman"/>
                <w:color w:val="auto"/>
                <w:sz w:val="24"/>
                <w:szCs w:val="24"/>
                <w:u w:val="none"/>
              </w:rPr>
              <w:t>MBR技术投资大、运维难、运维成本高，且核心膜组件需周期性更换， 重复投资压力大；A</w:t>
            </w:r>
            <w:r>
              <w:rPr>
                <w:rFonts w:ascii="Times New Roman" w:hAnsi="Times New Roman" w:eastAsia="宋体" w:cs="Times New Roman"/>
                <w:color w:val="auto"/>
                <w:sz w:val="24"/>
                <w:szCs w:val="24"/>
                <w:u w:val="none"/>
                <w:vertAlign w:val="superscript"/>
              </w:rPr>
              <w:t>2</w:t>
            </w:r>
            <w:r>
              <w:rPr>
                <w:rFonts w:ascii="Times New Roman" w:hAnsi="Times New Roman" w:eastAsia="宋体" w:cs="Times New Roman"/>
                <w:color w:val="auto"/>
                <w:sz w:val="24"/>
                <w:szCs w:val="24"/>
                <w:u w:val="none"/>
              </w:rPr>
              <w:t>O+MBBR较稳定，但传统曝气能耗高、膜维护成本高、管理较复杂、处理效率低、剩余污泥产量大，水质波动大造成好氧阶段曝气效果不佳；</w:t>
            </w:r>
            <w:r>
              <w:rPr>
                <w:rFonts w:hint="default" w:ascii="Times New Roman" w:hAnsi="Times New Roman" w:eastAsia="宋体" w:cs="Times New Roman"/>
                <w:color w:val="FF0000"/>
                <w:sz w:val="24"/>
                <w:szCs w:val="24"/>
                <w:u w:val="wave"/>
                <w:lang w:val="en-US" w:eastAsia="zh-CN"/>
              </w:rPr>
              <w:t>兼氧FMBR工艺膜运行1-2年需要更换，更换费用高</w:t>
            </w:r>
            <w:r>
              <w:rPr>
                <w:rFonts w:hint="eastAsia" w:cs="Times New Roman"/>
                <w:color w:val="FF0000"/>
                <w:sz w:val="24"/>
                <w:szCs w:val="24"/>
                <w:u w:val="wave"/>
                <w:lang w:val="en-US" w:eastAsia="zh-CN"/>
              </w:rPr>
              <w:t>；</w:t>
            </w:r>
            <w:r>
              <w:rPr>
                <w:rFonts w:ascii="Times New Roman" w:hAnsi="Times New Roman" w:eastAsia="宋体" w:cs="Times New Roman"/>
                <w:color w:val="auto"/>
                <w:sz w:val="24"/>
                <w:szCs w:val="24"/>
                <w:u w:val="none"/>
              </w:rPr>
              <w:t>AO+生物膜法（生物转盘工艺）结合了活性污泥法和生物膜法的优点，自曝气功能大量节约能耗，水下机械设备少，易维护。</w:t>
            </w:r>
          </w:p>
          <w:p>
            <w:pPr>
              <w:keepNext w:val="0"/>
              <w:keepLines w:val="0"/>
              <w:pageBreakBefore w:val="0"/>
              <w:kinsoku/>
              <w:wordWrap/>
              <w:overflowPunct/>
              <w:topLinePunct w:val="0"/>
              <w:autoSpaceDE/>
              <w:autoSpaceDN/>
              <w:bidi w:val="0"/>
              <w:adjustRightInd w:val="0"/>
              <w:snapToGrid w:val="0"/>
              <w:spacing w:line="360" w:lineRule="auto"/>
              <w:ind w:firstLine="462" w:firstLineChars="200"/>
              <w:textAlignment w:val="auto"/>
              <w:rPr>
                <w:rFonts w:ascii="Times New Roman" w:hAnsi="Times New Roman" w:eastAsia="宋体" w:cs="Times New Roman"/>
                <w:color w:val="auto"/>
                <w:sz w:val="24"/>
                <w:szCs w:val="24"/>
                <w:u w:val="none"/>
              </w:rPr>
            </w:pPr>
            <w:r>
              <w:rPr>
                <w:rFonts w:ascii="Times New Roman" w:hAnsi="Times New Roman" w:eastAsia="宋体" w:cs="Times New Roman"/>
                <w:color w:val="auto"/>
                <w:sz w:val="24"/>
                <w:szCs w:val="24"/>
                <w:u w:val="none"/>
              </w:rPr>
              <w:t>从工艺技术比较来讲，MBR一体化工艺相对于常规的乡镇生活污水来说，规格偏高。A</w:t>
            </w:r>
            <w:r>
              <w:rPr>
                <w:rFonts w:ascii="Times New Roman" w:hAnsi="Times New Roman" w:eastAsia="宋体" w:cs="Times New Roman"/>
                <w:color w:val="auto"/>
                <w:sz w:val="24"/>
                <w:szCs w:val="24"/>
                <w:u w:val="none"/>
                <w:vertAlign w:val="superscript"/>
              </w:rPr>
              <w:t>2</w:t>
            </w:r>
            <w:r>
              <w:rPr>
                <w:rFonts w:ascii="Times New Roman" w:hAnsi="Times New Roman" w:eastAsia="宋体" w:cs="Times New Roman"/>
                <w:color w:val="auto"/>
                <w:sz w:val="24"/>
                <w:szCs w:val="24"/>
                <w:u w:val="none"/>
              </w:rPr>
              <w:t>O+MBBR较稳定，曝气能耗高、剩余污泥量大。</w:t>
            </w:r>
            <w:r>
              <w:rPr>
                <w:rFonts w:hint="default" w:ascii="Times New Roman" w:hAnsi="Times New Roman" w:eastAsia="宋体" w:cs="Times New Roman"/>
                <w:color w:val="FF0000"/>
                <w:sz w:val="24"/>
                <w:szCs w:val="24"/>
                <w:u w:val="wave"/>
                <w:lang w:val="en-US" w:eastAsia="zh-CN"/>
              </w:rPr>
              <w:t>兼氧FMBR工艺</w:t>
            </w:r>
            <w:r>
              <w:rPr>
                <w:rFonts w:ascii="Times New Roman" w:hAnsi="Times New Roman" w:eastAsia="宋体" w:cs="Times New Roman"/>
                <w:color w:val="FF0000"/>
                <w:sz w:val="24"/>
                <w:szCs w:val="24"/>
                <w:u w:val="wave"/>
              </w:rPr>
              <w:t>膜组件需周期性更换， 重复投资压力大</w:t>
            </w:r>
            <w:r>
              <w:rPr>
                <w:rFonts w:hint="eastAsia" w:ascii="Times New Roman" w:hAnsi="Times New Roman" w:eastAsia="宋体" w:cs="Times New Roman"/>
                <w:color w:val="FF0000"/>
                <w:sz w:val="24"/>
                <w:szCs w:val="24"/>
                <w:u w:val="wave"/>
                <w:lang w:eastAsia="zh-CN"/>
              </w:rPr>
              <w:t>。</w:t>
            </w:r>
            <w:r>
              <w:rPr>
                <w:rFonts w:ascii="Times New Roman" w:hAnsi="Times New Roman" w:eastAsia="宋体" w:cs="Times New Roman"/>
                <w:color w:val="auto"/>
                <w:sz w:val="24"/>
                <w:szCs w:val="24"/>
                <w:u w:val="none"/>
              </w:rPr>
              <w:t>AO+生物膜法（生物转盘工艺）较其他</w:t>
            </w:r>
            <w:r>
              <w:rPr>
                <w:rFonts w:hint="eastAsia" w:cs="Times New Roman"/>
                <w:color w:val="auto"/>
                <w:sz w:val="24"/>
                <w:szCs w:val="24"/>
                <w:u w:val="none"/>
                <w:lang w:eastAsia="zh-CN"/>
              </w:rPr>
              <w:t>三</w:t>
            </w:r>
            <w:r>
              <w:rPr>
                <w:rFonts w:ascii="Times New Roman" w:hAnsi="Times New Roman" w:eastAsia="宋体" w:cs="Times New Roman"/>
                <w:color w:val="auto"/>
                <w:sz w:val="24"/>
                <w:szCs w:val="24"/>
                <w:u w:val="none"/>
              </w:rPr>
              <w:t>种工艺更节约能耗，设备更易维护，故推荐采用 AO+生物膜法（生物转盘工艺）。</w:t>
            </w:r>
          </w:p>
          <w:p>
            <w:pPr>
              <w:keepNext w:val="0"/>
              <w:keepLines w:val="0"/>
              <w:pageBreakBefore w:val="0"/>
              <w:kinsoku/>
              <w:wordWrap/>
              <w:overflowPunct/>
              <w:topLinePunct w:val="0"/>
              <w:autoSpaceDE/>
              <w:autoSpaceDN/>
              <w:bidi w:val="0"/>
              <w:adjustRightInd w:val="0"/>
              <w:snapToGrid w:val="0"/>
              <w:spacing w:line="360" w:lineRule="auto"/>
              <w:ind w:firstLine="462" w:firstLineChars="200"/>
              <w:textAlignment w:val="auto"/>
              <w:rPr>
                <w:rFonts w:ascii="Times New Roman" w:hAnsi="Times New Roman" w:eastAsia="宋体" w:cs="Times New Roman"/>
                <w:color w:val="auto"/>
                <w:sz w:val="24"/>
                <w:szCs w:val="24"/>
                <w:u w:val="none"/>
              </w:rPr>
            </w:pPr>
            <w:r>
              <w:rPr>
                <w:rFonts w:ascii="Times New Roman" w:hAnsi="Times New Roman" w:eastAsia="宋体" w:cs="Times New Roman"/>
                <w:color w:val="auto"/>
                <w:sz w:val="24"/>
                <w:szCs w:val="24"/>
                <w:u w:val="none"/>
              </w:rPr>
              <w:t>参考湖南地区类似城镇区域的污水处理工艺（运行管理经验、择优选择）；一体化设备适用于污水处理规模小、有分散建设需求、对污水处理执行标准一般的地方，在厂区需做好污水的预处理和后处理，以保障一体化设备的正常运行、确保污水厂尾水稳定达标排放。</w:t>
            </w:r>
          </w:p>
          <w:p>
            <w:pPr>
              <w:keepNext w:val="0"/>
              <w:keepLines w:val="0"/>
              <w:pageBreakBefore w:val="0"/>
              <w:kinsoku/>
              <w:wordWrap/>
              <w:overflowPunct/>
              <w:topLinePunct w:val="0"/>
              <w:autoSpaceDE/>
              <w:autoSpaceDN/>
              <w:bidi w:val="0"/>
              <w:adjustRightInd w:val="0"/>
              <w:snapToGrid w:val="0"/>
              <w:spacing w:line="360" w:lineRule="auto"/>
              <w:ind w:firstLine="462" w:firstLineChars="200"/>
              <w:textAlignment w:val="auto"/>
              <w:rPr>
                <w:rFonts w:ascii="Times New Roman" w:hAnsi="Times New Roman" w:eastAsia="宋体" w:cs="Times New Roman"/>
                <w:color w:val="auto"/>
                <w:sz w:val="24"/>
                <w:szCs w:val="24"/>
                <w:u w:val="none"/>
              </w:rPr>
            </w:pPr>
            <w:r>
              <w:rPr>
                <w:rFonts w:hint="eastAsia" w:ascii="Times New Roman" w:hAnsi="Times New Roman" w:eastAsia="宋体" w:cs="Times New Roman"/>
                <w:color w:val="auto"/>
                <w:sz w:val="24"/>
                <w:szCs w:val="24"/>
                <w:u w:val="none"/>
                <w:lang w:eastAsia="zh-CN"/>
              </w:rPr>
              <w:t>本项目</w:t>
            </w:r>
            <w:r>
              <w:rPr>
                <w:rFonts w:ascii="Times New Roman" w:hAnsi="Times New Roman" w:eastAsia="宋体" w:cs="Times New Roman"/>
                <w:color w:val="auto"/>
                <w:sz w:val="24"/>
                <w:szCs w:val="24"/>
                <w:u w:val="none"/>
              </w:rPr>
              <w:t>近期污水规模在 1000m</w:t>
            </w:r>
            <w:r>
              <w:rPr>
                <w:rFonts w:ascii="Times New Roman" w:hAnsi="Times New Roman" w:eastAsia="宋体" w:cs="Times New Roman"/>
                <w:color w:val="auto"/>
                <w:sz w:val="24"/>
                <w:szCs w:val="24"/>
                <w:u w:val="none"/>
                <w:vertAlign w:val="superscript"/>
              </w:rPr>
              <w:t>3</w:t>
            </w:r>
            <w:r>
              <w:rPr>
                <w:rFonts w:ascii="Times New Roman" w:hAnsi="Times New Roman" w:eastAsia="宋体" w:cs="Times New Roman"/>
                <w:color w:val="auto"/>
                <w:sz w:val="24"/>
                <w:szCs w:val="24"/>
                <w:u w:val="none"/>
              </w:rPr>
              <w:t>/d，AO+生物膜法具有占地面积小，出水水质稳定，自动化程度高，操作简单等，</w:t>
            </w:r>
            <w:r>
              <w:rPr>
                <w:rFonts w:hint="eastAsia" w:ascii="Times New Roman" w:hAnsi="Times New Roman" w:eastAsia="宋体" w:cs="Times New Roman"/>
                <w:color w:val="auto"/>
                <w:sz w:val="24"/>
                <w:szCs w:val="24"/>
                <w:u w:val="none"/>
                <w:lang w:eastAsia="zh-CN"/>
              </w:rPr>
              <w:t>因此本项目</w:t>
            </w:r>
            <w:r>
              <w:rPr>
                <w:rFonts w:ascii="Times New Roman" w:hAnsi="Times New Roman" w:eastAsia="宋体" w:cs="Times New Roman"/>
                <w:color w:val="auto"/>
                <w:sz w:val="24"/>
                <w:szCs w:val="24"/>
                <w:u w:val="none"/>
              </w:rPr>
              <w:t>主体工艺采用AO+生物膜法。</w:t>
            </w:r>
          </w:p>
          <w:p>
            <w:pPr>
              <w:keepNext w:val="0"/>
              <w:keepLines w:val="0"/>
              <w:pageBreakBefore w:val="0"/>
              <w:kinsoku/>
              <w:wordWrap/>
              <w:overflowPunct/>
              <w:topLinePunct w:val="0"/>
              <w:autoSpaceDE/>
              <w:autoSpaceDN/>
              <w:bidi w:val="0"/>
              <w:adjustRightInd w:val="0"/>
              <w:snapToGrid w:val="0"/>
              <w:spacing w:line="360" w:lineRule="auto"/>
              <w:ind w:firstLine="462" w:firstLineChars="200"/>
              <w:textAlignment w:val="auto"/>
              <w:rPr>
                <w:rFonts w:ascii="Times New Roman" w:hAnsi="Times New Roman" w:eastAsia="宋体" w:cs="Times New Roman"/>
                <w:color w:val="auto"/>
                <w:sz w:val="24"/>
                <w:szCs w:val="24"/>
                <w:u w:val="none"/>
              </w:rPr>
            </w:pPr>
            <w:r>
              <w:rPr>
                <w:rFonts w:ascii="Times New Roman" w:hAnsi="Times New Roman" w:eastAsia="宋体" w:cs="Times New Roman"/>
                <w:color w:val="auto"/>
                <w:sz w:val="24"/>
                <w:szCs w:val="24"/>
                <w:u w:val="none"/>
              </w:rPr>
              <w:t>AO+生物膜法工艺结合了活性污泥法和生物膜法（生物转盘工艺）的优点，通过兼氧、好氧工艺，同时在好氧区中采用膜泥结合工艺，可抗高、低负荷的冲击性，具有传统工艺的稳定可靠性；同时好氧区中使用自曝气生物转轮，减少传统曝气设备的安装量而减少了了对传统工艺的曝气头的维护工作。</w:t>
            </w:r>
          </w:p>
          <w:p>
            <w:pPr>
              <w:keepNext w:val="0"/>
              <w:keepLines w:val="0"/>
              <w:pageBreakBefore w:val="0"/>
              <w:kinsoku/>
              <w:wordWrap/>
              <w:overflowPunct/>
              <w:topLinePunct w:val="0"/>
              <w:autoSpaceDE/>
              <w:autoSpaceDN/>
              <w:bidi w:val="0"/>
              <w:adjustRightInd w:val="0"/>
              <w:snapToGrid w:val="0"/>
              <w:spacing w:line="360" w:lineRule="auto"/>
              <w:ind w:firstLine="462" w:firstLineChars="200"/>
              <w:textAlignment w:val="auto"/>
              <w:rPr>
                <w:rFonts w:ascii="Times New Roman" w:hAnsi="Times New Roman" w:eastAsia="宋体" w:cs="Times New Roman"/>
                <w:color w:val="auto"/>
                <w:sz w:val="24"/>
                <w:szCs w:val="24"/>
                <w:u w:val="none"/>
              </w:rPr>
            </w:pPr>
            <w:r>
              <w:rPr>
                <w:rFonts w:ascii="Times New Roman" w:hAnsi="Times New Roman" w:eastAsia="宋体" w:cs="Times New Roman"/>
                <w:color w:val="auto"/>
                <w:sz w:val="24"/>
                <w:szCs w:val="24"/>
                <w:u w:val="none"/>
              </w:rPr>
              <w:t>污泥折算后污泥浓度高，污泥有机负荷F/M低，对进水冲击负荷的变动有很强的耐冲能力。工艺中固定生物膜可大量繁殖生长周期较长的硝化菌和反硝化菌，为其提供适合的生长环境，实现同步硝化反硝化及部分生物除磷，保障生物除氮效果；在活性污泥法中，通过控制较短的污泥龄为嗜磷菌的除磷创造最优条件，保障生物除磷效果。因此整个工艺脱氮除磷效果较传统工艺更优</w:t>
            </w:r>
            <w:r>
              <w:rPr>
                <w:rFonts w:hint="eastAsia" w:ascii="Times New Roman" w:hAnsi="Times New Roman" w:eastAsia="宋体" w:cs="Times New Roman"/>
                <w:color w:val="auto"/>
                <w:sz w:val="24"/>
                <w:szCs w:val="24"/>
                <w:u w:val="none"/>
                <w:lang w:eastAsia="zh-CN"/>
              </w:rPr>
              <w:t>。</w:t>
            </w:r>
            <w:r>
              <w:rPr>
                <w:rFonts w:hint="eastAsia" w:ascii="Times New Roman" w:hAnsi="Times New Roman" w:eastAsia="宋体" w:cs="Times New Roman"/>
                <w:b w:val="0"/>
                <w:bCs/>
                <w:color w:val="auto"/>
                <w:sz w:val="24"/>
                <w:szCs w:val="28"/>
                <w:u w:val="none"/>
                <w:lang w:val="en-US" w:eastAsia="zh-CN"/>
              </w:rPr>
              <w:t>出水可稳定达到《城镇污水处理厂污染物排放标准》（</w:t>
            </w:r>
            <w:r>
              <w:rPr>
                <w:rFonts w:hint="default" w:ascii="Times New Roman" w:hAnsi="Times New Roman" w:eastAsia="宋体" w:cs="Times New Roman"/>
                <w:b w:val="0"/>
                <w:bCs/>
                <w:color w:val="auto"/>
                <w:sz w:val="24"/>
                <w:szCs w:val="28"/>
                <w:u w:val="none"/>
                <w:lang w:val="en-US" w:eastAsia="zh-CN"/>
              </w:rPr>
              <w:t>GB18918-2002</w:t>
            </w:r>
            <w:r>
              <w:rPr>
                <w:rFonts w:hint="eastAsia" w:ascii="Times New Roman" w:hAnsi="Times New Roman" w:eastAsia="宋体" w:cs="Times New Roman"/>
                <w:b w:val="0"/>
                <w:bCs/>
                <w:color w:val="auto"/>
                <w:sz w:val="24"/>
                <w:szCs w:val="28"/>
                <w:u w:val="none"/>
                <w:lang w:val="en-US" w:eastAsia="zh-CN"/>
              </w:rPr>
              <w:t xml:space="preserve">）一级 </w:t>
            </w:r>
            <w:r>
              <w:rPr>
                <w:rFonts w:hint="eastAsia" w:cs="Times New Roman"/>
                <w:b w:val="0"/>
                <w:bCs/>
                <w:color w:val="auto"/>
                <w:sz w:val="24"/>
                <w:szCs w:val="28"/>
                <w:u w:val="none"/>
                <w:lang w:val="en-US" w:eastAsia="zh-CN"/>
              </w:rPr>
              <w:t>B</w:t>
            </w:r>
            <w:r>
              <w:rPr>
                <w:rFonts w:hint="eastAsia" w:ascii="Times New Roman" w:hAnsi="Times New Roman" w:eastAsia="宋体" w:cs="Times New Roman"/>
                <w:b w:val="0"/>
                <w:bCs/>
                <w:color w:val="auto"/>
                <w:sz w:val="24"/>
                <w:szCs w:val="28"/>
                <w:u w:val="none"/>
                <w:lang w:val="en-US" w:eastAsia="zh-CN"/>
              </w:rPr>
              <w:t xml:space="preserve">标准。 </w:t>
            </w:r>
          </w:p>
          <w:p>
            <w:pPr>
              <w:keepNext w:val="0"/>
              <w:keepLines w:val="0"/>
              <w:pageBreakBefore w:val="0"/>
              <w:kinsoku/>
              <w:wordWrap/>
              <w:overflowPunct/>
              <w:topLinePunct w:val="0"/>
              <w:autoSpaceDE/>
              <w:autoSpaceDN/>
              <w:bidi w:val="0"/>
              <w:adjustRightInd w:val="0"/>
              <w:snapToGrid w:val="0"/>
              <w:spacing w:line="360" w:lineRule="auto"/>
              <w:ind w:firstLine="462" w:firstLineChars="200"/>
              <w:textAlignment w:val="auto"/>
              <w:rPr>
                <w:rFonts w:hint="eastAsia" w:ascii="Times New Roman" w:hAnsi="Times New Roman" w:eastAsia="宋体" w:cs="Times New Roman"/>
                <w:color w:val="auto"/>
                <w:sz w:val="24"/>
                <w:szCs w:val="24"/>
                <w:u w:val="none"/>
                <w:lang w:val="en-US" w:eastAsia="zh-CN"/>
              </w:rPr>
            </w:pPr>
            <w:r>
              <w:rPr>
                <w:rFonts w:ascii="Times New Roman" w:hAnsi="Times New Roman" w:eastAsia="宋体" w:cs="Times New Roman"/>
                <w:color w:val="auto"/>
                <w:sz w:val="24"/>
                <w:szCs w:val="24"/>
                <w:u w:val="none"/>
              </w:rPr>
              <w:t>自曝气生物转轮类似水车原理，通过机械形式，将水带到空气中，同时将空气带入水中；在此过程中，系统独特的流道设计，使得气体在流道中由大变小，由小变微；水在流道运行的过程中发生较剧烈的紊流现象，起到了很好的搅拌及增加气体和液体接触的机会，从而增强了系统的传氧效率；各个流道可视为独立的网格结构，起到小曝气头的功能，不需要克服传统曝气过程中的管路及曝气头压力损失，曝气更加高效节能。特定微生物载体，系统内微生物数量多、差异大、降解效率高、载体比表面积大、附着微生物能力强，为微生物的生长创造良好的环境，载体上生长的微生物时代周期长，较传统活性污泥法，系统产泥量减少 30%。</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b/>
                <w:bCs/>
                <w:color w:val="auto"/>
                <w:sz w:val="24"/>
                <w:szCs w:val="24"/>
              </w:rPr>
            </w:pPr>
            <w:r>
              <w:rPr>
                <w:rFonts w:hint="eastAsia"/>
                <w:b/>
                <w:bCs/>
                <w:color w:val="auto"/>
                <w:sz w:val="24"/>
                <w:szCs w:val="24"/>
              </w:rPr>
              <w:t>7.2.3 地下水环境影响分析</w:t>
            </w:r>
            <w:bookmarkEnd w:id="10"/>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jc w:val="left"/>
              <w:textAlignment w:val="auto"/>
              <w:rPr>
                <w:rFonts w:hint="default" w:ascii="Times New Roman" w:hAnsi="Times New Roman" w:cs="Times New Roman"/>
                <w:b w:val="0"/>
                <w:bCs/>
                <w:color w:val="auto"/>
                <w:sz w:val="24"/>
                <w:szCs w:val="28"/>
                <w:u w:val="none"/>
                <w:lang w:val="en-US" w:eastAsia="zh-CN"/>
              </w:rPr>
            </w:pPr>
            <w:r>
              <w:rPr>
                <w:rFonts w:hint="eastAsia" w:cs="Times New Roman"/>
                <w:b w:val="0"/>
                <w:bCs/>
                <w:color w:val="auto"/>
                <w:sz w:val="24"/>
                <w:szCs w:val="28"/>
                <w:u w:val="none"/>
                <w:lang w:val="en-US" w:eastAsia="zh-CN"/>
              </w:rPr>
              <w:t>1、</w:t>
            </w:r>
            <w:r>
              <w:rPr>
                <w:rFonts w:hint="default" w:ascii="Times New Roman" w:hAnsi="Times New Roman" w:cs="Times New Roman"/>
                <w:color w:val="auto"/>
                <w:sz w:val="24"/>
                <w:u w:val="none"/>
              </w:rPr>
              <w:t>地下水环境评价等级</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jc w:val="left"/>
              <w:textAlignment w:val="auto"/>
              <w:rPr>
                <w:rFonts w:hint="eastAsia" w:ascii="Times New Roman" w:hAnsi="Times New Roman" w:cs="Times New Roman"/>
                <w:b w:val="0"/>
                <w:bCs/>
                <w:color w:val="auto"/>
                <w:sz w:val="24"/>
                <w:szCs w:val="28"/>
                <w:u w:val="none"/>
                <w:lang w:val="en-US" w:eastAsia="zh-CN"/>
              </w:rPr>
            </w:pPr>
            <w:r>
              <w:rPr>
                <w:rFonts w:hint="eastAsia" w:ascii="Times New Roman" w:hAnsi="Times New Roman" w:cs="Times New Roman"/>
                <w:b w:val="0"/>
                <w:bCs/>
                <w:color w:val="auto"/>
                <w:sz w:val="24"/>
                <w:szCs w:val="28"/>
                <w:u w:val="none"/>
                <w:lang w:val="en-US" w:eastAsia="zh-CN"/>
              </w:rPr>
              <w:t>根据《环境影响评价技术导则 地下水环境》（HJ610-2016）附录A中表A.1判定本项目地下水环境影响评价</w:t>
            </w:r>
            <w:r>
              <w:rPr>
                <w:rFonts w:hint="eastAsia" w:cs="Times New Roman"/>
                <w:b w:val="0"/>
                <w:bCs/>
                <w:color w:val="auto"/>
                <w:sz w:val="24"/>
                <w:szCs w:val="28"/>
                <w:u w:val="none"/>
                <w:lang w:val="en-US" w:eastAsia="zh-CN"/>
              </w:rPr>
              <w:t>行业分类</w:t>
            </w:r>
            <w:r>
              <w:rPr>
                <w:rFonts w:hint="eastAsia" w:ascii="Times New Roman" w:hAnsi="Times New Roman" w:cs="Times New Roman"/>
                <w:b w:val="0"/>
                <w:bCs/>
                <w:color w:val="auto"/>
                <w:sz w:val="24"/>
                <w:szCs w:val="28"/>
                <w:u w:val="none"/>
                <w:lang w:val="en-US" w:eastAsia="zh-CN"/>
              </w:rPr>
              <w:t>，</w:t>
            </w:r>
            <w:r>
              <w:rPr>
                <w:rFonts w:hint="eastAsia" w:cs="Times New Roman"/>
                <w:b w:val="0"/>
                <w:bCs/>
                <w:color w:val="auto"/>
                <w:sz w:val="24"/>
                <w:szCs w:val="28"/>
                <w:u w:val="none"/>
                <w:lang w:val="en-US" w:eastAsia="zh-CN"/>
              </w:rPr>
              <w:t>详</w:t>
            </w:r>
            <w:r>
              <w:rPr>
                <w:rFonts w:hint="eastAsia" w:ascii="Times New Roman" w:hAnsi="Times New Roman" w:cs="Times New Roman"/>
                <w:b w:val="0"/>
                <w:bCs/>
                <w:color w:val="auto"/>
                <w:sz w:val="24"/>
                <w:szCs w:val="28"/>
                <w:u w:val="none"/>
                <w:lang w:val="en-US" w:eastAsia="zh-CN"/>
              </w:rPr>
              <w:t>见表7-</w:t>
            </w:r>
            <w:r>
              <w:rPr>
                <w:rFonts w:hint="eastAsia" w:cs="Times New Roman"/>
                <w:b w:val="0"/>
                <w:bCs/>
                <w:color w:val="auto"/>
                <w:sz w:val="24"/>
                <w:szCs w:val="28"/>
                <w:u w:val="none"/>
                <w:lang w:val="en-US" w:eastAsia="zh-CN"/>
              </w:rPr>
              <w:t>21</w:t>
            </w:r>
            <w:r>
              <w:rPr>
                <w:rFonts w:hint="eastAsia" w:ascii="Times New Roman" w:hAnsi="Times New Roman" w:cs="Times New Roman"/>
                <w:b w:val="0"/>
                <w:bCs/>
                <w:color w:val="auto"/>
                <w:sz w:val="24"/>
                <w:szCs w:val="28"/>
                <w:u w:val="none"/>
                <w:lang w:val="en-US" w:eastAsia="zh-CN"/>
              </w:rPr>
              <w:t>。</w:t>
            </w:r>
          </w:p>
          <w:p>
            <w:pPr>
              <w:pStyle w:val="6"/>
              <w:keepNext w:val="0"/>
              <w:keepLines w:val="0"/>
              <w:pageBreakBefore w:val="0"/>
              <w:widowControl w:val="0"/>
              <w:kinsoku/>
              <w:wordWrap/>
              <w:overflowPunct/>
              <w:topLinePunct w:val="0"/>
              <w:autoSpaceDE/>
              <w:autoSpaceDN/>
              <w:bidi w:val="0"/>
              <w:adjustRightInd w:val="0"/>
              <w:snapToGrid w:val="0"/>
              <w:spacing w:line="240" w:lineRule="auto"/>
              <w:ind w:firstLine="482"/>
              <w:jc w:val="center"/>
              <w:textAlignment w:val="auto"/>
              <w:rPr>
                <w:rFonts w:hint="default" w:ascii="Times New Roman" w:hAnsi="Times New Roman" w:eastAsia="宋体" w:cs="Times New Roman"/>
                <w:b/>
                <w:bCs/>
                <w:color w:val="auto"/>
                <w:sz w:val="21"/>
                <w:szCs w:val="21"/>
                <w:u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240" w:lineRule="auto"/>
              <w:ind w:firstLine="482"/>
              <w:jc w:val="center"/>
              <w:textAlignment w:val="auto"/>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表7-</w:t>
            </w:r>
            <w:r>
              <w:rPr>
                <w:rFonts w:hint="eastAsia" w:eastAsia="宋体" w:cs="Times New Roman"/>
                <w:b/>
                <w:bCs/>
                <w:color w:val="auto"/>
                <w:sz w:val="21"/>
                <w:szCs w:val="21"/>
                <w:u w:val="none"/>
                <w:lang w:val="en-US" w:eastAsia="zh-CN"/>
              </w:rPr>
              <w:t>21</w:t>
            </w:r>
            <w:r>
              <w:rPr>
                <w:rFonts w:hint="default" w:ascii="Times New Roman" w:hAnsi="Times New Roman" w:eastAsia="宋体" w:cs="Times New Roman"/>
                <w:b/>
                <w:bCs/>
                <w:color w:val="auto"/>
                <w:sz w:val="21"/>
                <w:szCs w:val="21"/>
                <w:u w:val="none"/>
                <w:lang w:val="en-US" w:eastAsia="zh-CN"/>
              </w:rPr>
              <w:t xml:space="preserve">  地下水环境影响评价项目类别（摘录）</w:t>
            </w:r>
          </w:p>
          <w:tbl>
            <w:tblPr>
              <w:tblStyle w:val="28"/>
              <w:tblW w:w="85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3258"/>
              <w:gridCol w:w="26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11" w:type="dxa"/>
                  <w:vMerge w:val="restart"/>
                  <w:tcBorders>
                    <w:tl2br w:val="nil"/>
                    <w:tr2bl w:val="nil"/>
                  </w:tcBorders>
                  <w:noWrap w:val="0"/>
                  <w:vAlign w:val="center"/>
                </w:tcPr>
                <w:p>
                  <w:pPr>
                    <w:jc w:val="center"/>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行业类别</w:t>
                  </w:r>
                </w:p>
              </w:tc>
              <w:tc>
                <w:tcPr>
                  <w:tcW w:w="5895" w:type="dxa"/>
                  <w:gridSpan w:val="2"/>
                  <w:tcBorders>
                    <w:tl2br w:val="nil"/>
                    <w:tr2bl w:val="nil"/>
                  </w:tcBorders>
                  <w:noWrap w:val="0"/>
                  <w:vAlign w:val="center"/>
                </w:tcPr>
                <w:p>
                  <w:pPr>
                    <w:jc w:val="center"/>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项目类别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11" w:type="dxa"/>
                  <w:vMerge w:val="continue"/>
                  <w:tcBorders>
                    <w:tl2br w:val="nil"/>
                    <w:tr2bl w:val="nil"/>
                  </w:tcBorders>
                  <w:noWrap w:val="0"/>
                  <w:vAlign w:val="center"/>
                </w:tcPr>
                <w:p>
                  <w:pPr>
                    <w:jc w:val="center"/>
                    <w:rPr>
                      <w:rFonts w:hint="default" w:ascii="Times New Roman" w:hAnsi="Times New Roman" w:cs="Times New Roman"/>
                      <w:color w:val="auto"/>
                      <w:sz w:val="21"/>
                      <w:szCs w:val="21"/>
                      <w:u w:val="none"/>
                      <w:vertAlign w:val="baseline"/>
                      <w:lang w:val="en-US" w:eastAsia="zh-CN"/>
                    </w:rPr>
                  </w:pPr>
                </w:p>
              </w:tc>
              <w:tc>
                <w:tcPr>
                  <w:tcW w:w="3258" w:type="dxa"/>
                  <w:tcBorders>
                    <w:tl2br w:val="nil"/>
                    <w:tr2bl w:val="nil"/>
                  </w:tcBorders>
                  <w:noWrap w:val="0"/>
                  <w:vAlign w:val="center"/>
                </w:tcPr>
                <w:p>
                  <w:pPr>
                    <w:ind w:left="0" w:leftChars="0" w:firstLine="0" w:firstLineChars="0"/>
                    <w:jc w:val="center"/>
                    <w:rPr>
                      <w:rFonts w:hint="default" w:ascii="Times New Roman" w:hAnsi="Times New Roman" w:cs="Times New Roman"/>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Ⅱ</w:t>
                  </w:r>
                  <w:r>
                    <w:rPr>
                      <w:rFonts w:hint="eastAsia" w:ascii="Times New Roman" w:hAnsi="Times New Roman" w:cs="Times New Roman"/>
                      <w:color w:val="auto"/>
                      <w:sz w:val="21"/>
                      <w:szCs w:val="21"/>
                      <w:u w:val="none"/>
                      <w:vertAlign w:val="baseline"/>
                      <w:lang w:val="en-US" w:eastAsia="zh-CN"/>
                    </w:rPr>
                    <w:t>类</w:t>
                  </w:r>
                </w:p>
              </w:tc>
              <w:tc>
                <w:tcPr>
                  <w:tcW w:w="2637" w:type="dxa"/>
                  <w:tcBorders>
                    <w:tl2br w:val="nil"/>
                    <w:tr2bl w:val="nil"/>
                  </w:tcBorders>
                  <w:noWrap w:val="0"/>
                  <w:vAlign w:val="center"/>
                </w:tcPr>
                <w:p>
                  <w:pPr>
                    <w:ind w:left="0" w:leftChars="0" w:firstLine="0" w:firstLineChars="0"/>
                    <w:jc w:val="center"/>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III类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11" w:type="dxa"/>
                  <w:tcBorders>
                    <w:tl2br w:val="nil"/>
                    <w:tr2bl w:val="nil"/>
                  </w:tcBorders>
                  <w:noWrap w:val="0"/>
                  <w:vAlign w:val="center"/>
                </w:tcPr>
                <w:p>
                  <w:pPr>
                    <w:ind w:left="0" w:leftChars="0" w:firstLine="0" w:firstLineChars="0"/>
                    <w:jc w:val="center"/>
                    <w:rPr>
                      <w:rFonts w:hint="default" w:ascii="Times New Roman" w:hAnsi="Times New Roman" w:cs="Times New Roman"/>
                      <w:color w:val="auto"/>
                      <w:sz w:val="21"/>
                      <w:szCs w:val="21"/>
                      <w:u w:val="none"/>
                      <w:vertAlign w:val="baseline"/>
                      <w:lang w:val="en-US" w:eastAsia="zh-CN"/>
                    </w:rPr>
                  </w:pPr>
                  <w:r>
                    <w:rPr>
                      <w:rFonts w:hint="eastAsia" w:cs="Times New Roman"/>
                      <w:color w:val="auto"/>
                      <w:sz w:val="21"/>
                      <w:szCs w:val="21"/>
                      <w:u w:val="none"/>
                      <w:vertAlign w:val="baseline"/>
                      <w:lang w:val="en-US" w:eastAsia="zh-CN"/>
                    </w:rPr>
                    <w:t>生活污水集中处理</w:t>
                  </w:r>
                </w:p>
              </w:tc>
              <w:tc>
                <w:tcPr>
                  <w:tcW w:w="3258" w:type="dxa"/>
                  <w:tcBorders>
                    <w:tl2br w:val="nil"/>
                    <w:tr2bl w:val="nil"/>
                  </w:tcBorders>
                  <w:noWrap w:val="0"/>
                  <w:vAlign w:val="center"/>
                </w:tcPr>
                <w:p>
                  <w:pPr>
                    <w:ind w:left="0" w:leftChars="0" w:firstLine="0" w:firstLineChars="0"/>
                    <w:jc w:val="center"/>
                    <w:rPr>
                      <w:rFonts w:hint="default" w:ascii="Times New Roman" w:hAnsi="Times New Roman" w:eastAsia="宋体" w:cs="Times New Roman"/>
                      <w:color w:val="auto"/>
                      <w:sz w:val="21"/>
                      <w:szCs w:val="21"/>
                      <w:u w:val="none"/>
                      <w:vertAlign w:val="baseline"/>
                      <w:lang w:val="en-US" w:eastAsia="zh-CN"/>
                    </w:rPr>
                  </w:pPr>
                  <w:r>
                    <w:rPr>
                      <w:rFonts w:hint="eastAsia" w:cs="Times New Roman"/>
                      <w:color w:val="auto"/>
                      <w:sz w:val="21"/>
                      <w:szCs w:val="21"/>
                      <w:u w:val="none"/>
                      <w:vertAlign w:val="baseline"/>
                      <w:lang w:val="en-US" w:eastAsia="zh-CN"/>
                    </w:rPr>
                    <w:t>日处理10万吨及以上</w:t>
                  </w:r>
                </w:p>
              </w:tc>
              <w:tc>
                <w:tcPr>
                  <w:tcW w:w="2637" w:type="dxa"/>
                  <w:tcBorders>
                    <w:tl2br w:val="nil"/>
                    <w:tr2bl w:val="nil"/>
                  </w:tcBorders>
                  <w:noWrap w:val="0"/>
                  <w:vAlign w:val="center"/>
                </w:tcPr>
                <w:p>
                  <w:pPr>
                    <w:ind w:left="0" w:leftChars="0" w:firstLine="0" w:firstLineChars="0"/>
                    <w:jc w:val="center"/>
                    <w:rPr>
                      <w:rFonts w:hint="default" w:ascii="Times New Roman" w:hAnsi="Times New Roman" w:cs="Times New Roman"/>
                      <w:color w:val="auto"/>
                      <w:sz w:val="21"/>
                      <w:szCs w:val="21"/>
                      <w:u w:val="none"/>
                      <w:vertAlign w:val="baseline"/>
                      <w:lang w:val="en-US" w:eastAsia="zh-CN"/>
                    </w:rPr>
                  </w:pPr>
                  <w:r>
                    <w:rPr>
                      <w:rFonts w:hint="eastAsia" w:cs="Times New Roman"/>
                      <w:color w:val="auto"/>
                      <w:sz w:val="21"/>
                      <w:szCs w:val="21"/>
                      <w:u w:val="none"/>
                      <w:vertAlign w:val="baseline"/>
                      <w:lang w:val="en-US" w:eastAsia="zh-CN"/>
                    </w:rPr>
                    <w:t>其他</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jc w:val="left"/>
              <w:textAlignment w:val="auto"/>
              <w:rPr>
                <w:rFonts w:hint="default" w:ascii="Times New Roman" w:hAnsi="Times New Roman" w:eastAsia="宋体" w:cs="Times New Roman"/>
                <w:color w:val="auto"/>
                <w:sz w:val="24"/>
                <w:szCs w:val="24"/>
                <w:u w:val="none"/>
                <w:vertAlign w:val="baseline"/>
                <w:lang w:val="en-US" w:eastAsia="zh-CN"/>
              </w:rPr>
            </w:pPr>
            <w:r>
              <w:rPr>
                <w:rFonts w:hint="default" w:ascii="Times New Roman" w:hAnsi="Times New Roman" w:eastAsia="宋体" w:cs="Times New Roman"/>
                <w:b w:val="0"/>
                <w:bCs/>
                <w:color w:val="auto"/>
                <w:sz w:val="24"/>
                <w:szCs w:val="24"/>
                <w:u w:val="none"/>
                <w:lang w:val="en-US" w:eastAsia="zh-CN"/>
              </w:rPr>
              <w:t>本项目日处理规模为0.1万吨/d，为</w:t>
            </w:r>
            <w:r>
              <w:rPr>
                <w:rFonts w:hint="default" w:ascii="Times New Roman" w:hAnsi="Times New Roman" w:eastAsia="宋体" w:cs="Times New Roman"/>
                <w:color w:val="auto"/>
                <w:sz w:val="24"/>
                <w:szCs w:val="24"/>
                <w:u w:val="none"/>
                <w:vertAlign w:val="baseline"/>
                <w:lang w:val="en-US" w:eastAsia="zh-CN"/>
              </w:rPr>
              <w:t>III类项目。</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jc w:val="left"/>
              <w:textAlignment w:val="auto"/>
              <w:rPr>
                <w:rFonts w:hint="default" w:ascii="Times New Roman" w:hAnsi="Times New Roman" w:eastAsia="宋体" w:cs="Times New Roman"/>
                <w:b w:val="0"/>
                <w:bCs/>
                <w:color w:val="auto"/>
                <w:sz w:val="24"/>
                <w:szCs w:val="24"/>
                <w:u w:val="none"/>
                <w:lang w:val="en-US" w:eastAsia="zh-CN"/>
              </w:rPr>
            </w:pPr>
            <w:r>
              <w:rPr>
                <w:rFonts w:hint="default" w:ascii="Times New Roman" w:hAnsi="Times New Roman" w:eastAsia="宋体" w:cs="Times New Roman"/>
                <w:b w:val="0"/>
                <w:bCs/>
                <w:color w:val="auto"/>
                <w:sz w:val="24"/>
                <w:szCs w:val="24"/>
                <w:u w:val="none"/>
                <w:lang w:val="en-US" w:eastAsia="zh-CN"/>
              </w:rPr>
              <w:t>建设项目所在地周边的地下水环境敏感程度根据《环境影响评价技术导则 地下水环境》（HJ610-2016）中的环境敏感程度分级表判定，见表7-</w:t>
            </w:r>
            <w:r>
              <w:rPr>
                <w:rFonts w:hint="eastAsia" w:cs="Times New Roman"/>
                <w:b w:val="0"/>
                <w:bCs/>
                <w:color w:val="auto"/>
                <w:sz w:val="24"/>
                <w:szCs w:val="24"/>
                <w:u w:val="none"/>
                <w:lang w:val="en-US" w:eastAsia="zh-CN"/>
              </w:rPr>
              <w:t>22</w:t>
            </w:r>
            <w:r>
              <w:rPr>
                <w:rFonts w:hint="default" w:ascii="Times New Roman" w:hAnsi="Times New Roman" w:eastAsia="宋体" w:cs="Times New Roman"/>
                <w:b w:val="0"/>
                <w:bCs/>
                <w:color w:val="auto"/>
                <w:sz w:val="24"/>
                <w:szCs w:val="24"/>
                <w:u w:val="none"/>
                <w:lang w:val="en-US" w:eastAsia="zh-CN"/>
              </w:rPr>
              <w:t>。</w:t>
            </w:r>
          </w:p>
          <w:p>
            <w:pPr>
              <w:pStyle w:val="6"/>
              <w:keepNext w:val="0"/>
              <w:keepLines w:val="0"/>
              <w:pageBreakBefore w:val="0"/>
              <w:widowControl w:val="0"/>
              <w:kinsoku/>
              <w:wordWrap/>
              <w:overflowPunct/>
              <w:topLinePunct w:val="0"/>
              <w:autoSpaceDE/>
              <w:autoSpaceDN/>
              <w:bidi w:val="0"/>
              <w:adjustRightInd w:val="0"/>
              <w:snapToGrid w:val="0"/>
              <w:spacing w:line="240" w:lineRule="auto"/>
              <w:ind w:firstLine="482"/>
              <w:jc w:val="center"/>
              <w:textAlignment w:val="auto"/>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表</w:t>
            </w:r>
            <w:r>
              <w:rPr>
                <w:rFonts w:hint="eastAsia" w:ascii="Times New Roman" w:hAnsi="Times New Roman" w:eastAsia="宋体" w:cs="Times New Roman"/>
                <w:b/>
                <w:bCs/>
                <w:color w:val="auto"/>
                <w:sz w:val="21"/>
                <w:szCs w:val="21"/>
                <w:u w:val="none"/>
                <w:lang w:val="en-US" w:eastAsia="zh-CN"/>
              </w:rPr>
              <w:t>7-</w:t>
            </w:r>
            <w:r>
              <w:rPr>
                <w:rFonts w:hint="eastAsia" w:eastAsia="宋体" w:cs="Times New Roman"/>
                <w:b/>
                <w:bCs/>
                <w:color w:val="auto"/>
                <w:sz w:val="21"/>
                <w:szCs w:val="21"/>
                <w:u w:val="none"/>
                <w:lang w:val="en-US" w:eastAsia="zh-CN"/>
              </w:rPr>
              <w:t>22</w:t>
            </w:r>
            <w:r>
              <w:rPr>
                <w:rFonts w:hint="default" w:ascii="Times New Roman" w:hAnsi="Times New Roman" w:eastAsia="宋体" w:cs="Times New Roman"/>
                <w:b/>
                <w:bCs/>
                <w:color w:val="auto"/>
                <w:sz w:val="21"/>
                <w:szCs w:val="21"/>
                <w:u w:val="none"/>
                <w:lang w:val="en-US" w:eastAsia="zh-CN"/>
              </w:rPr>
              <w:t xml:space="preserve">  </w:t>
            </w:r>
            <w:r>
              <w:rPr>
                <w:rFonts w:hint="eastAsia" w:ascii="Times New Roman" w:hAnsi="Times New Roman" w:eastAsia="宋体" w:cs="Times New Roman"/>
                <w:b/>
                <w:bCs/>
                <w:color w:val="auto"/>
                <w:sz w:val="21"/>
                <w:szCs w:val="21"/>
                <w:u w:val="none"/>
                <w:lang w:val="en-US" w:eastAsia="zh-CN"/>
              </w:rPr>
              <w:t>地下水环境</w:t>
            </w:r>
            <w:r>
              <w:rPr>
                <w:rFonts w:hint="default" w:ascii="Times New Roman" w:hAnsi="Times New Roman" w:eastAsia="宋体" w:cs="Times New Roman"/>
                <w:b/>
                <w:bCs/>
                <w:color w:val="auto"/>
                <w:sz w:val="21"/>
                <w:szCs w:val="21"/>
                <w:u w:val="none"/>
                <w:lang w:val="en-US" w:eastAsia="zh-CN"/>
              </w:rPr>
              <w:t>敏感程度分级表</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79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73" w:type="dxa"/>
                  <w:tcBorders>
                    <w:tl2br w:val="nil"/>
                    <w:tr2bl w:val="nil"/>
                  </w:tcBorders>
                  <w:noWrap w:val="0"/>
                  <w:vAlign w:val="center"/>
                </w:tcPr>
                <w:p>
                  <w:pPr>
                    <w:ind w:left="0" w:leftChars="0" w:firstLine="0" w:firstLineChars="0"/>
                    <w:jc w:val="center"/>
                    <w:rPr>
                      <w:rFonts w:hint="default" w:ascii="Times New Roman" w:hAnsi="Times New Roman" w:eastAsia="宋体" w:cs="Times New Roman"/>
                      <w:color w:val="auto"/>
                      <w:sz w:val="21"/>
                      <w:szCs w:val="21"/>
                      <w:u w:val="none"/>
                      <w:vertAlign w:val="baseline"/>
                      <w:lang w:val="en-US" w:eastAsia="zh-CN"/>
                    </w:rPr>
                  </w:pPr>
                  <w:r>
                    <w:rPr>
                      <w:rFonts w:hint="eastAsia" w:ascii="Times New Roman" w:hAnsi="Times New Roman" w:eastAsia="宋体" w:cs="Times New Roman"/>
                      <w:color w:val="auto"/>
                      <w:sz w:val="21"/>
                      <w:szCs w:val="21"/>
                      <w:u w:val="none"/>
                      <w:vertAlign w:val="baseline"/>
                      <w:lang w:val="en-US" w:eastAsia="zh-CN"/>
                    </w:rPr>
                    <w:t>敏感程度</w:t>
                  </w:r>
                </w:p>
              </w:tc>
              <w:tc>
                <w:tcPr>
                  <w:tcW w:w="7901" w:type="dxa"/>
                  <w:tcBorders>
                    <w:tl2br w:val="nil"/>
                    <w:tr2bl w:val="nil"/>
                  </w:tcBorders>
                  <w:noWrap w:val="0"/>
                  <w:vAlign w:val="center"/>
                </w:tcPr>
                <w:p>
                  <w:pPr>
                    <w:ind w:left="0" w:leftChars="0" w:firstLine="0" w:firstLineChars="0"/>
                    <w:jc w:val="center"/>
                    <w:rPr>
                      <w:rFonts w:hint="default" w:ascii="Times New Roman" w:hAnsi="Times New Roman" w:eastAsia="宋体" w:cs="Times New Roman"/>
                      <w:color w:val="auto"/>
                      <w:sz w:val="21"/>
                      <w:szCs w:val="21"/>
                      <w:u w:val="none"/>
                      <w:vertAlign w:val="baseline"/>
                      <w:lang w:val="en-US" w:eastAsia="zh-CN"/>
                    </w:rPr>
                  </w:pPr>
                  <w:r>
                    <w:rPr>
                      <w:rFonts w:hint="eastAsia" w:ascii="Times New Roman" w:hAnsi="Times New Roman" w:eastAsia="宋体" w:cs="Times New Roman"/>
                      <w:color w:val="auto"/>
                      <w:sz w:val="21"/>
                      <w:szCs w:val="21"/>
                      <w:u w:val="none"/>
                      <w:vertAlign w:val="baseline"/>
                      <w:lang w:val="en-US" w:eastAsia="zh-CN"/>
                    </w:rPr>
                    <w:t>地下水环境敏感特征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73" w:type="dxa"/>
                  <w:tcBorders>
                    <w:tl2br w:val="nil"/>
                    <w:tr2bl w:val="nil"/>
                  </w:tcBorders>
                  <w:noWrap w:val="0"/>
                  <w:vAlign w:val="center"/>
                </w:tcPr>
                <w:p>
                  <w:pPr>
                    <w:ind w:left="0" w:leftChars="0" w:firstLine="0" w:firstLineChars="0"/>
                    <w:jc w:val="center"/>
                    <w:rPr>
                      <w:rFonts w:hint="default" w:ascii="Times New Roman" w:hAnsi="Times New Roman" w:eastAsia="宋体" w:cs="Times New Roman"/>
                      <w:color w:val="auto"/>
                      <w:sz w:val="21"/>
                      <w:szCs w:val="21"/>
                      <w:u w:val="none"/>
                      <w:vertAlign w:val="baseline"/>
                      <w:lang w:val="en-US" w:eastAsia="zh-CN"/>
                    </w:rPr>
                  </w:pPr>
                  <w:r>
                    <w:rPr>
                      <w:rFonts w:hint="eastAsia" w:ascii="Times New Roman" w:hAnsi="Times New Roman" w:eastAsia="宋体" w:cs="Times New Roman"/>
                      <w:color w:val="auto"/>
                      <w:sz w:val="21"/>
                      <w:szCs w:val="21"/>
                      <w:u w:val="none"/>
                      <w:vertAlign w:val="baseline"/>
                      <w:lang w:val="en-US" w:eastAsia="zh-CN"/>
                    </w:rPr>
                    <w:t>敏感</w:t>
                  </w:r>
                </w:p>
              </w:tc>
              <w:tc>
                <w:tcPr>
                  <w:tcW w:w="7901" w:type="dxa"/>
                  <w:tcBorders>
                    <w:tl2br w:val="nil"/>
                    <w:tr2bl w:val="nil"/>
                  </w:tcBorders>
                  <w:noWrap w:val="0"/>
                  <w:vAlign w:val="center"/>
                </w:tcPr>
                <w:p>
                  <w:pPr>
                    <w:ind w:left="0" w:leftChars="0" w:firstLine="0" w:firstLineChars="0"/>
                    <w:jc w:val="center"/>
                    <w:rPr>
                      <w:rFonts w:hint="default" w:ascii="Times New Roman" w:hAnsi="Times New Roman" w:eastAsia="宋体" w:cs="Times New Roman"/>
                      <w:color w:val="auto"/>
                      <w:sz w:val="21"/>
                      <w:szCs w:val="21"/>
                      <w:u w:val="none"/>
                      <w:vertAlign w:val="baseline"/>
                      <w:lang w:val="en-US" w:eastAsia="zh-CN"/>
                    </w:rPr>
                  </w:pPr>
                  <w:r>
                    <w:rPr>
                      <w:rFonts w:hint="eastAsia" w:ascii="Times New Roman" w:hAnsi="Times New Roman" w:eastAsia="宋体" w:cs="Times New Roman"/>
                      <w:color w:val="auto"/>
                      <w:sz w:val="21"/>
                      <w:szCs w:val="21"/>
                      <w:u w:val="none"/>
                      <w:vertAlign w:val="baseline"/>
                      <w:lang w:val="en-US" w:eastAsia="zh-CN"/>
                    </w:rPr>
                    <w:t>集中式</w:t>
                  </w:r>
                  <w:r>
                    <w:rPr>
                      <w:rFonts w:hint="eastAsia" w:cs="Times New Roman"/>
                      <w:color w:val="auto"/>
                      <w:sz w:val="21"/>
                      <w:szCs w:val="21"/>
                      <w:u w:val="none"/>
                      <w:vertAlign w:val="baseline"/>
                      <w:lang w:val="en-US" w:eastAsia="zh-CN"/>
                    </w:rPr>
                    <w:t>饮用水源</w:t>
                  </w:r>
                  <w:r>
                    <w:rPr>
                      <w:rFonts w:hint="eastAsia" w:ascii="Times New Roman" w:hAnsi="Times New Roman" w:eastAsia="宋体" w:cs="Times New Roman"/>
                      <w:color w:val="auto"/>
                      <w:sz w:val="21"/>
                      <w:szCs w:val="21"/>
                      <w:u w:val="none"/>
                      <w:vertAlign w:val="baseline"/>
                      <w:lang w:val="en-US" w:eastAsia="zh-CN"/>
                    </w:rPr>
                    <w:t>（包括已建成的在用、备用、应急水源，在建和规划的饮用水水源）准保护区；除集中式饮用水水源以外的国家或地方政府设定的与地下水环境相关的其它保护区，如热水、矿泉水、温泉等特殊地下水资源保护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173" w:type="dxa"/>
                  <w:tcBorders>
                    <w:tl2br w:val="nil"/>
                    <w:tr2bl w:val="nil"/>
                  </w:tcBorders>
                  <w:noWrap w:val="0"/>
                  <w:vAlign w:val="center"/>
                </w:tcPr>
                <w:p>
                  <w:pPr>
                    <w:ind w:left="0" w:leftChars="0" w:firstLine="0" w:firstLineChars="0"/>
                    <w:jc w:val="center"/>
                    <w:rPr>
                      <w:rFonts w:hint="default" w:ascii="Times New Roman" w:hAnsi="Times New Roman" w:eastAsia="宋体" w:cs="Times New Roman"/>
                      <w:color w:val="auto"/>
                      <w:sz w:val="21"/>
                      <w:szCs w:val="21"/>
                      <w:u w:val="none"/>
                      <w:vertAlign w:val="baseline"/>
                      <w:lang w:val="en-US" w:eastAsia="zh-CN"/>
                    </w:rPr>
                  </w:pPr>
                  <w:r>
                    <w:rPr>
                      <w:rFonts w:hint="eastAsia" w:ascii="Times New Roman" w:hAnsi="Times New Roman" w:eastAsia="宋体" w:cs="Times New Roman"/>
                      <w:color w:val="auto"/>
                      <w:sz w:val="21"/>
                      <w:szCs w:val="21"/>
                      <w:u w:val="none"/>
                      <w:vertAlign w:val="baseline"/>
                      <w:lang w:val="en-US" w:eastAsia="zh-CN"/>
                    </w:rPr>
                    <w:t>较敏感</w:t>
                  </w:r>
                </w:p>
              </w:tc>
              <w:tc>
                <w:tcPr>
                  <w:tcW w:w="7901" w:type="dxa"/>
                  <w:tcBorders>
                    <w:tl2br w:val="nil"/>
                    <w:tr2bl w:val="nil"/>
                  </w:tcBorders>
                  <w:noWrap w:val="0"/>
                  <w:vAlign w:val="center"/>
                </w:tcPr>
                <w:p>
                  <w:pPr>
                    <w:ind w:left="0" w:leftChars="0" w:firstLine="0" w:firstLineChars="0"/>
                    <w:jc w:val="center"/>
                    <w:rPr>
                      <w:rFonts w:hint="default" w:ascii="Times New Roman" w:hAnsi="Times New Roman" w:eastAsia="宋体" w:cs="Times New Roman"/>
                      <w:color w:val="auto"/>
                      <w:sz w:val="21"/>
                      <w:szCs w:val="21"/>
                      <w:u w:val="none"/>
                      <w:vertAlign w:val="baseline"/>
                      <w:lang w:val="en-US" w:eastAsia="zh-CN"/>
                    </w:rPr>
                  </w:pPr>
                  <w:r>
                    <w:rPr>
                      <w:rFonts w:hint="eastAsia" w:ascii="Times New Roman" w:hAnsi="Times New Roman" w:eastAsia="宋体" w:cs="Times New Roman"/>
                      <w:color w:val="auto"/>
                      <w:sz w:val="21"/>
                      <w:szCs w:val="21"/>
                      <w:u w:val="none"/>
                      <w:vertAlign w:val="baseline"/>
                      <w:lang w:val="en-US" w:eastAsia="zh-CN"/>
                    </w:rPr>
                    <w:t>集中式饮用水水源（包括已建成的在用、备用、应急水源，在建和规划的饮用水水源）准保护区以外的补给径流区；未规定准保护区的集中水式饮用水水源，其保护区以外的补给径流区；分散式饮用水水源地；特殊地下水资源（如矿泉水、温泉等）保护区以外的分布区等其他未列入上述敏感分级的环境敏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73" w:type="dxa"/>
                  <w:tcBorders>
                    <w:tl2br w:val="nil"/>
                    <w:tr2bl w:val="nil"/>
                  </w:tcBorders>
                  <w:noWrap w:val="0"/>
                  <w:vAlign w:val="center"/>
                </w:tcPr>
                <w:p>
                  <w:pPr>
                    <w:ind w:left="0" w:leftChars="0" w:firstLine="0" w:firstLineChars="0"/>
                    <w:jc w:val="center"/>
                    <w:rPr>
                      <w:rFonts w:hint="default" w:ascii="Times New Roman" w:hAnsi="Times New Roman" w:eastAsia="宋体" w:cs="Times New Roman"/>
                      <w:color w:val="auto"/>
                      <w:sz w:val="21"/>
                      <w:szCs w:val="21"/>
                      <w:u w:val="none"/>
                      <w:vertAlign w:val="baseline"/>
                      <w:lang w:val="en-US" w:eastAsia="zh-CN"/>
                    </w:rPr>
                  </w:pPr>
                  <w:r>
                    <w:rPr>
                      <w:rFonts w:hint="eastAsia" w:ascii="Times New Roman" w:hAnsi="Times New Roman" w:eastAsia="宋体" w:cs="Times New Roman"/>
                      <w:color w:val="auto"/>
                      <w:sz w:val="21"/>
                      <w:szCs w:val="21"/>
                      <w:u w:val="none"/>
                      <w:vertAlign w:val="baseline"/>
                      <w:lang w:val="en-US" w:eastAsia="zh-CN"/>
                    </w:rPr>
                    <w:t>不敏感</w:t>
                  </w:r>
                </w:p>
              </w:tc>
              <w:tc>
                <w:tcPr>
                  <w:tcW w:w="7901" w:type="dxa"/>
                  <w:tcBorders>
                    <w:tl2br w:val="nil"/>
                    <w:tr2bl w:val="nil"/>
                  </w:tcBorders>
                  <w:noWrap w:val="0"/>
                  <w:vAlign w:val="center"/>
                </w:tcPr>
                <w:p>
                  <w:pPr>
                    <w:ind w:left="0" w:leftChars="0" w:firstLine="0" w:firstLineChars="0"/>
                    <w:jc w:val="center"/>
                    <w:rPr>
                      <w:rFonts w:hint="default" w:ascii="Times New Roman" w:hAnsi="Times New Roman" w:eastAsia="宋体" w:cs="Times New Roman"/>
                      <w:color w:val="auto"/>
                      <w:sz w:val="21"/>
                      <w:szCs w:val="21"/>
                      <w:u w:val="none"/>
                      <w:vertAlign w:val="baseline"/>
                      <w:lang w:val="en-US" w:eastAsia="zh-CN"/>
                    </w:rPr>
                  </w:pPr>
                  <w:r>
                    <w:rPr>
                      <w:rFonts w:hint="eastAsia" w:ascii="Times New Roman" w:hAnsi="Times New Roman" w:eastAsia="宋体" w:cs="Times New Roman"/>
                      <w:color w:val="auto"/>
                      <w:sz w:val="21"/>
                      <w:szCs w:val="21"/>
                      <w:u w:val="none"/>
                      <w:vertAlign w:val="baseline"/>
                      <w:lang w:val="en-US" w:eastAsia="zh-CN"/>
                    </w:rPr>
                    <w:t>上述地区之外的其他地区。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074" w:type="dxa"/>
                  <w:gridSpan w:val="2"/>
                  <w:tcBorders>
                    <w:tl2br w:val="nil"/>
                    <w:tr2bl w:val="nil"/>
                  </w:tcBorders>
                  <w:noWrap w:val="0"/>
                  <w:vAlign w:val="center"/>
                </w:tcPr>
                <w:p>
                  <w:pPr>
                    <w:ind w:left="0" w:leftChars="0" w:firstLine="0" w:firstLineChars="0"/>
                    <w:jc w:val="center"/>
                    <w:rPr>
                      <w:rFonts w:hint="default" w:ascii="Times New Roman" w:hAnsi="Times New Roman" w:eastAsia="宋体" w:cs="Times New Roman"/>
                      <w:color w:val="auto"/>
                      <w:sz w:val="21"/>
                      <w:szCs w:val="21"/>
                      <w:u w:val="none"/>
                      <w:vertAlign w:val="baseline"/>
                      <w:lang w:val="en-US" w:eastAsia="zh-CN"/>
                    </w:rPr>
                  </w:pPr>
                  <w:r>
                    <w:rPr>
                      <w:rFonts w:hint="eastAsia" w:ascii="Times New Roman" w:hAnsi="Times New Roman" w:eastAsia="宋体" w:cs="Times New Roman"/>
                      <w:color w:val="auto"/>
                      <w:sz w:val="21"/>
                      <w:szCs w:val="21"/>
                      <w:u w:val="none"/>
                      <w:vertAlign w:val="baseline"/>
                      <w:lang w:val="en-US" w:eastAsia="zh-CN"/>
                    </w:rPr>
                    <w:t>注：a“环境敏感区”指《建设项目环境影响评价分类管理名录》中所界定的涉及地下水的环境敏感区。</w:t>
                  </w:r>
                </w:p>
              </w:tc>
            </w:tr>
          </w:tbl>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firstLine="462" w:firstLineChars="200"/>
              <w:jc w:val="left"/>
              <w:textAlignment w:val="auto"/>
              <w:rPr>
                <w:rFonts w:hint="default" w:ascii="Times New Roman" w:hAnsi="Times New Roman" w:cs="Times New Roman"/>
                <w:color w:val="auto"/>
                <w:sz w:val="24"/>
                <w:u w:val="none"/>
              </w:rPr>
            </w:pPr>
            <w:r>
              <w:rPr>
                <w:rFonts w:hint="default" w:ascii="Times New Roman" w:hAnsi="Times New Roman" w:cs="Times New Roman"/>
                <w:color w:val="auto"/>
                <w:sz w:val="24"/>
                <w:u w:val="none"/>
              </w:rPr>
              <w:t>根据现场调查，区域内分布有村民水井，项目的地下水环境敏感程度为较敏感。</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firstLine="462" w:firstLineChars="200"/>
              <w:jc w:val="left"/>
              <w:textAlignment w:val="auto"/>
              <w:rPr>
                <w:rFonts w:hint="default" w:ascii="Times New Roman" w:hAnsi="Times New Roman" w:cs="Times New Roman"/>
                <w:bCs/>
                <w:color w:val="auto"/>
                <w:spacing w:val="4"/>
                <w:sz w:val="24"/>
                <w:u w:val="none"/>
              </w:rPr>
            </w:pPr>
            <w:r>
              <w:rPr>
                <w:rFonts w:hint="default" w:ascii="Times New Roman" w:hAnsi="Times New Roman" w:cs="Times New Roman"/>
                <w:color w:val="auto"/>
                <w:sz w:val="24"/>
                <w:u w:val="none"/>
              </w:rPr>
              <w:t>根据《环境影响评价技术导则  地下水环境》（HJ610- 2016）中关于地下水环境影响评价工作等级分级表，详见表</w:t>
            </w:r>
            <w:r>
              <w:rPr>
                <w:rFonts w:hint="eastAsia" w:ascii="Times New Roman" w:hAnsi="Times New Roman" w:cs="Times New Roman"/>
                <w:color w:val="auto"/>
                <w:sz w:val="24"/>
                <w:u w:val="none"/>
                <w:lang w:val="en-US" w:eastAsia="zh-CN"/>
              </w:rPr>
              <w:t>7-</w:t>
            </w:r>
            <w:r>
              <w:rPr>
                <w:rFonts w:hint="eastAsia" w:cs="Times New Roman"/>
                <w:color w:val="auto"/>
                <w:sz w:val="24"/>
                <w:u w:val="none"/>
                <w:lang w:val="en-US" w:eastAsia="zh-CN"/>
              </w:rPr>
              <w:t>23</w:t>
            </w:r>
            <w:r>
              <w:rPr>
                <w:rFonts w:hint="default" w:ascii="Times New Roman" w:hAnsi="Times New Roman" w:cs="Times New Roman"/>
                <w:color w:val="auto"/>
                <w:sz w:val="24"/>
                <w:u w:val="none"/>
              </w:rPr>
              <w:t>。</w:t>
            </w:r>
          </w:p>
          <w:p>
            <w:pPr>
              <w:ind w:firstLine="422"/>
              <w:jc w:val="center"/>
              <w:rPr>
                <w:rFonts w:hint="default" w:ascii="Times New Roman" w:hAnsi="Times New Roman" w:cs="Times New Roman"/>
                <w:b/>
                <w:color w:val="auto"/>
                <w:szCs w:val="21"/>
                <w:u w:val="none"/>
              </w:rPr>
            </w:pPr>
            <w:r>
              <w:rPr>
                <w:rFonts w:hint="default" w:ascii="Times New Roman" w:hAnsi="Times New Roman" w:cs="Times New Roman"/>
                <w:b/>
                <w:color w:val="auto"/>
                <w:szCs w:val="21"/>
                <w:u w:val="none"/>
                <w:lang w:val="en-US" w:eastAsia="zh-CN"/>
              </w:rPr>
              <w:t>表</w:t>
            </w:r>
            <w:r>
              <w:rPr>
                <w:rFonts w:hint="eastAsia" w:ascii="Times New Roman" w:hAnsi="Times New Roman" w:cs="Times New Roman"/>
                <w:b/>
                <w:color w:val="auto"/>
                <w:szCs w:val="21"/>
                <w:u w:val="none"/>
                <w:lang w:val="en-US" w:eastAsia="zh-CN"/>
              </w:rPr>
              <w:t>7-2</w:t>
            </w:r>
            <w:r>
              <w:rPr>
                <w:rFonts w:hint="eastAsia" w:cs="Times New Roman"/>
                <w:b/>
                <w:color w:val="auto"/>
                <w:szCs w:val="21"/>
                <w:u w:val="none"/>
                <w:lang w:val="en-US" w:eastAsia="zh-CN"/>
              </w:rPr>
              <w:t>3</w:t>
            </w:r>
            <w:r>
              <w:rPr>
                <w:rFonts w:hint="default" w:ascii="Times New Roman" w:hAnsi="Times New Roman" w:cs="Times New Roman"/>
                <w:b/>
                <w:color w:val="auto"/>
                <w:szCs w:val="21"/>
                <w:u w:val="none"/>
              </w:rPr>
              <w:t xml:space="preserve">   地下水评价工作等级表</w:t>
            </w:r>
          </w:p>
          <w:tbl>
            <w:tblPr>
              <w:tblStyle w:val="27"/>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456"/>
              <w:gridCol w:w="1634"/>
              <w:gridCol w:w="1990"/>
              <w:gridCol w:w="19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2456" w:type="dxa"/>
                  <w:tcBorders>
                    <w:top w:val="single" w:color="000000" w:sz="12" w:space="0"/>
                    <w:left w:val="single" w:color="000000" w:sz="12" w:space="0"/>
                    <w:bottom w:val="single" w:color="000000" w:sz="6" w:space="0"/>
                    <w:right w:val="single" w:color="000000" w:sz="6" w:space="0"/>
                    <w:tl2br w:val="single" w:color="000000" w:sz="6"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项目类别</w:t>
                  </w:r>
                </w:p>
                <w:p>
                  <w:pPr>
                    <w:pStyle w:val="81"/>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环境敏感程度</w:t>
                  </w:r>
                </w:p>
              </w:tc>
              <w:tc>
                <w:tcPr>
                  <w:tcW w:w="1634" w:type="dxa"/>
                  <w:tcBorders>
                    <w:top w:val="single" w:color="000000" w:sz="12" w:space="0"/>
                    <w:left w:val="single" w:color="000000" w:sz="6" w:space="0"/>
                    <w:bottom w:val="single" w:color="000000" w:sz="6" w:space="0"/>
                    <w:right w:val="single" w:color="000000" w:sz="6"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Ⅰ</w:t>
                  </w:r>
                </w:p>
              </w:tc>
              <w:tc>
                <w:tcPr>
                  <w:tcW w:w="1990" w:type="dxa"/>
                  <w:tcBorders>
                    <w:top w:val="single" w:color="000000" w:sz="12" w:space="0"/>
                    <w:left w:val="single" w:color="000000" w:sz="6" w:space="0"/>
                    <w:bottom w:val="single" w:color="000000" w:sz="6" w:space="0"/>
                    <w:right w:val="single" w:color="000000" w:sz="6"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Ⅱ</w:t>
                  </w:r>
                </w:p>
              </w:tc>
              <w:tc>
                <w:tcPr>
                  <w:tcW w:w="1900" w:type="dxa"/>
                  <w:tcBorders>
                    <w:top w:val="single" w:color="000000" w:sz="12" w:space="0"/>
                    <w:left w:val="single" w:color="000000" w:sz="6" w:space="0"/>
                    <w:bottom w:val="single" w:color="000000" w:sz="6" w:space="0"/>
                    <w:right w:val="single" w:color="000000" w:sz="12"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Ⅲ</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2456" w:type="dxa"/>
                  <w:tcBorders>
                    <w:top w:val="single" w:color="000000" w:sz="6" w:space="0"/>
                    <w:left w:val="single" w:color="000000" w:sz="12" w:space="0"/>
                    <w:bottom w:val="single" w:color="000000" w:sz="6" w:space="0"/>
                    <w:right w:val="single" w:color="000000" w:sz="6"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敏感</w:t>
                  </w:r>
                </w:p>
              </w:tc>
              <w:tc>
                <w:tcPr>
                  <w:tcW w:w="1634" w:type="dxa"/>
                  <w:tcBorders>
                    <w:top w:val="single" w:color="000000" w:sz="6" w:space="0"/>
                    <w:left w:val="single" w:color="000000" w:sz="6" w:space="0"/>
                    <w:bottom w:val="single" w:color="000000" w:sz="6" w:space="0"/>
                    <w:right w:val="single" w:color="000000" w:sz="6"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一</w:t>
                  </w:r>
                </w:p>
              </w:tc>
              <w:tc>
                <w:tcPr>
                  <w:tcW w:w="1990" w:type="dxa"/>
                  <w:tcBorders>
                    <w:top w:val="single" w:color="000000" w:sz="6" w:space="0"/>
                    <w:left w:val="single" w:color="000000" w:sz="6" w:space="0"/>
                    <w:bottom w:val="single" w:color="000000" w:sz="6" w:space="0"/>
                    <w:right w:val="single" w:color="000000" w:sz="6"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一</w:t>
                  </w:r>
                </w:p>
              </w:tc>
              <w:tc>
                <w:tcPr>
                  <w:tcW w:w="1900" w:type="dxa"/>
                  <w:tcBorders>
                    <w:top w:val="single" w:color="000000" w:sz="6" w:space="0"/>
                    <w:left w:val="single" w:color="000000" w:sz="6" w:space="0"/>
                    <w:bottom w:val="single" w:color="000000" w:sz="6" w:space="0"/>
                    <w:right w:val="single" w:color="000000" w:sz="12"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2456" w:type="dxa"/>
                  <w:tcBorders>
                    <w:top w:val="single" w:color="000000" w:sz="6" w:space="0"/>
                    <w:left w:val="single" w:color="000000" w:sz="12" w:space="0"/>
                    <w:bottom w:val="single" w:color="000000" w:sz="6" w:space="0"/>
                    <w:right w:val="single" w:color="000000" w:sz="6"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较敏感</w:t>
                  </w:r>
                </w:p>
              </w:tc>
              <w:tc>
                <w:tcPr>
                  <w:tcW w:w="1634" w:type="dxa"/>
                  <w:tcBorders>
                    <w:top w:val="single" w:color="000000" w:sz="6" w:space="0"/>
                    <w:left w:val="single" w:color="000000" w:sz="6" w:space="0"/>
                    <w:bottom w:val="single" w:color="000000" w:sz="6" w:space="0"/>
                    <w:right w:val="single" w:color="000000" w:sz="6"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一</w:t>
                  </w:r>
                </w:p>
              </w:tc>
              <w:tc>
                <w:tcPr>
                  <w:tcW w:w="1990" w:type="dxa"/>
                  <w:tcBorders>
                    <w:top w:val="single" w:color="000000" w:sz="6" w:space="0"/>
                    <w:left w:val="single" w:color="000000" w:sz="6" w:space="0"/>
                    <w:bottom w:val="single" w:color="000000" w:sz="6" w:space="0"/>
                    <w:right w:val="single" w:color="000000" w:sz="6"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二</w:t>
                  </w:r>
                </w:p>
              </w:tc>
              <w:tc>
                <w:tcPr>
                  <w:tcW w:w="1900" w:type="dxa"/>
                  <w:tcBorders>
                    <w:top w:val="single" w:color="000000" w:sz="6" w:space="0"/>
                    <w:left w:val="single" w:color="000000" w:sz="6" w:space="0"/>
                    <w:bottom w:val="single" w:color="000000" w:sz="6" w:space="0"/>
                    <w:right w:val="single" w:color="000000" w:sz="12"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2456" w:type="dxa"/>
                  <w:tcBorders>
                    <w:top w:val="single" w:color="000000" w:sz="6" w:space="0"/>
                    <w:left w:val="single" w:color="000000" w:sz="12" w:space="0"/>
                    <w:bottom w:val="single" w:color="000000" w:sz="12" w:space="0"/>
                    <w:right w:val="single" w:color="000000" w:sz="6"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不敏感</w:t>
                  </w:r>
                </w:p>
              </w:tc>
              <w:tc>
                <w:tcPr>
                  <w:tcW w:w="1634" w:type="dxa"/>
                  <w:tcBorders>
                    <w:top w:val="single" w:color="000000" w:sz="6" w:space="0"/>
                    <w:left w:val="single" w:color="000000" w:sz="6" w:space="0"/>
                    <w:bottom w:val="single" w:color="000000" w:sz="12" w:space="0"/>
                    <w:right w:val="single" w:color="000000" w:sz="6"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二</w:t>
                  </w:r>
                </w:p>
              </w:tc>
              <w:tc>
                <w:tcPr>
                  <w:tcW w:w="1990" w:type="dxa"/>
                  <w:tcBorders>
                    <w:top w:val="single" w:color="000000" w:sz="6" w:space="0"/>
                    <w:left w:val="single" w:color="000000" w:sz="6" w:space="0"/>
                    <w:bottom w:val="single" w:color="000000" w:sz="12" w:space="0"/>
                    <w:right w:val="single" w:color="000000" w:sz="6"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三</w:t>
                  </w:r>
                </w:p>
              </w:tc>
              <w:tc>
                <w:tcPr>
                  <w:tcW w:w="1900" w:type="dxa"/>
                  <w:tcBorders>
                    <w:top w:val="single" w:color="000000" w:sz="6" w:space="0"/>
                    <w:left w:val="single" w:color="000000" w:sz="6" w:space="0"/>
                    <w:bottom w:val="single" w:color="000000" w:sz="12" w:space="0"/>
                    <w:right w:val="single" w:color="000000" w:sz="12"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三</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2"/>
                <w:u w:val="none"/>
              </w:rPr>
              <w:t>综上分析，本项目为</w:t>
            </w:r>
            <w:r>
              <w:rPr>
                <w:rFonts w:hint="default" w:ascii="Times New Roman" w:hAnsi="Times New Roman" w:cs="Times New Roman"/>
                <w:color w:val="auto"/>
                <w:sz w:val="24"/>
                <w:u w:val="none"/>
              </w:rPr>
              <w:t>Ⅲ</w:t>
            </w:r>
            <w:r>
              <w:rPr>
                <w:rFonts w:hint="default" w:ascii="Times New Roman" w:hAnsi="Times New Roman" w:cs="Times New Roman"/>
                <w:color w:val="auto"/>
                <w:sz w:val="24"/>
                <w:szCs w:val="22"/>
                <w:u w:val="none"/>
              </w:rPr>
              <w:t>类项目，环境敏感程度为较敏感，故最终确定本项目的地下水评价等级为三级</w:t>
            </w:r>
            <w:r>
              <w:rPr>
                <w:rFonts w:hint="eastAsia" w:ascii="Times New Roman" w:hAnsi="Times New Roman" w:cs="Times New Roman"/>
                <w:color w:val="auto"/>
                <w:sz w:val="24"/>
                <w:szCs w:val="24"/>
                <w:u w:val="none"/>
                <w:lang w:eastAsia="zh-CN"/>
              </w:rPr>
              <w:t>，</w:t>
            </w:r>
            <w:r>
              <w:rPr>
                <w:rFonts w:hint="default" w:ascii="Times New Roman" w:hAnsi="Times New Roman" w:cs="Times New Roman"/>
                <w:color w:val="auto"/>
                <w:sz w:val="24"/>
                <w:szCs w:val="24"/>
                <w:highlight w:val="none"/>
                <w:u w:val="none"/>
              </w:rPr>
              <w:t>评价范围为项目区周边6km</w:t>
            </w:r>
            <w:r>
              <w:rPr>
                <w:rFonts w:hint="default" w:ascii="Times New Roman" w:hAnsi="Times New Roman" w:cs="Times New Roman"/>
                <w:color w:val="auto"/>
                <w:sz w:val="24"/>
                <w:szCs w:val="24"/>
                <w:highlight w:val="none"/>
                <w:u w:val="none"/>
                <w:vertAlign w:val="superscript"/>
              </w:rPr>
              <w:t>2</w:t>
            </w:r>
            <w:r>
              <w:rPr>
                <w:rFonts w:hint="default" w:ascii="Times New Roman" w:hAnsi="Times New Roman" w:cs="Times New Roman"/>
                <w:color w:val="auto"/>
                <w:sz w:val="24"/>
                <w:szCs w:val="24"/>
                <w:highlight w:val="none"/>
                <w:u w:val="none"/>
              </w:rPr>
              <w:t>范围。</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2、地下水环境影响及防治措施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ascii="Times New Roman" w:hAnsi="Times New Roman" w:eastAsia="宋体" w:cs="Times New Roman"/>
                <w:color w:val="auto"/>
                <w:sz w:val="24"/>
                <w:szCs w:val="24"/>
                <w:u w:val="none"/>
              </w:rPr>
            </w:pPr>
            <w:r>
              <w:rPr>
                <w:rFonts w:ascii="Times New Roman" w:hAnsi="Times New Roman" w:eastAsia="宋体" w:cs="Times New Roman"/>
                <w:color w:val="auto"/>
                <w:sz w:val="24"/>
                <w:szCs w:val="24"/>
                <w:u w:val="none"/>
              </w:rPr>
              <w:t>本项目</w:t>
            </w:r>
            <w:r>
              <w:rPr>
                <w:rFonts w:hint="eastAsia" w:ascii="Times New Roman" w:hAnsi="Times New Roman" w:eastAsia="宋体" w:cs="Times New Roman"/>
                <w:color w:val="auto"/>
                <w:sz w:val="24"/>
                <w:szCs w:val="24"/>
                <w:u w:val="none"/>
              </w:rPr>
              <w:t>的</w:t>
            </w:r>
            <w:r>
              <w:rPr>
                <w:rFonts w:ascii="Times New Roman" w:hAnsi="Times New Roman" w:eastAsia="宋体" w:cs="Times New Roman"/>
                <w:color w:val="auto"/>
                <w:sz w:val="24"/>
                <w:szCs w:val="24"/>
                <w:u w:val="none"/>
              </w:rPr>
              <w:t>建设仅有可能对地下水的水质造成一定影响。污染</w:t>
            </w:r>
            <w:r>
              <w:rPr>
                <w:rFonts w:hint="eastAsia" w:ascii="Times New Roman" w:hAnsi="Times New Roman" w:eastAsia="宋体" w:cs="Times New Roman"/>
                <w:color w:val="auto"/>
                <w:sz w:val="24"/>
                <w:szCs w:val="24"/>
                <w:u w:val="none"/>
              </w:rPr>
              <w:t>的</w:t>
            </w:r>
            <w:r>
              <w:rPr>
                <w:rFonts w:ascii="Times New Roman" w:hAnsi="Times New Roman" w:eastAsia="宋体" w:cs="Times New Roman"/>
                <w:color w:val="auto"/>
                <w:sz w:val="24"/>
                <w:szCs w:val="24"/>
                <w:u w:val="none"/>
              </w:rPr>
              <w:t>途径主要为各污水处理构筑物及其输送管道</w:t>
            </w:r>
            <w:r>
              <w:rPr>
                <w:rFonts w:hint="eastAsia" w:ascii="Times New Roman" w:hAnsi="Times New Roman" w:eastAsia="宋体" w:cs="Times New Roman"/>
                <w:color w:val="auto"/>
                <w:sz w:val="24"/>
                <w:szCs w:val="24"/>
                <w:u w:val="none"/>
              </w:rPr>
              <w:t>。</w:t>
            </w:r>
            <w:r>
              <w:rPr>
                <w:rFonts w:ascii="Times New Roman" w:hAnsi="Times New Roman" w:eastAsia="宋体" w:cs="Times New Roman"/>
                <w:color w:val="auto"/>
                <w:sz w:val="24"/>
                <w:szCs w:val="24"/>
                <w:u w:val="none"/>
              </w:rPr>
              <w:t>为</w:t>
            </w:r>
            <w:r>
              <w:rPr>
                <w:rFonts w:hint="eastAsia" w:ascii="Times New Roman" w:hAnsi="Times New Roman" w:eastAsia="宋体" w:cs="Times New Roman"/>
                <w:color w:val="auto"/>
                <w:sz w:val="24"/>
                <w:szCs w:val="24"/>
                <w:u w:val="none"/>
              </w:rPr>
              <w:t>防止</w:t>
            </w:r>
            <w:r>
              <w:rPr>
                <w:rFonts w:ascii="Times New Roman" w:hAnsi="Times New Roman" w:eastAsia="宋体" w:cs="Times New Roman"/>
                <w:color w:val="auto"/>
                <w:sz w:val="24"/>
                <w:szCs w:val="24"/>
                <w:u w:val="none"/>
              </w:rPr>
              <w:t>污水处理厂运行过程中</w:t>
            </w:r>
            <w:r>
              <w:rPr>
                <w:rFonts w:hint="eastAsia" w:ascii="Times New Roman" w:hAnsi="Times New Roman" w:eastAsia="宋体" w:cs="Times New Roman"/>
                <w:color w:val="auto"/>
                <w:sz w:val="24"/>
                <w:szCs w:val="24"/>
                <w:u w:val="none"/>
                <w:lang w:eastAsia="zh-CN"/>
              </w:rPr>
              <w:t>对</w:t>
            </w:r>
            <w:r>
              <w:rPr>
                <w:rFonts w:ascii="Times New Roman" w:hAnsi="Times New Roman" w:eastAsia="宋体" w:cs="Times New Roman"/>
                <w:color w:val="auto"/>
                <w:sz w:val="24"/>
                <w:szCs w:val="24"/>
                <w:u w:val="none"/>
              </w:rPr>
              <w:t>地下水的污染</w:t>
            </w:r>
            <w:r>
              <w:rPr>
                <w:rFonts w:hint="eastAsia" w:ascii="Times New Roman" w:hAnsi="Times New Roman" w:eastAsia="宋体" w:cs="Times New Roman"/>
                <w:color w:val="auto"/>
                <w:sz w:val="24"/>
                <w:szCs w:val="24"/>
                <w:u w:val="none"/>
              </w:rPr>
              <w:t>，环评</w:t>
            </w:r>
            <w:r>
              <w:rPr>
                <w:rFonts w:hint="eastAsia" w:cs="Times New Roman"/>
                <w:color w:val="auto"/>
                <w:sz w:val="24"/>
                <w:szCs w:val="24"/>
                <w:u w:val="none"/>
                <w:lang w:eastAsia="zh-CN"/>
              </w:rPr>
              <w:t>要求</w:t>
            </w:r>
            <w:r>
              <w:rPr>
                <w:rFonts w:ascii="Times New Roman" w:hAnsi="Times New Roman" w:eastAsia="宋体" w:cs="Times New Roman"/>
                <w:color w:val="auto"/>
                <w:sz w:val="24"/>
                <w:szCs w:val="24"/>
                <w:u w:val="none"/>
              </w:rPr>
              <w:t>建设</w:t>
            </w:r>
            <w:r>
              <w:rPr>
                <w:rFonts w:hint="eastAsia" w:ascii="Times New Roman" w:hAnsi="Times New Roman" w:eastAsia="宋体" w:cs="Times New Roman"/>
                <w:color w:val="auto"/>
                <w:sz w:val="24"/>
                <w:szCs w:val="24"/>
                <w:u w:val="none"/>
              </w:rPr>
              <w:t>单位</w:t>
            </w:r>
            <w:r>
              <w:rPr>
                <w:rFonts w:ascii="Times New Roman" w:hAnsi="Times New Roman" w:eastAsia="宋体" w:cs="Times New Roman"/>
                <w:color w:val="auto"/>
                <w:sz w:val="24"/>
                <w:szCs w:val="24"/>
                <w:u w:val="none"/>
              </w:rPr>
              <w:t>在建设过程中，</w:t>
            </w:r>
            <w:r>
              <w:rPr>
                <w:rFonts w:hint="eastAsia" w:ascii="Times New Roman" w:hAnsi="Times New Roman" w:eastAsia="宋体" w:cs="Times New Roman"/>
                <w:color w:val="auto"/>
                <w:sz w:val="24"/>
                <w:szCs w:val="24"/>
                <w:u w:val="none"/>
              </w:rPr>
              <w:t>采取</w:t>
            </w:r>
            <w:r>
              <w:rPr>
                <w:rFonts w:ascii="Times New Roman" w:hAnsi="Times New Roman" w:eastAsia="宋体" w:cs="Times New Roman"/>
                <w:color w:val="auto"/>
                <w:sz w:val="24"/>
                <w:szCs w:val="24"/>
                <w:u w:val="none"/>
              </w:rPr>
              <w:t>分区防渗的措施，将</w:t>
            </w:r>
            <w:r>
              <w:rPr>
                <w:rFonts w:hint="eastAsia" w:ascii="Times New Roman" w:hAnsi="Times New Roman" w:eastAsia="宋体" w:cs="Times New Roman"/>
                <w:color w:val="auto"/>
                <w:sz w:val="24"/>
                <w:szCs w:val="24"/>
                <w:u w:val="none"/>
              </w:rPr>
              <w:t>全厂构（建）筑物</w:t>
            </w:r>
            <w:r>
              <w:rPr>
                <w:rFonts w:ascii="Times New Roman" w:hAnsi="Times New Roman" w:eastAsia="宋体" w:cs="Times New Roman"/>
                <w:color w:val="auto"/>
                <w:sz w:val="24"/>
                <w:szCs w:val="24"/>
                <w:u w:val="none"/>
              </w:rPr>
              <w:t>划分为</w:t>
            </w:r>
            <w:r>
              <w:rPr>
                <w:rFonts w:hint="eastAsia" w:ascii="Times New Roman" w:hAnsi="Times New Roman" w:eastAsia="宋体" w:cs="Times New Roman"/>
                <w:color w:val="auto"/>
                <w:sz w:val="24"/>
                <w:szCs w:val="24"/>
                <w:u w:val="none"/>
              </w:rPr>
              <w:t>重点</w:t>
            </w:r>
            <w:r>
              <w:rPr>
                <w:rFonts w:ascii="Times New Roman" w:hAnsi="Times New Roman" w:eastAsia="宋体" w:cs="Times New Roman"/>
                <w:color w:val="auto"/>
                <w:sz w:val="24"/>
                <w:szCs w:val="24"/>
                <w:u w:val="none"/>
              </w:rPr>
              <w:t>防渗</w:t>
            </w:r>
            <w:r>
              <w:rPr>
                <w:rFonts w:hint="eastAsia" w:ascii="Times New Roman" w:hAnsi="Times New Roman" w:eastAsia="宋体" w:cs="Times New Roman"/>
                <w:color w:val="auto"/>
                <w:sz w:val="24"/>
                <w:szCs w:val="24"/>
                <w:u w:val="none"/>
              </w:rPr>
              <w:t>区、一般防渗区以及简单</w:t>
            </w:r>
            <w:r>
              <w:rPr>
                <w:rFonts w:ascii="Times New Roman" w:hAnsi="Times New Roman" w:eastAsia="宋体" w:cs="Times New Roman"/>
                <w:color w:val="auto"/>
                <w:sz w:val="24"/>
                <w:szCs w:val="24"/>
                <w:u w:val="none"/>
              </w:rPr>
              <w:t>防渗区</w:t>
            </w:r>
            <w:r>
              <w:rPr>
                <w:rFonts w:hint="eastAsia" w:ascii="Times New Roman" w:hAnsi="Times New Roman" w:eastAsia="宋体" w:cs="Times New Roman"/>
                <w:color w:val="auto"/>
                <w:sz w:val="24"/>
                <w:szCs w:val="24"/>
                <w:u w:val="none"/>
              </w:rPr>
              <w:t>。重点</w:t>
            </w:r>
            <w:r>
              <w:rPr>
                <w:rFonts w:ascii="Times New Roman" w:hAnsi="Times New Roman" w:eastAsia="宋体" w:cs="Times New Roman"/>
                <w:color w:val="auto"/>
                <w:sz w:val="24"/>
                <w:szCs w:val="24"/>
                <w:u w:val="none"/>
              </w:rPr>
              <w:t>防渗</w:t>
            </w:r>
            <w:r>
              <w:rPr>
                <w:rFonts w:hint="eastAsia" w:ascii="Times New Roman" w:hAnsi="Times New Roman" w:eastAsia="宋体" w:cs="Times New Roman"/>
                <w:color w:val="auto"/>
                <w:sz w:val="24"/>
                <w:szCs w:val="24"/>
                <w:u w:val="none"/>
              </w:rPr>
              <w:t>区</w:t>
            </w:r>
            <w:r>
              <w:rPr>
                <w:rFonts w:ascii="Times New Roman" w:hAnsi="Times New Roman" w:eastAsia="宋体" w:cs="Times New Roman"/>
                <w:color w:val="auto"/>
                <w:sz w:val="24"/>
                <w:szCs w:val="24"/>
                <w:u w:val="none"/>
              </w:rPr>
              <w:t>主要为格栅</w:t>
            </w:r>
            <w:r>
              <w:rPr>
                <w:rFonts w:hint="eastAsia" w:cs="Times New Roman"/>
                <w:color w:val="auto"/>
                <w:sz w:val="24"/>
                <w:szCs w:val="24"/>
                <w:u w:val="none"/>
                <w:lang w:eastAsia="zh-CN"/>
              </w:rPr>
              <w:t>渠</w:t>
            </w:r>
            <w:r>
              <w:rPr>
                <w:rFonts w:ascii="Times New Roman" w:hAnsi="Times New Roman" w:eastAsia="宋体" w:cs="Times New Roman"/>
                <w:color w:val="auto"/>
                <w:sz w:val="24"/>
                <w:szCs w:val="24"/>
                <w:u w:val="none"/>
              </w:rPr>
              <w:t>、</w:t>
            </w:r>
            <w:r>
              <w:rPr>
                <w:rFonts w:hint="eastAsia" w:ascii="Times New Roman" w:hAnsi="Times New Roman" w:eastAsia="宋体" w:cs="Times New Roman"/>
                <w:color w:val="auto"/>
                <w:sz w:val="24"/>
                <w:szCs w:val="24"/>
                <w:u w:val="none"/>
                <w:lang w:eastAsia="zh-CN"/>
              </w:rPr>
              <w:t>调节池</w:t>
            </w:r>
            <w:r>
              <w:rPr>
                <w:rFonts w:hint="eastAsia" w:ascii="Times New Roman" w:hAnsi="Times New Roman" w:eastAsia="宋体" w:cs="Times New Roman"/>
                <w:color w:val="auto"/>
                <w:sz w:val="24"/>
                <w:szCs w:val="24"/>
                <w:u w:val="none"/>
              </w:rPr>
              <w:t>、</w:t>
            </w:r>
            <w:r>
              <w:rPr>
                <w:rFonts w:hint="eastAsia" w:cs="Times New Roman"/>
                <w:color w:val="auto"/>
                <w:sz w:val="24"/>
                <w:szCs w:val="24"/>
                <w:u w:val="none"/>
                <w:lang w:eastAsia="zh-CN"/>
              </w:rPr>
              <w:t>储泥池、沉淀池</w:t>
            </w:r>
            <w:r>
              <w:rPr>
                <w:rFonts w:hint="eastAsia" w:ascii="Times New Roman" w:hAnsi="Times New Roman" w:eastAsia="宋体" w:cs="Times New Roman"/>
                <w:color w:val="auto"/>
                <w:sz w:val="24"/>
                <w:szCs w:val="24"/>
                <w:u w:val="none"/>
              </w:rPr>
              <w:t>等</w:t>
            </w:r>
            <w:r>
              <w:rPr>
                <w:rFonts w:ascii="Times New Roman" w:hAnsi="Times New Roman" w:eastAsia="宋体" w:cs="Times New Roman"/>
                <w:color w:val="auto"/>
                <w:sz w:val="24"/>
                <w:szCs w:val="24"/>
                <w:u w:val="none"/>
              </w:rPr>
              <w:t>，</w:t>
            </w:r>
            <w:r>
              <w:rPr>
                <w:rFonts w:hint="eastAsia" w:ascii="Times New Roman" w:hAnsi="Times New Roman" w:eastAsia="宋体" w:cs="Times New Roman"/>
                <w:color w:val="auto"/>
                <w:sz w:val="24"/>
                <w:szCs w:val="24"/>
                <w:u w:val="none"/>
              </w:rPr>
              <w:t>一般防渗区主要为办公楼、</w:t>
            </w:r>
            <w:r>
              <w:rPr>
                <w:rFonts w:hint="eastAsia" w:ascii="Times New Roman" w:hAnsi="Times New Roman" w:eastAsia="宋体" w:cs="Times New Roman"/>
                <w:color w:val="auto"/>
                <w:sz w:val="24"/>
                <w:szCs w:val="24"/>
                <w:u w:val="none"/>
                <w:lang w:eastAsia="zh-CN"/>
              </w:rPr>
              <w:t>排放池</w:t>
            </w:r>
            <w:r>
              <w:rPr>
                <w:rFonts w:hint="eastAsia" w:ascii="Times New Roman" w:hAnsi="Times New Roman" w:eastAsia="宋体" w:cs="Times New Roman"/>
                <w:color w:val="auto"/>
                <w:sz w:val="24"/>
                <w:szCs w:val="24"/>
                <w:u w:val="none"/>
              </w:rPr>
              <w:t>及仓库，简单防渗区主要为厂区绿化。防渗</w:t>
            </w:r>
            <w:r>
              <w:rPr>
                <w:rFonts w:ascii="Times New Roman" w:hAnsi="Times New Roman" w:eastAsia="宋体" w:cs="Times New Roman"/>
                <w:color w:val="auto"/>
                <w:sz w:val="24"/>
                <w:szCs w:val="24"/>
                <w:u w:val="none"/>
              </w:rPr>
              <w:t>要求</w:t>
            </w:r>
            <w:r>
              <w:rPr>
                <w:rFonts w:hint="eastAsia" w:ascii="Times New Roman" w:hAnsi="Times New Roman" w:eastAsia="宋体" w:cs="Times New Roman"/>
                <w:color w:val="auto"/>
                <w:sz w:val="24"/>
                <w:szCs w:val="24"/>
                <w:u w:val="none"/>
              </w:rPr>
              <w:t>参照</w:t>
            </w:r>
            <w:r>
              <w:rPr>
                <w:rFonts w:ascii="Times New Roman" w:hAnsi="Times New Roman" w:eastAsia="宋体" w:cs="Times New Roman"/>
                <w:color w:val="auto"/>
                <w:sz w:val="24"/>
                <w:szCs w:val="24"/>
                <w:u w:val="none"/>
              </w:rPr>
              <w:t>《</w:t>
            </w:r>
            <w:r>
              <w:rPr>
                <w:rFonts w:hint="eastAsia" w:ascii="Times New Roman" w:hAnsi="Times New Roman" w:eastAsia="宋体" w:cs="Times New Roman"/>
                <w:color w:val="auto"/>
                <w:sz w:val="24"/>
                <w:szCs w:val="24"/>
                <w:u w:val="none"/>
              </w:rPr>
              <w:t>环境</w:t>
            </w:r>
            <w:r>
              <w:rPr>
                <w:rFonts w:ascii="Times New Roman" w:hAnsi="Times New Roman" w:eastAsia="宋体" w:cs="Times New Roman"/>
                <w:color w:val="auto"/>
                <w:sz w:val="24"/>
                <w:szCs w:val="24"/>
                <w:u w:val="none"/>
              </w:rPr>
              <w:t>影响评价技术导则</w:t>
            </w:r>
            <w:r>
              <w:rPr>
                <w:rFonts w:hint="eastAsia" w:ascii="Times New Roman" w:hAnsi="Times New Roman" w:eastAsia="宋体" w:cs="Times New Roman"/>
                <w:color w:val="auto"/>
                <w:sz w:val="24"/>
                <w:szCs w:val="24"/>
                <w:u w:val="none"/>
              </w:rPr>
              <w:t xml:space="preserve"> 地下</w:t>
            </w:r>
            <w:r>
              <w:rPr>
                <w:rFonts w:ascii="Times New Roman" w:hAnsi="Times New Roman" w:eastAsia="宋体" w:cs="Times New Roman"/>
                <w:color w:val="auto"/>
                <w:sz w:val="24"/>
                <w:szCs w:val="24"/>
                <w:u w:val="none"/>
              </w:rPr>
              <w:t>水环境》</w:t>
            </w:r>
            <w:r>
              <w:rPr>
                <w:rFonts w:hint="eastAsia" w:ascii="Times New Roman" w:hAnsi="Times New Roman" w:eastAsia="宋体" w:cs="Times New Roman"/>
                <w:color w:val="auto"/>
                <w:sz w:val="24"/>
                <w:szCs w:val="24"/>
                <w:u w:val="none"/>
              </w:rPr>
              <w:t>（HJ610-2016）中相应的</w:t>
            </w:r>
            <w:r>
              <w:rPr>
                <w:rFonts w:ascii="Times New Roman" w:hAnsi="Times New Roman" w:eastAsia="宋体" w:cs="Times New Roman"/>
                <w:color w:val="auto"/>
                <w:sz w:val="24"/>
                <w:szCs w:val="24"/>
                <w:u w:val="none"/>
              </w:rPr>
              <w:t>防渗技术</w:t>
            </w:r>
            <w:r>
              <w:rPr>
                <w:rFonts w:hint="eastAsia" w:ascii="Times New Roman" w:hAnsi="Times New Roman" w:eastAsia="宋体" w:cs="Times New Roman"/>
                <w:color w:val="auto"/>
                <w:sz w:val="24"/>
                <w:szCs w:val="24"/>
                <w:u w:val="none"/>
              </w:rPr>
              <w:t>要求</w:t>
            </w:r>
            <w:r>
              <w:rPr>
                <w:rFonts w:hint="eastAsia" w:cs="Times New Roman"/>
                <w:color w:val="auto"/>
                <w:sz w:val="24"/>
                <w:szCs w:val="24"/>
                <w:u w:val="none"/>
                <w:lang w:eastAsia="zh-CN"/>
              </w:rPr>
              <w:t>。</w:t>
            </w:r>
            <w:r>
              <w:rPr>
                <w:rFonts w:ascii="Times New Roman" w:hAnsi="Times New Roman" w:eastAsia="宋体" w:cs="Times New Roman"/>
                <w:color w:val="auto"/>
                <w:sz w:val="24"/>
                <w:szCs w:val="24"/>
                <w:u w:val="none"/>
              </w:rPr>
              <w:t>防渗</w:t>
            </w:r>
            <w:r>
              <w:rPr>
                <w:rFonts w:hint="eastAsia" w:ascii="Times New Roman" w:hAnsi="Times New Roman" w:eastAsia="宋体" w:cs="Times New Roman"/>
                <w:color w:val="auto"/>
                <w:sz w:val="24"/>
                <w:szCs w:val="24"/>
                <w:u w:val="none"/>
              </w:rPr>
              <w:t>区</w:t>
            </w:r>
            <w:r>
              <w:rPr>
                <w:rFonts w:ascii="Times New Roman" w:hAnsi="Times New Roman" w:eastAsia="宋体" w:cs="Times New Roman"/>
                <w:color w:val="auto"/>
                <w:sz w:val="24"/>
                <w:szCs w:val="24"/>
                <w:u w:val="none"/>
              </w:rPr>
              <w:t>采取的工程措施包括：</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ascii="Times New Roman" w:hAnsi="Times New Roman" w:eastAsia="宋体" w:cs="Times New Roman"/>
                <w:color w:val="auto"/>
                <w:sz w:val="24"/>
                <w:szCs w:val="24"/>
                <w:u w:val="none"/>
              </w:rPr>
            </w:pPr>
            <w:r>
              <w:rPr>
                <w:rFonts w:hint="eastAsia" w:ascii="Times New Roman" w:hAnsi="Times New Roman" w:eastAsia="宋体" w:cs="Times New Roman"/>
                <w:color w:val="auto"/>
                <w:sz w:val="24"/>
                <w:szCs w:val="24"/>
                <w:u w:val="none"/>
              </w:rPr>
              <w:t>①所有污水、污泥处理构筑物池体混凝土抗压强度、抗渗、抗冻性能必须达到设计要求底板混凝土高程和坡度要满足设计要求；池壁要垂直、表面平整，相临湿接缝部位的混凝土应紧密，保护层厚度符合规定：浇注池壁混凝土前，混凝土施工缝应凿毛并冲洗干净，混凝土要衔接紧密不得渗漏；预埋管件、止水带和填缝板要安装牢固，位置准确；每座水池必须做满水实验，确保质量合格。</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ascii="Times New Roman" w:hAnsi="Times New Roman" w:eastAsia="宋体" w:cs="Times New Roman"/>
                <w:color w:val="auto"/>
                <w:sz w:val="24"/>
                <w:szCs w:val="24"/>
                <w:u w:val="none"/>
              </w:rPr>
            </w:pPr>
            <w:r>
              <w:rPr>
                <w:rFonts w:hint="eastAsia" w:ascii="Times New Roman" w:hAnsi="Times New Roman" w:eastAsia="宋体" w:cs="Times New Roman"/>
                <w:color w:val="auto"/>
                <w:sz w:val="24"/>
                <w:szCs w:val="24"/>
                <w:u w:val="none"/>
              </w:rPr>
              <w:t>②污水输送采用管道输送，排水管道必须具有足够的强度，以承受外部荷载和内部水压排水管道除具有抗污水中杂质的冲刷和磨损的作用外，还应该具有一定的抗腐蚀性能，以免受污水或地下水的侵蚀作用而损坏：排水管道应具有良好的防渗漏性能，以防止污水渗出或地下水渗入；排水管道的内壁应光滑，以尽量减小管道输水的阻力损失。</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ascii="Times New Roman" w:hAnsi="Times New Roman" w:eastAsia="宋体" w:cs="Times New Roman"/>
                <w:color w:val="auto"/>
                <w:sz w:val="24"/>
                <w:szCs w:val="24"/>
                <w:u w:val="none"/>
              </w:rPr>
            </w:pPr>
            <w:r>
              <w:rPr>
                <w:rFonts w:hint="eastAsia" w:ascii="Times New Roman" w:hAnsi="Times New Roman" w:eastAsia="宋体" w:cs="Times New Roman"/>
                <w:color w:val="auto"/>
                <w:sz w:val="24"/>
                <w:szCs w:val="24"/>
                <w:u w:val="none"/>
              </w:rPr>
              <w:t>③防渗区地面采取粘土铺底，再在上层水泥进行硬化，各建构筑物应按照要求进行“防渗、防腐”处理。</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ascii="Times New Roman" w:hAnsi="Times New Roman" w:eastAsia="宋体" w:cs="Times New Roman"/>
                <w:color w:val="auto"/>
                <w:sz w:val="24"/>
                <w:szCs w:val="24"/>
                <w:u w:val="none"/>
              </w:rPr>
            </w:pPr>
            <w:r>
              <w:rPr>
                <w:rFonts w:hint="eastAsia" w:ascii="Times New Roman" w:hAnsi="Times New Roman" w:eastAsia="宋体" w:cs="Times New Roman"/>
                <w:color w:val="auto"/>
                <w:sz w:val="24"/>
                <w:szCs w:val="24"/>
                <w:u w:val="none"/>
              </w:rPr>
              <w:t>综上所述</w:t>
            </w:r>
            <w:r>
              <w:rPr>
                <w:rFonts w:ascii="Times New Roman" w:hAnsi="Times New Roman" w:eastAsia="宋体" w:cs="Times New Roman"/>
                <w:color w:val="auto"/>
                <w:sz w:val="24"/>
                <w:szCs w:val="24"/>
                <w:u w:val="none"/>
              </w:rPr>
              <w:t>，</w:t>
            </w:r>
            <w:r>
              <w:rPr>
                <w:rFonts w:hint="eastAsia" w:ascii="Times New Roman" w:hAnsi="Times New Roman" w:eastAsia="宋体" w:cs="Times New Roman"/>
                <w:color w:val="auto"/>
                <w:sz w:val="24"/>
                <w:szCs w:val="24"/>
                <w:u w:val="none"/>
              </w:rPr>
              <w:t>本</w:t>
            </w:r>
            <w:r>
              <w:rPr>
                <w:rFonts w:ascii="Times New Roman" w:hAnsi="Times New Roman" w:eastAsia="宋体" w:cs="Times New Roman"/>
                <w:color w:val="auto"/>
                <w:sz w:val="24"/>
                <w:szCs w:val="24"/>
                <w:u w:val="none"/>
              </w:rPr>
              <w:t>项目为生活污水收集处理</w:t>
            </w:r>
            <w:r>
              <w:rPr>
                <w:rFonts w:hint="eastAsia" w:ascii="Times New Roman" w:hAnsi="Times New Roman" w:eastAsia="宋体" w:cs="Times New Roman"/>
                <w:color w:val="auto"/>
                <w:sz w:val="24"/>
                <w:szCs w:val="24"/>
                <w:u w:val="none"/>
              </w:rPr>
              <w:t>项目</w:t>
            </w:r>
            <w:r>
              <w:rPr>
                <w:rFonts w:ascii="Times New Roman" w:hAnsi="Times New Roman" w:eastAsia="宋体" w:cs="Times New Roman"/>
                <w:color w:val="auto"/>
                <w:sz w:val="24"/>
                <w:szCs w:val="24"/>
                <w:u w:val="none"/>
              </w:rPr>
              <w:t>，在采取上述防渗</w:t>
            </w:r>
            <w:r>
              <w:rPr>
                <w:rFonts w:hint="eastAsia" w:ascii="Times New Roman" w:hAnsi="Times New Roman" w:eastAsia="宋体" w:cs="Times New Roman"/>
                <w:color w:val="auto"/>
                <w:sz w:val="24"/>
                <w:szCs w:val="24"/>
                <w:u w:val="none"/>
              </w:rPr>
              <w:t>、</w:t>
            </w:r>
            <w:r>
              <w:rPr>
                <w:rFonts w:ascii="Times New Roman" w:hAnsi="Times New Roman" w:eastAsia="宋体" w:cs="Times New Roman"/>
                <w:color w:val="auto"/>
                <w:sz w:val="24"/>
                <w:szCs w:val="24"/>
                <w:u w:val="none"/>
              </w:rPr>
              <w:t>防腐</w:t>
            </w:r>
            <w:r>
              <w:rPr>
                <w:rFonts w:hint="eastAsia" w:ascii="Times New Roman" w:hAnsi="Times New Roman" w:eastAsia="宋体" w:cs="Times New Roman"/>
                <w:color w:val="auto"/>
                <w:sz w:val="24"/>
                <w:szCs w:val="24"/>
                <w:u w:val="none"/>
              </w:rPr>
              <w:t>处理</w:t>
            </w:r>
            <w:r>
              <w:rPr>
                <w:rFonts w:ascii="Times New Roman" w:hAnsi="Times New Roman" w:eastAsia="宋体" w:cs="Times New Roman"/>
                <w:color w:val="auto"/>
                <w:sz w:val="24"/>
                <w:szCs w:val="24"/>
                <w:u w:val="none"/>
              </w:rPr>
              <w:t>措施后，本项目对地下水基本不会造成明显影响。</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b/>
                <w:bCs/>
                <w:color w:val="auto"/>
                <w:sz w:val="24"/>
                <w:szCs w:val="24"/>
                <w:u w:val="none"/>
              </w:rPr>
            </w:pPr>
            <w:r>
              <w:rPr>
                <w:rFonts w:hint="eastAsia"/>
                <w:b/>
                <w:bCs/>
                <w:color w:val="auto"/>
                <w:sz w:val="24"/>
                <w:szCs w:val="24"/>
                <w:u w:val="none"/>
              </w:rPr>
              <w:t>7.2.4 土壤</w:t>
            </w:r>
            <w:r>
              <w:rPr>
                <w:b/>
                <w:bCs/>
                <w:color w:val="auto"/>
                <w:sz w:val="24"/>
                <w:szCs w:val="24"/>
                <w:u w:val="none"/>
              </w:rPr>
              <w:t>环境影响分析</w:t>
            </w:r>
          </w:p>
          <w:p>
            <w:pPr>
              <w:pStyle w:val="36"/>
              <w:keepNext w:val="0"/>
              <w:keepLines w:val="0"/>
              <w:pageBreakBefore w:val="0"/>
              <w:widowControl w:val="0"/>
              <w:kinsoku/>
              <w:wordWrap/>
              <w:overflowPunct/>
              <w:topLinePunct w:val="0"/>
              <w:bidi w:val="0"/>
              <w:adjustRightInd w:val="0"/>
              <w:snapToGrid w:val="0"/>
              <w:spacing w:line="360" w:lineRule="auto"/>
              <w:ind w:firstLine="462" w:firstLineChars="200"/>
              <w:jc w:val="both"/>
              <w:textAlignment w:val="auto"/>
              <w:rPr>
                <w:rFonts w:hint="default"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1、</w:t>
            </w:r>
            <w:r>
              <w:rPr>
                <w:rFonts w:hint="default" w:ascii="Times New Roman" w:hAnsi="Times New Roman" w:eastAsia="宋体" w:cs="Times New Roman"/>
                <w:color w:val="auto"/>
                <w:kern w:val="2"/>
                <w:sz w:val="24"/>
                <w:szCs w:val="24"/>
                <w:u w:val="none"/>
                <w:lang w:val="en-US" w:eastAsia="zh-CN" w:bidi="ar-SA"/>
              </w:rPr>
              <w:t>评价等级</w:t>
            </w:r>
          </w:p>
          <w:p>
            <w:pPr>
              <w:pStyle w:val="36"/>
              <w:keepNext w:val="0"/>
              <w:keepLines w:val="0"/>
              <w:pageBreakBefore w:val="0"/>
              <w:widowControl w:val="0"/>
              <w:kinsoku/>
              <w:wordWrap/>
              <w:overflowPunct/>
              <w:topLinePunct w:val="0"/>
              <w:bidi w:val="0"/>
              <w:adjustRightInd w:val="0"/>
              <w:snapToGrid w:val="0"/>
              <w:spacing w:line="360" w:lineRule="auto"/>
              <w:ind w:firstLine="462" w:firstLineChars="200"/>
              <w:jc w:val="both"/>
              <w:textAlignment w:val="auto"/>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kern w:val="2"/>
                <w:sz w:val="24"/>
                <w:szCs w:val="24"/>
                <w:u w:val="none"/>
                <w:lang w:val="en-US" w:eastAsia="zh-CN" w:bidi="ar-SA"/>
              </w:rPr>
              <w:t>根据《环境影响评价技术导则土壤环境（试行）》（HJ964-2018），</w:t>
            </w:r>
            <w:r>
              <w:rPr>
                <w:rFonts w:hint="default" w:ascii="Times New Roman" w:hAnsi="Times New Roman" w:eastAsia="宋体" w:cs="Times New Roman"/>
                <w:color w:val="auto"/>
                <w:sz w:val="24"/>
                <w:u w:val="none"/>
              </w:rPr>
              <w:t>项目属于</w:t>
            </w:r>
            <w:r>
              <w:rPr>
                <w:rFonts w:hint="default" w:ascii="Times New Roman" w:hAnsi="Times New Roman" w:eastAsia="宋体" w:cs="Times New Roman"/>
                <w:color w:val="auto"/>
                <w:sz w:val="24"/>
                <w:u w:val="none"/>
                <w:lang w:eastAsia="zh-CN"/>
              </w:rPr>
              <w:t>土壤环境</w:t>
            </w:r>
            <w:r>
              <w:rPr>
                <w:rFonts w:hint="default" w:ascii="Times New Roman" w:hAnsi="Times New Roman" w:eastAsia="宋体" w:cs="Times New Roman"/>
                <w:color w:val="auto"/>
                <w:sz w:val="24"/>
                <w:u w:val="none"/>
              </w:rPr>
              <w:t>污染影响型建设项目</w:t>
            </w:r>
            <w:r>
              <w:rPr>
                <w:rFonts w:hint="default" w:ascii="Times New Roman" w:hAnsi="Times New Roman" w:eastAsia="宋体" w:cs="Times New Roman"/>
                <w:color w:val="auto"/>
                <w:kern w:val="2"/>
                <w:sz w:val="24"/>
                <w:szCs w:val="24"/>
                <w:u w:val="none"/>
                <w:lang w:val="en-US" w:eastAsia="zh-CN" w:bidi="ar-SA"/>
              </w:rPr>
              <w:t>。根据《环境影响评价技术导则土壤环境（试行）》（HJ964-2018）附表A.1，本项目属于“生活污水处理行业”，项目类别为Ⅲ类</w:t>
            </w:r>
            <w:r>
              <w:rPr>
                <w:rFonts w:hint="default" w:ascii="Times New Roman" w:hAnsi="Times New Roman" w:eastAsia="宋体" w:cs="Times New Roman"/>
                <w:color w:val="auto"/>
                <w:sz w:val="24"/>
                <w:u w:val="none"/>
                <w:lang w:eastAsia="zh-CN"/>
              </w:rPr>
              <w:t>，</w:t>
            </w:r>
            <w:r>
              <w:rPr>
                <w:rFonts w:hint="default" w:ascii="Times New Roman" w:hAnsi="Times New Roman" w:eastAsia="宋体" w:cs="Times New Roman"/>
                <w:color w:val="auto"/>
                <w:sz w:val="24"/>
                <w:highlight w:val="none"/>
                <w:u w:val="none"/>
              </w:rPr>
              <w:t>项目总占地面积为</w:t>
            </w:r>
            <w:r>
              <w:rPr>
                <w:rFonts w:hint="default" w:ascii="Times New Roman" w:hAnsi="Times New Roman" w:eastAsia="宋体" w:cs="Times New Roman"/>
                <w:color w:val="auto"/>
                <w:sz w:val="24"/>
                <w:highlight w:val="none"/>
                <w:u w:val="none"/>
                <w:lang w:eastAsia="zh-CN"/>
              </w:rPr>
              <w:t>3333.35</w:t>
            </w:r>
            <w:r>
              <w:rPr>
                <w:rFonts w:hint="default" w:ascii="Times New Roman" w:hAnsi="Times New Roman" w:eastAsia="宋体" w:cs="Times New Roman"/>
                <w:color w:val="auto"/>
                <w:sz w:val="24"/>
                <w:highlight w:val="none"/>
                <w:u w:val="none"/>
                <w:lang w:val="en-US" w:eastAsia="zh-CN"/>
              </w:rPr>
              <w:t>m</w:t>
            </w:r>
            <w:r>
              <w:rPr>
                <w:rFonts w:hint="default" w:ascii="Times New Roman" w:hAnsi="Times New Roman" w:eastAsia="宋体" w:cs="Times New Roman"/>
                <w:color w:val="auto"/>
                <w:sz w:val="24"/>
                <w:highlight w:val="none"/>
                <w:u w:val="none"/>
                <w:vertAlign w:val="superscript"/>
                <w:lang w:val="en-US" w:eastAsia="zh-CN"/>
              </w:rPr>
              <w:t>2</w:t>
            </w:r>
            <w:r>
              <w:rPr>
                <w:rFonts w:hint="default" w:ascii="Times New Roman" w:hAnsi="Times New Roman" w:eastAsia="宋体" w:cs="Times New Roman"/>
                <w:color w:val="auto"/>
                <w:sz w:val="24"/>
                <w:highlight w:val="none"/>
                <w:u w:val="none"/>
              </w:rPr>
              <w:t>，占地规模</w:t>
            </w:r>
            <w:r>
              <w:rPr>
                <w:rFonts w:hint="eastAsia" w:ascii="Times New Roman" w:hAnsi="Times New Roman" w:eastAsia="宋体" w:cs="Times New Roman"/>
                <w:color w:val="auto"/>
                <w:sz w:val="24"/>
                <w:highlight w:val="none"/>
                <w:u w:val="none"/>
                <w:vertAlign w:val="baseline"/>
                <w:lang w:val="en-US" w:eastAsia="zh-CN"/>
              </w:rPr>
              <w:t>0.033</w:t>
            </w:r>
            <w:r>
              <w:rPr>
                <w:rFonts w:hint="default" w:ascii="Times New Roman" w:hAnsi="Times New Roman" w:eastAsia="宋体" w:cs="Times New Roman"/>
                <w:color w:val="auto"/>
                <w:sz w:val="24"/>
                <w:highlight w:val="none"/>
                <w:u w:val="none"/>
              </w:rPr>
              <w:t>hm</w:t>
            </w:r>
            <w:r>
              <w:rPr>
                <w:rFonts w:hint="default" w:ascii="Times New Roman" w:hAnsi="Times New Roman" w:eastAsia="宋体" w:cs="Times New Roman"/>
                <w:color w:val="auto"/>
                <w:sz w:val="24"/>
                <w:highlight w:val="none"/>
                <w:u w:val="none"/>
                <w:vertAlign w:val="superscript"/>
              </w:rPr>
              <w:t>2</w:t>
            </w:r>
            <w:r>
              <w:rPr>
                <w:rFonts w:hint="default" w:ascii="Times New Roman" w:hAnsi="Times New Roman" w:eastAsia="宋体" w:cs="Times New Roman"/>
                <w:color w:val="auto"/>
                <w:sz w:val="24"/>
                <w:highlight w:val="none"/>
                <w:u w:val="none"/>
                <w:vertAlign w:val="baseline"/>
              </w:rPr>
              <w:t>≤</w:t>
            </w:r>
            <w:r>
              <w:rPr>
                <w:rFonts w:hint="default" w:ascii="Times New Roman" w:hAnsi="Times New Roman" w:eastAsia="宋体" w:cs="Times New Roman"/>
                <w:color w:val="auto"/>
                <w:sz w:val="24"/>
                <w:highlight w:val="none"/>
                <w:u w:val="none"/>
                <w:vertAlign w:val="baseline"/>
                <w:lang w:val="en-US" w:eastAsia="zh-CN"/>
              </w:rPr>
              <w:t>5</w:t>
            </w:r>
            <w:r>
              <w:rPr>
                <w:rFonts w:hint="default" w:ascii="Times New Roman" w:hAnsi="Times New Roman" w:eastAsia="宋体" w:cs="Times New Roman"/>
                <w:color w:val="auto"/>
                <w:sz w:val="24"/>
                <w:highlight w:val="none"/>
                <w:u w:val="none"/>
              </w:rPr>
              <w:t>hm</w:t>
            </w:r>
            <w:r>
              <w:rPr>
                <w:rFonts w:hint="default" w:ascii="Times New Roman" w:hAnsi="Times New Roman" w:eastAsia="宋体" w:cs="Times New Roman"/>
                <w:color w:val="auto"/>
                <w:sz w:val="24"/>
                <w:highlight w:val="none"/>
                <w:u w:val="none"/>
                <w:vertAlign w:val="superscript"/>
              </w:rPr>
              <w:t>2</w:t>
            </w:r>
            <w:r>
              <w:rPr>
                <w:rFonts w:hint="default" w:ascii="Times New Roman" w:hAnsi="Times New Roman" w:eastAsia="宋体" w:cs="Times New Roman"/>
                <w:color w:val="auto"/>
                <w:sz w:val="24"/>
                <w:highlight w:val="none"/>
                <w:u w:val="none"/>
              </w:rPr>
              <w:t>，为</w:t>
            </w:r>
            <w:r>
              <w:rPr>
                <w:rFonts w:hint="default" w:ascii="Times New Roman" w:hAnsi="Times New Roman" w:eastAsia="宋体" w:cs="Times New Roman"/>
                <w:color w:val="auto"/>
                <w:sz w:val="24"/>
                <w:highlight w:val="none"/>
                <w:u w:val="none"/>
                <w:lang w:eastAsia="zh-CN"/>
              </w:rPr>
              <w:t>小</w:t>
            </w:r>
            <w:r>
              <w:rPr>
                <w:rFonts w:hint="default" w:ascii="Times New Roman" w:hAnsi="Times New Roman" w:eastAsia="宋体" w:cs="Times New Roman"/>
                <w:color w:val="auto"/>
                <w:sz w:val="24"/>
                <w:highlight w:val="none"/>
                <w:u w:val="none"/>
              </w:rPr>
              <w:t>型建设项目</w:t>
            </w:r>
            <w:r>
              <w:rPr>
                <w:rFonts w:hint="default" w:ascii="Times New Roman" w:hAnsi="Times New Roman" w:eastAsia="宋体" w:cs="Times New Roman"/>
                <w:color w:val="auto"/>
                <w:sz w:val="24"/>
                <w:u w:val="none"/>
                <w:lang w:eastAsia="zh-CN"/>
              </w:rPr>
              <w:t>。</w:t>
            </w:r>
          </w:p>
          <w:p>
            <w:pPr>
              <w:pStyle w:val="36"/>
              <w:keepNext w:val="0"/>
              <w:keepLines w:val="0"/>
              <w:pageBreakBefore w:val="0"/>
              <w:widowControl w:val="0"/>
              <w:kinsoku/>
              <w:wordWrap/>
              <w:overflowPunct/>
              <w:topLinePunct w:val="0"/>
              <w:bidi w:val="0"/>
              <w:adjustRightInd w:val="0"/>
              <w:snapToGrid w:val="0"/>
              <w:spacing w:line="360" w:lineRule="auto"/>
              <w:ind w:firstLine="462" w:firstLineChars="200"/>
              <w:jc w:val="both"/>
              <w:textAlignment w:val="auto"/>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建设项目所在地周边的土壤环境敏感程度判别依据见表</w:t>
            </w:r>
            <w:r>
              <w:rPr>
                <w:rFonts w:hint="eastAsia" w:ascii="Times New Roman" w:hAnsi="Times New Roman" w:eastAsia="宋体" w:cs="Times New Roman"/>
                <w:color w:val="auto"/>
                <w:sz w:val="24"/>
                <w:u w:val="none"/>
                <w:lang w:val="en-US" w:eastAsia="zh-CN"/>
              </w:rPr>
              <w:t>7-24</w:t>
            </w:r>
            <w:r>
              <w:rPr>
                <w:rFonts w:hint="default" w:ascii="Times New Roman" w:hAnsi="Times New Roman" w:eastAsia="宋体" w:cs="Times New Roman"/>
                <w:color w:val="auto"/>
                <w:sz w:val="24"/>
                <w:u w:val="none"/>
              </w:rPr>
              <w:t>。</w:t>
            </w:r>
          </w:p>
          <w:p>
            <w:pPr>
              <w:keepNext w:val="0"/>
              <w:keepLines w:val="0"/>
              <w:pageBreakBefore w:val="0"/>
              <w:widowControl w:val="0"/>
              <w:kinsoku/>
              <w:wordWrap/>
              <w:overflowPunct/>
              <w:topLinePunct w:val="0"/>
              <w:bidi w:val="0"/>
              <w:adjustRightInd w:val="0"/>
              <w:snapToGrid w:val="0"/>
              <w:spacing w:line="240" w:lineRule="auto"/>
              <w:ind w:firstLine="422"/>
              <w:jc w:val="center"/>
              <w:textAlignment w:val="auto"/>
              <w:rPr>
                <w:rFonts w:hint="default" w:ascii="Times New Roman" w:hAnsi="Times New Roman" w:eastAsia="宋体" w:cs="Times New Roman"/>
                <w:b/>
                <w:color w:val="auto"/>
                <w:szCs w:val="21"/>
                <w:u w:val="none"/>
              </w:rPr>
            </w:pPr>
            <w:r>
              <w:rPr>
                <w:rFonts w:hint="default" w:ascii="Times New Roman" w:hAnsi="Times New Roman" w:eastAsia="宋体" w:cs="Times New Roman"/>
                <w:b/>
                <w:color w:val="auto"/>
                <w:szCs w:val="21"/>
                <w:u w:val="none"/>
              </w:rPr>
              <w:t>表</w:t>
            </w:r>
            <w:r>
              <w:rPr>
                <w:rFonts w:hint="eastAsia" w:ascii="Times New Roman" w:hAnsi="Times New Roman" w:eastAsia="宋体" w:cs="Times New Roman"/>
                <w:b/>
                <w:color w:val="auto"/>
                <w:szCs w:val="21"/>
                <w:u w:val="none"/>
                <w:lang w:val="en-US" w:eastAsia="zh-CN"/>
              </w:rPr>
              <w:t>7-2</w:t>
            </w:r>
            <w:r>
              <w:rPr>
                <w:rFonts w:hint="eastAsia" w:cs="Times New Roman"/>
                <w:b/>
                <w:color w:val="auto"/>
                <w:szCs w:val="21"/>
                <w:u w:val="none"/>
                <w:lang w:val="en-US" w:eastAsia="zh-CN"/>
              </w:rPr>
              <w:t>4</w:t>
            </w:r>
            <w:r>
              <w:rPr>
                <w:rFonts w:hint="eastAsia" w:ascii="Times New Roman" w:hAnsi="Times New Roman" w:eastAsia="宋体" w:cs="Times New Roman"/>
                <w:b/>
                <w:color w:val="auto"/>
                <w:szCs w:val="21"/>
                <w:u w:val="none"/>
                <w:lang w:val="en-US" w:eastAsia="zh-CN"/>
              </w:rPr>
              <w:t xml:space="preserve"> </w:t>
            </w:r>
            <w:r>
              <w:rPr>
                <w:rFonts w:hint="default" w:ascii="Times New Roman" w:hAnsi="Times New Roman" w:eastAsia="宋体" w:cs="Times New Roman"/>
                <w:b/>
                <w:color w:val="auto"/>
                <w:szCs w:val="21"/>
                <w:u w:val="none"/>
              </w:rPr>
              <w:t xml:space="preserve"> 污染影响型敏感程度分级表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6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tcBorders>
                    <w:top w:val="single" w:color="auto" w:sz="12" w:space="0"/>
                    <w:left w:val="single" w:color="auto" w:sz="12"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敏感程度</w:t>
                  </w:r>
                </w:p>
              </w:tc>
              <w:tc>
                <w:tcPr>
                  <w:tcW w:w="6125" w:type="dxa"/>
                  <w:tcBorders>
                    <w:top w:val="single" w:color="auto" w:sz="12" w:space="0"/>
                    <w:right w:val="single" w:color="auto" w:sz="12"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判别依据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9" w:type="dxa"/>
                  <w:tcBorders>
                    <w:left w:val="single" w:color="auto" w:sz="12"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敏感</w:t>
                  </w:r>
                </w:p>
              </w:tc>
              <w:tc>
                <w:tcPr>
                  <w:tcW w:w="6125" w:type="dxa"/>
                  <w:tcBorders>
                    <w:right w:val="single" w:color="auto" w:sz="12"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建设项目周边存在耕地、园地、牧草地等、</w:t>
                  </w:r>
                  <w:r>
                    <w:rPr>
                      <w:rFonts w:hint="eastAsia" w:cs="Times New Roman"/>
                      <w:color w:val="auto"/>
                      <w:szCs w:val="21"/>
                      <w:u w:val="none"/>
                      <w:lang w:eastAsia="zh-CN"/>
                    </w:rPr>
                    <w:t>饮用水源</w:t>
                  </w:r>
                  <w:r>
                    <w:rPr>
                      <w:rFonts w:hint="default" w:ascii="Times New Roman" w:hAnsi="Times New Roman" w:eastAsia="宋体" w:cs="Times New Roman"/>
                      <w:color w:val="auto"/>
                      <w:szCs w:val="21"/>
                      <w:u w:val="none"/>
                    </w:rPr>
                    <w:t>地或居民区、学校、医院、疗养院、养老院等土壤环境敏感目标的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tcBorders>
                    <w:left w:val="single" w:color="auto" w:sz="12"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较敏感</w:t>
                  </w:r>
                </w:p>
              </w:tc>
              <w:tc>
                <w:tcPr>
                  <w:tcW w:w="6125" w:type="dxa"/>
                  <w:tcBorders>
                    <w:right w:val="single" w:color="auto" w:sz="12"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建设项目周边存在其他土壤环境敏感目标的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tcBorders>
                    <w:left w:val="single" w:color="auto" w:sz="12" w:space="0"/>
                    <w:bottom w:val="single" w:color="auto" w:sz="12"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不敏感</w:t>
                  </w:r>
                </w:p>
              </w:tc>
              <w:tc>
                <w:tcPr>
                  <w:tcW w:w="6125" w:type="dxa"/>
                  <w:tcBorders>
                    <w:bottom w:val="single" w:color="auto" w:sz="12" w:space="0"/>
                    <w:right w:val="single" w:color="auto" w:sz="12" w:space="0"/>
                  </w:tcBorders>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其他情况</w:t>
                  </w:r>
                </w:p>
              </w:tc>
            </w:tr>
          </w:tbl>
          <w:p>
            <w:pPr>
              <w:pStyle w:val="36"/>
              <w:keepNext w:val="0"/>
              <w:keepLines w:val="0"/>
              <w:pageBreakBefore w:val="0"/>
              <w:widowControl w:val="0"/>
              <w:kinsoku/>
              <w:wordWrap/>
              <w:overflowPunct/>
              <w:topLinePunct w:val="0"/>
              <w:bidi w:val="0"/>
              <w:adjustRightInd w:val="0"/>
              <w:snapToGrid w:val="0"/>
              <w:spacing w:line="360" w:lineRule="auto"/>
              <w:ind w:firstLine="462" w:firstLineChars="200"/>
              <w:jc w:val="both"/>
              <w:textAlignment w:val="auto"/>
              <w:rPr>
                <w:rFonts w:hint="default" w:ascii="Times New Roman" w:hAnsi="Times New Roman" w:eastAsia="宋体" w:cs="Times New Roman"/>
                <w:color w:val="auto"/>
                <w:sz w:val="24"/>
                <w:szCs w:val="22"/>
                <w:u w:val="none"/>
              </w:rPr>
            </w:pPr>
            <w:r>
              <w:rPr>
                <w:rFonts w:hint="eastAsia" w:ascii="Times New Roman" w:hAnsi="Times New Roman" w:eastAsia="宋体" w:cs="Times New Roman"/>
                <w:color w:val="auto"/>
                <w:sz w:val="24"/>
                <w:szCs w:val="22"/>
                <w:u w:val="none"/>
                <w:lang w:val="en-US" w:eastAsia="zh-CN"/>
              </w:rPr>
              <w:t>根据现场调查可知，</w:t>
            </w:r>
            <w:r>
              <w:rPr>
                <w:rFonts w:hint="default" w:ascii="Times New Roman" w:hAnsi="Times New Roman" w:eastAsia="宋体" w:cs="Times New Roman"/>
                <w:color w:val="auto"/>
                <w:sz w:val="24"/>
                <w:szCs w:val="22"/>
                <w:u w:val="none"/>
                <w:lang w:val="en-US" w:eastAsia="zh-CN"/>
              </w:rPr>
              <w:t>项目用地范围周边</w:t>
            </w:r>
            <w:r>
              <w:rPr>
                <w:rFonts w:hint="eastAsia" w:ascii="Times New Roman" w:hAnsi="Times New Roman" w:eastAsia="宋体" w:cs="Times New Roman"/>
                <w:color w:val="auto"/>
                <w:sz w:val="24"/>
                <w:szCs w:val="22"/>
                <w:u w:val="none"/>
                <w:lang w:val="en-US" w:eastAsia="zh-CN"/>
              </w:rPr>
              <w:t>存在耕地，</w:t>
            </w:r>
            <w:r>
              <w:rPr>
                <w:rFonts w:hint="default" w:ascii="Times New Roman" w:hAnsi="Times New Roman" w:eastAsia="宋体" w:cs="Times New Roman"/>
                <w:color w:val="auto"/>
                <w:sz w:val="24"/>
                <w:szCs w:val="22"/>
                <w:u w:val="none"/>
                <w:lang w:val="en-US" w:eastAsia="zh-CN"/>
              </w:rPr>
              <w:t>故项目所在地周边土壤环境敏感程度为</w:t>
            </w:r>
            <w:r>
              <w:rPr>
                <w:rFonts w:hint="eastAsia" w:ascii="Times New Roman" w:hAnsi="Times New Roman" w:eastAsia="宋体" w:cs="Times New Roman"/>
                <w:color w:val="auto"/>
                <w:sz w:val="24"/>
                <w:szCs w:val="22"/>
                <w:u w:val="none"/>
                <w:lang w:val="en-US" w:eastAsia="zh-CN"/>
              </w:rPr>
              <w:t>敏感，</w:t>
            </w:r>
            <w:r>
              <w:rPr>
                <w:rFonts w:hint="default" w:ascii="Times New Roman" w:hAnsi="Times New Roman" w:eastAsia="宋体" w:cs="Times New Roman"/>
                <w:color w:val="auto"/>
                <w:sz w:val="24"/>
                <w:szCs w:val="22"/>
                <w:u w:val="none"/>
              </w:rPr>
              <w:t>根据土壤环境影响评价项目类别、占地情况与敏感程度划分评价工作等级，详见表</w:t>
            </w:r>
            <w:r>
              <w:rPr>
                <w:rFonts w:hint="eastAsia" w:ascii="Times New Roman" w:hAnsi="Times New Roman" w:eastAsia="宋体" w:cs="Times New Roman"/>
                <w:color w:val="auto"/>
                <w:sz w:val="24"/>
                <w:szCs w:val="22"/>
                <w:u w:val="none"/>
                <w:lang w:val="en-US" w:eastAsia="zh-CN"/>
              </w:rPr>
              <w:t>7-25</w:t>
            </w:r>
            <w:r>
              <w:rPr>
                <w:rFonts w:hint="default" w:ascii="Times New Roman" w:hAnsi="Times New Roman" w:eastAsia="宋体" w:cs="Times New Roman"/>
                <w:color w:val="auto"/>
                <w:sz w:val="24"/>
                <w:szCs w:val="22"/>
                <w:u w:val="none"/>
              </w:rPr>
              <w:t>。</w:t>
            </w:r>
          </w:p>
          <w:p>
            <w:pPr>
              <w:ind w:firstLine="422"/>
              <w:jc w:val="center"/>
              <w:rPr>
                <w:rFonts w:hint="default" w:ascii="Times New Roman" w:hAnsi="Times New Roman" w:eastAsia="宋体" w:cs="Times New Roman"/>
                <w:b/>
                <w:color w:val="auto"/>
                <w:szCs w:val="21"/>
                <w:u w:val="none"/>
              </w:rPr>
            </w:pPr>
            <w:r>
              <w:rPr>
                <w:rFonts w:hint="default" w:ascii="Times New Roman" w:hAnsi="Times New Roman" w:eastAsia="宋体" w:cs="Times New Roman"/>
                <w:b/>
                <w:color w:val="auto"/>
                <w:szCs w:val="21"/>
                <w:u w:val="none"/>
              </w:rPr>
              <w:t>表</w:t>
            </w:r>
            <w:r>
              <w:rPr>
                <w:rFonts w:hint="eastAsia" w:ascii="Times New Roman" w:hAnsi="Times New Roman" w:eastAsia="宋体" w:cs="Times New Roman"/>
                <w:b/>
                <w:color w:val="auto"/>
                <w:szCs w:val="21"/>
                <w:u w:val="none"/>
                <w:lang w:val="en-US" w:eastAsia="zh-CN"/>
              </w:rPr>
              <w:t>7-2</w:t>
            </w:r>
            <w:r>
              <w:rPr>
                <w:rFonts w:hint="eastAsia" w:cs="Times New Roman"/>
                <w:b/>
                <w:color w:val="auto"/>
                <w:szCs w:val="21"/>
                <w:u w:val="none"/>
                <w:lang w:val="en-US" w:eastAsia="zh-CN"/>
              </w:rPr>
              <w:t>5</w:t>
            </w:r>
            <w:r>
              <w:rPr>
                <w:rFonts w:hint="eastAsia" w:ascii="Times New Roman" w:hAnsi="Times New Roman" w:eastAsia="宋体" w:cs="Times New Roman"/>
                <w:b/>
                <w:color w:val="auto"/>
                <w:szCs w:val="21"/>
                <w:u w:val="none"/>
                <w:lang w:val="en-US" w:eastAsia="zh-CN"/>
              </w:rPr>
              <w:t xml:space="preserve"> </w:t>
            </w:r>
            <w:r>
              <w:rPr>
                <w:rFonts w:hint="default" w:ascii="Times New Roman" w:hAnsi="Times New Roman" w:eastAsia="宋体" w:cs="Times New Roman"/>
                <w:b/>
                <w:color w:val="auto"/>
                <w:szCs w:val="21"/>
                <w:u w:val="none"/>
              </w:rPr>
              <w:t xml:space="preserve"> 污染影响型评价工作等级划分表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646"/>
              <w:gridCol w:w="669"/>
              <w:gridCol w:w="693"/>
              <w:gridCol w:w="661"/>
              <w:gridCol w:w="654"/>
              <w:gridCol w:w="669"/>
              <w:gridCol w:w="670"/>
              <w:gridCol w:w="684"/>
              <w:gridCol w:w="6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51" w:type="dxa"/>
                  <w:vMerge w:val="restart"/>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pict>
                      <v:line id="_x0000_s2320" o:spid="_x0000_s2320" o:spt="20" style="position:absolute;left:0pt;flip:x y;margin-left:20.85pt;margin-top:0.7pt;height:31.35pt;width:66.15pt;z-index:251807744;mso-width-relative:page;mso-height-relative:page;" filled="f" stroked="t" coordsize="21600,21600">
                        <v:path arrowok="t"/>
                        <v:fill on="f" focussize="0,0"/>
                        <v:stroke/>
                        <v:imagedata o:title=""/>
                        <o:lock v:ext="edit" aspectratio="f"/>
                      </v:line>
                    </w:pict>
                  </w:r>
                  <w:r>
                    <w:rPr>
                      <w:rFonts w:hint="default" w:ascii="Times New Roman" w:hAnsi="Times New Roman" w:eastAsia="宋体" w:cs="Times New Roman"/>
                      <w:color w:val="auto"/>
                      <w:szCs w:val="21"/>
                      <w:u w:val="none"/>
                    </w:rPr>
                    <w:t xml:space="preserve">       占地规模</w:t>
                  </w:r>
                </w:p>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pict>
                      <v:line id="_x0000_s2321" o:spid="_x0000_s2321" o:spt="20" style="position:absolute;left:0pt;flip:x y;margin-left:-5pt;margin-top:10.05pt;height:10.3pt;width:91.85pt;z-index:251808768;mso-width-relative:page;mso-height-relative:page;" filled="f" stroked="t" coordsize="21600,21600">
                        <v:path arrowok="t"/>
                        <v:fill on="f" focussize="0,0"/>
                        <v:stroke/>
                        <v:imagedata o:title=""/>
                        <o:lock v:ext="edit" aspectratio="f"/>
                      </v:line>
                    </w:pict>
                  </w:r>
                  <w:r>
                    <w:rPr>
                      <w:rFonts w:hint="default" w:ascii="Times New Roman" w:hAnsi="Times New Roman" w:eastAsia="宋体" w:cs="Times New Roman"/>
                      <w:color w:val="auto"/>
                      <w:szCs w:val="21"/>
                      <w:u w:val="none"/>
                    </w:rPr>
                    <w:t>评价工作等级</w:t>
                  </w:r>
                </w:p>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敏感程度</w:t>
                  </w:r>
                </w:p>
              </w:tc>
              <w:tc>
                <w:tcPr>
                  <w:tcW w:w="2008" w:type="dxa"/>
                  <w:gridSpan w:val="3"/>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Ⅰ</w:t>
                  </w:r>
                </w:p>
              </w:tc>
              <w:tc>
                <w:tcPr>
                  <w:tcW w:w="1984" w:type="dxa"/>
                  <w:gridSpan w:val="3"/>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Ⅱ</w:t>
                  </w:r>
                </w:p>
              </w:tc>
              <w:tc>
                <w:tcPr>
                  <w:tcW w:w="2001" w:type="dxa"/>
                  <w:gridSpan w:val="3"/>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1" w:type="dxa"/>
                  <w:vMerge w:val="continue"/>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p>
              </w:tc>
              <w:tc>
                <w:tcPr>
                  <w:tcW w:w="646"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大</w:t>
                  </w:r>
                </w:p>
              </w:tc>
              <w:tc>
                <w:tcPr>
                  <w:tcW w:w="669"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中</w:t>
                  </w:r>
                </w:p>
              </w:tc>
              <w:tc>
                <w:tcPr>
                  <w:tcW w:w="693"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小</w:t>
                  </w:r>
                </w:p>
              </w:tc>
              <w:tc>
                <w:tcPr>
                  <w:tcW w:w="661"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大</w:t>
                  </w:r>
                </w:p>
              </w:tc>
              <w:tc>
                <w:tcPr>
                  <w:tcW w:w="654"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中</w:t>
                  </w:r>
                </w:p>
              </w:tc>
              <w:tc>
                <w:tcPr>
                  <w:tcW w:w="669"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小</w:t>
                  </w:r>
                </w:p>
              </w:tc>
              <w:tc>
                <w:tcPr>
                  <w:tcW w:w="670"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大</w:t>
                  </w:r>
                </w:p>
              </w:tc>
              <w:tc>
                <w:tcPr>
                  <w:tcW w:w="684"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中</w:t>
                  </w:r>
                </w:p>
              </w:tc>
              <w:tc>
                <w:tcPr>
                  <w:tcW w:w="647"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敏感</w:t>
                  </w:r>
                </w:p>
              </w:tc>
              <w:tc>
                <w:tcPr>
                  <w:tcW w:w="646"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一级</w:t>
                  </w:r>
                </w:p>
              </w:tc>
              <w:tc>
                <w:tcPr>
                  <w:tcW w:w="669"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一级</w:t>
                  </w:r>
                </w:p>
              </w:tc>
              <w:tc>
                <w:tcPr>
                  <w:tcW w:w="693"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一级</w:t>
                  </w:r>
                </w:p>
              </w:tc>
              <w:tc>
                <w:tcPr>
                  <w:tcW w:w="661"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二级</w:t>
                  </w:r>
                </w:p>
              </w:tc>
              <w:tc>
                <w:tcPr>
                  <w:tcW w:w="654"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二级</w:t>
                  </w:r>
                </w:p>
              </w:tc>
              <w:tc>
                <w:tcPr>
                  <w:tcW w:w="669"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二级</w:t>
                  </w:r>
                </w:p>
              </w:tc>
              <w:tc>
                <w:tcPr>
                  <w:tcW w:w="670"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三级</w:t>
                  </w:r>
                </w:p>
              </w:tc>
              <w:tc>
                <w:tcPr>
                  <w:tcW w:w="684"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三级</w:t>
                  </w:r>
                </w:p>
              </w:tc>
              <w:tc>
                <w:tcPr>
                  <w:tcW w:w="647"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较敏感</w:t>
                  </w:r>
                </w:p>
              </w:tc>
              <w:tc>
                <w:tcPr>
                  <w:tcW w:w="646"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一级</w:t>
                  </w:r>
                </w:p>
              </w:tc>
              <w:tc>
                <w:tcPr>
                  <w:tcW w:w="669"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一级</w:t>
                  </w:r>
                </w:p>
              </w:tc>
              <w:tc>
                <w:tcPr>
                  <w:tcW w:w="693"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二级</w:t>
                  </w:r>
                </w:p>
              </w:tc>
              <w:tc>
                <w:tcPr>
                  <w:tcW w:w="661"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二级</w:t>
                  </w:r>
                </w:p>
              </w:tc>
              <w:tc>
                <w:tcPr>
                  <w:tcW w:w="654"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二级</w:t>
                  </w:r>
                </w:p>
              </w:tc>
              <w:tc>
                <w:tcPr>
                  <w:tcW w:w="669"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三级</w:t>
                  </w:r>
                </w:p>
              </w:tc>
              <w:tc>
                <w:tcPr>
                  <w:tcW w:w="670"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三级</w:t>
                  </w:r>
                </w:p>
              </w:tc>
              <w:tc>
                <w:tcPr>
                  <w:tcW w:w="684"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三级</w:t>
                  </w:r>
                </w:p>
              </w:tc>
              <w:tc>
                <w:tcPr>
                  <w:tcW w:w="647"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851"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不敏感</w:t>
                  </w:r>
                </w:p>
              </w:tc>
              <w:tc>
                <w:tcPr>
                  <w:tcW w:w="646"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一级</w:t>
                  </w:r>
                </w:p>
              </w:tc>
              <w:tc>
                <w:tcPr>
                  <w:tcW w:w="669"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二级</w:t>
                  </w:r>
                </w:p>
              </w:tc>
              <w:tc>
                <w:tcPr>
                  <w:tcW w:w="693"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二级</w:t>
                  </w:r>
                </w:p>
              </w:tc>
              <w:tc>
                <w:tcPr>
                  <w:tcW w:w="661"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二级</w:t>
                  </w:r>
                </w:p>
              </w:tc>
              <w:tc>
                <w:tcPr>
                  <w:tcW w:w="654"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三级</w:t>
                  </w:r>
                </w:p>
              </w:tc>
              <w:tc>
                <w:tcPr>
                  <w:tcW w:w="669"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三级</w:t>
                  </w:r>
                </w:p>
              </w:tc>
              <w:tc>
                <w:tcPr>
                  <w:tcW w:w="670"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三级</w:t>
                  </w:r>
                </w:p>
              </w:tc>
              <w:tc>
                <w:tcPr>
                  <w:tcW w:w="684"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w:t>
                  </w:r>
                </w:p>
              </w:tc>
              <w:tc>
                <w:tcPr>
                  <w:tcW w:w="647" w:type="dxa"/>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44" w:type="dxa"/>
                  <w:gridSpan w:val="10"/>
                  <w:noWrap w:val="0"/>
                  <w:vAlign w:val="center"/>
                </w:tcPr>
                <w:p>
                  <w:pPr>
                    <w:pStyle w:val="8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注：“—”表示可不展开土壤环境影响评价工作</w:t>
                  </w:r>
                </w:p>
              </w:tc>
            </w:tr>
          </w:tbl>
          <w:p>
            <w:pPr>
              <w:keepNext w:val="0"/>
              <w:keepLines w:val="0"/>
              <w:pageBreakBefore w:val="0"/>
              <w:widowControl/>
              <w:tabs>
                <w:tab w:val="left" w:pos="900"/>
              </w:tabs>
              <w:kinsoku/>
              <w:wordWrap/>
              <w:overflowPunct/>
              <w:topLinePunct w:val="0"/>
              <w:autoSpaceDE/>
              <w:autoSpaceDN/>
              <w:bidi w:val="0"/>
              <w:adjustRightInd w:val="0"/>
              <w:snapToGrid w:val="0"/>
              <w:spacing w:line="360" w:lineRule="auto"/>
              <w:ind w:firstLine="482"/>
              <w:textAlignment w:val="auto"/>
              <w:rPr>
                <w:rFonts w:hint="eastAsia" w:ascii="Times New Roman" w:hAnsi="Times New Roman" w:cs="Times New Roman"/>
                <w:color w:val="auto"/>
                <w:kern w:val="0"/>
                <w:sz w:val="24"/>
                <w:szCs w:val="22"/>
                <w:u w:val="none"/>
                <w:lang w:val="en-US" w:eastAsia="zh-CN"/>
              </w:rPr>
            </w:pPr>
            <w:r>
              <w:rPr>
                <w:rFonts w:hint="default" w:ascii="Times New Roman" w:hAnsi="Times New Roman" w:cs="Times New Roman"/>
                <w:i w:val="0"/>
                <w:iCs w:val="0"/>
                <w:color w:val="auto"/>
                <w:sz w:val="24"/>
                <w:highlight w:val="none"/>
                <w:u w:val="none"/>
              </w:rPr>
              <w:t>综上，对照表</w:t>
            </w:r>
            <w:r>
              <w:rPr>
                <w:rFonts w:hint="eastAsia" w:ascii="Times New Roman" w:hAnsi="Times New Roman" w:cs="Times New Roman"/>
                <w:i w:val="0"/>
                <w:iCs w:val="0"/>
                <w:color w:val="auto"/>
                <w:sz w:val="24"/>
                <w:highlight w:val="none"/>
                <w:u w:val="none"/>
                <w:lang w:val="en-US" w:eastAsia="zh-CN"/>
              </w:rPr>
              <w:t>7-2</w:t>
            </w:r>
            <w:r>
              <w:rPr>
                <w:rFonts w:hint="eastAsia" w:cs="Times New Roman"/>
                <w:i w:val="0"/>
                <w:iCs w:val="0"/>
                <w:color w:val="auto"/>
                <w:sz w:val="24"/>
                <w:highlight w:val="none"/>
                <w:u w:val="none"/>
                <w:lang w:val="en-US" w:eastAsia="zh-CN"/>
              </w:rPr>
              <w:t>5</w:t>
            </w:r>
            <w:r>
              <w:rPr>
                <w:rFonts w:hint="default" w:ascii="Times New Roman" w:hAnsi="Times New Roman" w:cs="Times New Roman"/>
                <w:i w:val="0"/>
                <w:iCs w:val="0"/>
                <w:color w:val="auto"/>
                <w:sz w:val="24"/>
                <w:highlight w:val="none"/>
                <w:u w:val="none"/>
              </w:rPr>
              <w:t>可知，</w:t>
            </w:r>
            <w:r>
              <w:rPr>
                <w:rFonts w:hint="eastAsia"/>
                <w:color w:val="auto"/>
                <w:sz w:val="24"/>
                <w:highlight w:val="none"/>
                <w:u w:val="none"/>
              </w:rPr>
              <w:t>本项目土壤环境影响评价工作</w:t>
            </w:r>
            <w:r>
              <w:rPr>
                <w:rFonts w:hint="eastAsia"/>
                <w:color w:val="auto"/>
                <w:sz w:val="24"/>
                <w:highlight w:val="none"/>
                <w:u w:val="none"/>
                <w:lang w:eastAsia="zh-CN"/>
              </w:rPr>
              <w:t>等级为三级</w:t>
            </w:r>
            <w:r>
              <w:rPr>
                <w:rFonts w:hint="eastAsia" w:ascii="Times New Roman" w:hAnsi="Times New Roman" w:cs="Times New Roman"/>
                <w:color w:val="auto"/>
                <w:kern w:val="0"/>
                <w:sz w:val="24"/>
                <w:szCs w:val="22"/>
                <w:u w:val="none"/>
                <w:lang w:val="en-US" w:eastAsia="zh-CN"/>
              </w:rPr>
              <w:t>。</w:t>
            </w:r>
          </w:p>
          <w:p>
            <w:pPr>
              <w:keepNext w:val="0"/>
              <w:keepLines w:val="0"/>
              <w:pageBreakBefore w:val="0"/>
              <w:widowControl/>
              <w:tabs>
                <w:tab w:val="left" w:pos="900"/>
              </w:tabs>
              <w:kinsoku/>
              <w:wordWrap/>
              <w:overflowPunct/>
              <w:topLinePunct w:val="0"/>
              <w:autoSpaceDE/>
              <w:autoSpaceDN/>
              <w:bidi w:val="0"/>
              <w:adjustRightInd w:val="0"/>
              <w:snapToGrid w:val="0"/>
              <w:spacing w:line="360" w:lineRule="auto"/>
              <w:ind w:firstLine="482"/>
              <w:textAlignment w:val="auto"/>
              <w:rPr>
                <w:rFonts w:hint="default" w:eastAsia="宋体"/>
                <w:i w:val="0"/>
                <w:iCs w:val="0"/>
                <w:color w:val="auto"/>
                <w:sz w:val="24"/>
                <w:u w:val="none"/>
                <w:lang w:val="en-US" w:eastAsia="zh-CN"/>
              </w:rPr>
            </w:pPr>
            <w:r>
              <w:rPr>
                <w:rFonts w:hint="eastAsia"/>
                <w:i w:val="0"/>
                <w:iCs w:val="0"/>
                <w:color w:val="auto"/>
                <w:sz w:val="24"/>
                <w:u w:val="none"/>
                <w:lang w:val="en-US" w:eastAsia="zh-CN"/>
              </w:rPr>
              <w:t>2、</w:t>
            </w:r>
            <w:r>
              <w:rPr>
                <w:rFonts w:hint="eastAsia" w:cs="Times New Roman"/>
                <w:i w:val="0"/>
                <w:iCs w:val="0"/>
                <w:color w:val="auto"/>
                <w:sz w:val="24"/>
                <w:szCs w:val="24"/>
                <w:u w:val="none"/>
                <w:lang w:val="en-US" w:eastAsia="zh-CN"/>
              </w:rPr>
              <w:t>土壤</w:t>
            </w:r>
            <w:r>
              <w:rPr>
                <w:rFonts w:hint="eastAsia" w:ascii="Times New Roman" w:hAnsi="Times New Roman" w:eastAsia="宋体" w:cs="Times New Roman"/>
                <w:i w:val="0"/>
                <w:iCs w:val="0"/>
                <w:color w:val="auto"/>
                <w:sz w:val="24"/>
                <w:szCs w:val="24"/>
                <w:u w:val="none"/>
                <w:lang w:val="en-US" w:eastAsia="zh-CN"/>
              </w:rPr>
              <w:t>环境影响及防治措施</w:t>
            </w:r>
          </w:p>
          <w:p>
            <w:pPr>
              <w:keepNext w:val="0"/>
              <w:keepLines w:val="0"/>
              <w:pageBreakBefore w:val="0"/>
              <w:widowControl/>
              <w:tabs>
                <w:tab w:val="left" w:pos="900"/>
              </w:tabs>
              <w:kinsoku/>
              <w:wordWrap/>
              <w:overflowPunct/>
              <w:topLinePunct w:val="0"/>
              <w:autoSpaceDE/>
              <w:autoSpaceDN/>
              <w:bidi w:val="0"/>
              <w:adjustRightInd w:val="0"/>
              <w:snapToGrid w:val="0"/>
              <w:spacing w:line="360" w:lineRule="auto"/>
              <w:ind w:firstLine="482"/>
              <w:textAlignment w:val="auto"/>
              <w:rPr>
                <w:i w:val="0"/>
                <w:iCs w:val="0"/>
                <w:color w:val="auto"/>
                <w:sz w:val="24"/>
                <w:u w:val="none"/>
              </w:rPr>
            </w:pPr>
            <w:r>
              <w:rPr>
                <w:rFonts w:hint="eastAsia"/>
                <w:i w:val="0"/>
                <w:iCs w:val="0"/>
                <w:color w:val="auto"/>
                <w:sz w:val="24"/>
                <w:u w:val="none"/>
              </w:rPr>
              <w:t>本项目污水处理</w:t>
            </w:r>
            <w:r>
              <w:rPr>
                <w:rFonts w:hint="eastAsia"/>
                <w:i w:val="0"/>
                <w:iCs w:val="0"/>
                <w:color w:val="auto"/>
                <w:sz w:val="24"/>
                <w:u w:val="none"/>
                <w:lang w:eastAsia="zh-CN"/>
              </w:rPr>
              <w:t>厂</w:t>
            </w:r>
            <w:r>
              <w:rPr>
                <w:rFonts w:hint="eastAsia"/>
                <w:i w:val="0"/>
                <w:iCs w:val="0"/>
                <w:color w:val="auto"/>
                <w:sz w:val="24"/>
                <w:u w:val="none"/>
              </w:rPr>
              <w:t>建成运行后，因建筑质量造成各个构筑物池底或池壁渗漏或破损，从而使污水下渗，可能对土壤产生影响。</w:t>
            </w:r>
          </w:p>
          <w:p>
            <w:pPr>
              <w:keepNext w:val="0"/>
              <w:keepLines w:val="0"/>
              <w:pageBreakBefore w:val="0"/>
              <w:widowControl/>
              <w:tabs>
                <w:tab w:val="left" w:pos="900"/>
              </w:tabs>
              <w:kinsoku/>
              <w:wordWrap/>
              <w:overflowPunct/>
              <w:topLinePunct w:val="0"/>
              <w:autoSpaceDE/>
              <w:autoSpaceDN/>
              <w:bidi w:val="0"/>
              <w:adjustRightInd w:val="0"/>
              <w:snapToGrid w:val="0"/>
              <w:spacing w:line="360" w:lineRule="auto"/>
              <w:ind w:firstLine="482"/>
              <w:textAlignment w:val="auto"/>
              <w:rPr>
                <w:i w:val="0"/>
                <w:iCs w:val="0"/>
                <w:color w:val="auto"/>
                <w:sz w:val="24"/>
                <w:u w:val="none"/>
              </w:rPr>
            </w:pPr>
            <w:r>
              <w:rPr>
                <w:rFonts w:hint="eastAsia"/>
                <w:i w:val="0"/>
                <w:iCs w:val="0"/>
                <w:color w:val="auto"/>
                <w:sz w:val="24"/>
                <w:u w:val="none"/>
              </w:rPr>
              <w:t>为减少对土壤环境的影响，建议采取如下</w:t>
            </w:r>
            <w:r>
              <w:rPr>
                <w:rFonts w:hint="eastAsia"/>
                <w:i w:val="0"/>
                <w:iCs w:val="0"/>
                <w:color w:val="auto"/>
                <w:sz w:val="24"/>
                <w:u w:val="none"/>
                <w:lang w:eastAsia="zh-CN"/>
              </w:rPr>
              <w:t>土壤</w:t>
            </w:r>
            <w:r>
              <w:rPr>
                <w:rFonts w:hint="eastAsia"/>
                <w:i w:val="0"/>
                <w:iCs w:val="0"/>
                <w:color w:val="auto"/>
                <w:sz w:val="24"/>
                <w:u w:val="none"/>
              </w:rPr>
              <w:t>污染防治对策：</w:t>
            </w:r>
          </w:p>
          <w:p>
            <w:pPr>
              <w:keepNext w:val="0"/>
              <w:keepLines w:val="0"/>
              <w:pageBreakBefore w:val="0"/>
              <w:widowControl/>
              <w:tabs>
                <w:tab w:val="left" w:pos="900"/>
              </w:tabs>
              <w:kinsoku/>
              <w:wordWrap/>
              <w:overflowPunct/>
              <w:topLinePunct w:val="0"/>
              <w:autoSpaceDE/>
              <w:autoSpaceDN/>
              <w:bidi w:val="0"/>
              <w:adjustRightInd w:val="0"/>
              <w:snapToGrid w:val="0"/>
              <w:spacing w:line="360" w:lineRule="auto"/>
              <w:ind w:firstLine="482"/>
              <w:textAlignment w:val="auto"/>
              <w:rPr>
                <w:i w:val="0"/>
                <w:iCs w:val="0"/>
                <w:color w:val="auto"/>
                <w:sz w:val="24"/>
                <w:u w:val="none"/>
              </w:rPr>
            </w:pPr>
            <w:r>
              <w:rPr>
                <w:rFonts w:hint="eastAsia"/>
                <w:i w:val="0"/>
                <w:iCs w:val="0"/>
                <w:color w:val="auto"/>
                <w:sz w:val="24"/>
                <w:u w:val="none"/>
              </w:rPr>
              <w:fldChar w:fldCharType="begin"/>
            </w:r>
            <w:r>
              <w:rPr>
                <w:rFonts w:hint="eastAsia"/>
                <w:i w:val="0"/>
                <w:iCs w:val="0"/>
                <w:color w:val="auto"/>
                <w:sz w:val="24"/>
                <w:u w:val="none"/>
              </w:rPr>
              <w:instrText xml:space="preserve"> = 1 \* GB3 \* MERGEFORMAT </w:instrText>
            </w:r>
            <w:r>
              <w:rPr>
                <w:rFonts w:hint="eastAsia"/>
                <w:i w:val="0"/>
                <w:iCs w:val="0"/>
                <w:color w:val="auto"/>
                <w:sz w:val="24"/>
                <w:u w:val="none"/>
              </w:rPr>
              <w:fldChar w:fldCharType="separate"/>
            </w:r>
            <w:r>
              <w:rPr>
                <w:rFonts w:hint="eastAsia" w:ascii="宋体" w:hAnsi="宋体" w:cs="宋体"/>
                <w:i w:val="0"/>
                <w:iCs w:val="0"/>
                <w:color w:val="auto"/>
                <w:sz w:val="24"/>
                <w:u w:val="none"/>
              </w:rPr>
              <w:t>①</w:t>
            </w:r>
            <w:r>
              <w:rPr>
                <w:rFonts w:hint="eastAsia"/>
                <w:i w:val="0"/>
                <w:iCs w:val="0"/>
                <w:color w:val="auto"/>
                <w:sz w:val="24"/>
                <w:u w:val="none"/>
              </w:rPr>
              <w:fldChar w:fldCharType="end"/>
            </w:r>
            <w:r>
              <w:rPr>
                <w:rFonts w:hint="eastAsia"/>
                <w:i w:val="0"/>
                <w:iCs w:val="0"/>
                <w:color w:val="auto"/>
                <w:sz w:val="24"/>
                <w:u w:val="none"/>
              </w:rPr>
              <w:t xml:space="preserve"> 地面防渗措施：在施工过程中，格栅</w:t>
            </w:r>
            <w:r>
              <w:rPr>
                <w:rFonts w:hint="eastAsia"/>
                <w:i w:val="0"/>
                <w:iCs w:val="0"/>
                <w:color w:val="auto"/>
                <w:sz w:val="24"/>
                <w:u w:val="none"/>
                <w:lang w:eastAsia="zh-CN"/>
              </w:rPr>
              <w:t>渠</w:t>
            </w:r>
            <w:r>
              <w:rPr>
                <w:rFonts w:hint="eastAsia"/>
                <w:i w:val="0"/>
                <w:iCs w:val="0"/>
                <w:color w:val="auto"/>
                <w:sz w:val="24"/>
                <w:u w:val="none"/>
              </w:rPr>
              <w:t>、</w:t>
            </w:r>
            <w:r>
              <w:rPr>
                <w:rFonts w:hint="eastAsia"/>
                <w:i w:val="0"/>
                <w:iCs w:val="0"/>
                <w:color w:val="auto"/>
                <w:sz w:val="24"/>
                <w:u w:val="none"/>
                <w:lang w:eastAsia="zh-CN"/>
              </w:rPr>
              <w:t>调节池、储泥池、沉淀池</w:t>
            </w:r>
            <w:r>
              <w:rPr>
                <w:rFonts w:hint="eastAsia"/>
                <w:i w:val="0"/>
                <w:iCs w:val="0"/>
                <w:color w:val="auto"/>
                <w:sz w:val="24"/>
                <w:u w:val="none"/>
              </w:rPr>
              <w:t>等构筑物均应采取防渗措施，具体措施为：所有构筑物基础及垫层为C15混凝土，梁柱为C30混凝土，外加5%-8%微膨胀剂EVA。地表以下与土壤接触部分构筑物池壁外侧均刷环氧沥青防腐涂料，构筑物内壁、底部均抹防水砂浆。</w:t>
            </w:r>
          </w:p>
          <w:p>
            <w:pPr>
              <w:keepNext w:val="0"/>
              <w:keepLines w:val="0"/>
              <w:pageBreakBefore w:val="0"/>
              <w:widowControl/>
              <w:tabs>
                <w:tab w:val="left" w:pos="900"/>
              </w:tabs>
              <w:kinsoku/>
              <w:wordWrap/>
              <w:overflowPunct/>
              <w:topLinePunct w:val="0"/>
              <w:autoSpaceDE/>
              <w:autoSpaceDN/>
              <w:bidi w:val="0"/>
              <w:adjustRightInd w:val="0"/>
              <w:snapToGrid w:val="0"/>
              <w:spacing w:line="360" w:lineRule="auto"/>
              <w:ind w:firstLine="482"/>
              <w:textAlignment w:val="auto"/>
              <w:rPr>
                <w:i w:val="0"/>
                <w:iCs w:val="0"/>
                <w:color w:val="auto"/>
                <w:sz w:val="24"/>
                <w:u w:val="none"/>
              </w:rPr>
            </w:pPr>
            <w:r>
              <w:rPr>
                <w:rFonts w:hint="eastAsia"/>
                <w:i w:val="0"/>
                <w:iCs w:val="0"/>
                <w:color w:val="auto"/>
                <w:sz w:val="24"/>
                <w:u w:val="none"/>
              </w:rPr>
              <w:fldChar w:fldCharType="begin"/>
            </w:r>
            <w:r>
              <w:rPr>
                <w:rFonts w:hint="eastAsia"/>
                <w:i w:val="0"/>
                <w:iCs w:val="0"/>
                <w:color w:val="auto"/>
                <w:sz w:val="24"/>
                <w:u w:val="none"/>
              </w:rPr>
              <w:instrText xml:space="preserve"> = 2 \* GB3 \* MERGEFORMAT </w:instrText>
            </w:r>
            <w:r>
              <w:rPr>
                <w:rFonts w:hint="eastAsia"/>
                <w:i w:val="0"/>
                <w:iCs w:val="0"/>
                <w:color w:val="auto"/>
                <w:sz w:val="24"/>
                <w:u w:val="none"/>
              </w:rPr>
              <w:fldChar w:fldCharType="separate"/>
            </w:r>
            <w:r>
              <w:rPr>
                <w:rFonts w:hint="eastAsia" w:ascii="宋体" w:hAnsi="宋体" w:cs="宋体"/>
                <w:i w:val="0"/>
                <w:iCs w:val="0"/>
                <w:color w:val="auto"/>
                <w:sz w:val="24"/>
                <w:u w:val="none"/>
              </w:rPr>
              <w:t>②</w:t>
            </w:r>
            <w:r>
              <w:rPr>
                <w:rFonts w:hint="eastAsia"/>
                <w:i w:val="0"/>
                <w:iCs w:val="0"/>
                <w:color w:val="auto"/>
                <w:sz w:val="24"/>
                <w:u w:val="none"/>
              </w:rPr>
              <w:fldChar w:fldCharType="end"/>
            </w:r>
            <w:r>
              <w:rPr>
                <w:rFonts w:hint="eastAsia"/>
                <w:i w:val="0"/>
                <w:iCs w:val="0"/>
                <w:color w:val="auto"/>
                <w:sz w:val="24"/>
                <w:u w:val="none"/>
              </w:rPr>
              <w:t xml:space="preserve"> 对管道、阀门严格检查，有质量问题的及时更换，管道、阀门都应采用优质耐腐蚀材料制成的产品。</w:t>
            </w:r>
          </w:p>
          <w:p>
            <w:pPr>
              <w:keepNext w:val="0"/>
              <w:keepLines w:val="0"/>
              <w:pageBreakBefore w:val="0"/>
              <w:widowControl/>
              <w:tabs>
                <w:tab w:val="left" w:pos="900"/>
              </w:tabs>
              <w:kinsoku/>
              <w:wordWrap/>
              <w:overflowPunct/>
              <w:topLinePunct w:val="0"/>
              <w:autoSpaceDE/>
              <w:autoSpaceDN/>
              <w:bidi w:val="0"/>
              <w:adjustRightInd w:val="0"/>
              <w:snapToGrid w:val="0"/>
              <w:spacing w:line="360" w:lineRule="auto"/>
              <w:ind w:firstLine="482"/>
              <w:textAlignment w:val="auto"/>
              <w:rPr>
                <w:i w:val="0"/>
                <w:iCs w:val="0"/>
                <w:color w:val="auto"/>
                <w:sz w:val="24"/>
                <w:u w:val="none"/>
              </w:rPr>
            </w:pPr>
            <w:r>
              <w:rPr>
                <w:rFonts w:hint="eastAsia"/>
                <w:i w:val="0"/>
                <w:iCs w:val="0"/>
                <w:color w:val="auto"/>
                <w:sz w:val="24"/>
                <w:u w:val="none"/>
              </w:rPr>
              <w:t>采取以上措施后，本项目对</w:t>
            </w:r>
            <w:r>
              <w:rPr>
                <w:rFonts w:hint="eastAsia"/>
                <w:i w:val="0"/>
                <w:iCs w:val="0"/>
                <w:color w:val="auto"/>
                <w:sz w:val="24"/>
                <w:u w:val="none"/>
                <w:lang w:eastAsia="zh-CN"/>
              </w:rPr>
              <w:t>土壤环境质量</w:t>
            </w:r>
            <w:r>
              <w:rPr>
                <w:rFonts w:hint="eastAsia"/>
                <w:i w:val="0"/>
                <w:iCs w:val="0"/>
                <w:color w:val="auto"/>
                <w:sz w:val="24"/>
                <w:u w:val="none"/>
              </w:rPr>
              <w:t>影响较小，污水收集管网对村落污水进行收集，减少了项目区污水的直接下渗，从而也减轻了污水对项目区土壤环境质量的影响。</w:t>
            </w:r>
          </w:p>
          <w:p>
            <w:pPr>
              <w:keepNext w:val="0"/>
              <w:keepLines w:val="0"/>
              <w:pageBreakBefore w:val="0"/>
              <w:kinsoku/>
              <w:wordWrap/>
              <w:overflowPunct/>
              <w:topLinePunct w:val="0"/>
              <w:autoSpaceDE/>
              <w:autoSpaceDN/>
              <w:bidi w:val="0"/>
              <w:adjustRightInd w:val="0"/>
              <w:snapToGrid w:val="0"/>
              <w:spacing w:line="360" w:lineRule="auto"/>
              <w:ind w:firstLine="462" w:firstLineChars="200"/>
              <w:textAlignment w:val="auto"/>
              <w:rPr>
                <w:b/>
                <w:bCs/>
                <w:color w:val="auto"/>
                <w:sz w:val="24"/>
                <w:szCs w:val="24"/>
                <w:u w:val="none"/>
              </w:rPr>
            </w:pPr>
            <w:r>
              <w:rPr>
                <w:rFonts w:hint="eastAsia"/>
                <w:b/>
                <w:bCs/>
                <w:color w:val="auto"/>
                <w:sz w:val="24"/>
                <w:szCs w:val="24"/>
                <w:u w:val="none"/>
              </w:rPr>
              <w:t xml:space="preserve">7.2.5 </w:t>
            </w:r>
            <w:r>
              <w:rPr>
                <w:b/>
                <w:bCs/>
                <w:color w:val="auto"/>
                <w:sz w:val="24"/>
                <w:szCs w:val="24"/>
                <w:u w:val="none"/>
              </w:rPr>
              <w:t>声环境影响分析</w:t>
            </w:r>
          </w:p>
          <w:p>
            <w:pPr>
              <w:keepNext w:val="0"/>
              <w:keepLines w:val="0"/>
              <w:pageBreakBefore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rPr>
            </w:pPr>
            <w:r>
              <w:rPr>
                <w:rFonts w:hint="eastAsia"/>
                <w:color w:val="auto"/>
                <w:sz w:val="24"/>
                <w:szCs w:val="24"/>
                <w:u w:val="none"/>
              </w:rPr>
              <w:t>污水处理厂的噪声主要来源于鼓风曝气装置、污泥泵房和污泥脱水机房等的动力设备，均为点声源。本项目噪声源强及排放声级见表7-2</w:t>
            </w:r>
            <w:r>
              <w:rPr>
                <w:rFonts w:hint="eastAsia"/>
                <w:color w:val="auto"/>
                <w:sz w:val="24"/>
                <w:szCs w:val="24"/>
                <w:u w:val="none"/>
                <w:lang w:val="en-US" w:eastAsia="zh-CN"/>
              </w:rPr>
              <w:t>6</w:t>
            </w:r>
            <w:r>
              <w:rPr>
                <w:rFonts w:hint="eastAsia"/>
                <w:color w:val="auto"/>
                <w:sz w:val="24"/>
                <w:szCs w:val="24"/>
                <w:u w:val="none"/>
              </w:rPr>
              <w:t>。</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b/>
                <w:bCs/>
                <w:color w:val="auto"/>
                <w:szCs w:val="21"/>
                <w:u w:val="none"/>
              </w:rPr>
            </w:pPr>
            <w:r>
              <w:rPr>
                <w:rFonts w:hint="eastAsia"/>
                <w:b/>
                <w:bCs/>
                <w:color w:val="auto"/>
                <w:szCs w:val="21"/>
                <w:u w:val="none"/>
              </w:rPr>
              <w:t>表7-2</w:t>
            </w:r>
            <w:r>
              <w:rPr>
                <w:rFonts w:hint="eastAsia"/>
                <w:b/>
                <w:bCs/>
                <w:color w:val="auto"/>
                <w:szCs w:val="21"/>
                <w:u w:val="none"/>
                <w:lang w:val="en-US" w:eastAsia="zh-CN"/>
              </w:rPr>
              <w:t>6</w:t>
            </w:r>
            <w:r>
              <w:rPr>
                <w:rFonts w:hint="eastAsia"/>
                <w:b/>
                <w:bCs/>
                <w:color w:val="auto"/>
                <w:szCs w:val="21"/>
                <w:u w:val="none"/>
              </w:rPr>
              <w:t xml:space="preserve">   噪声现状监测结果  单位：dB（A）</w:t>
            </w:r>
          </w:p>
          <w:tbl>
            <w:tblPr>
              <w:tblStyle w:val="27"/>
              <w:tblW w:w="9096"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975"/>
              <w:gridCol w:w="1294"/>
              <w:gridCol w:w="2306"/>
              <w:gridCol w:w="17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56"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噪声源</w:t>
                  </w:r>
                </w:p>
              </w:tc>
              <w:tc>
                <w:tcPr>
                  <w:tcW w:w="1975" w:type="dxa"/>
                  <w:tcBorders>
                    <w:tl2br w:val="nil"/>
                    <w:tr2bl w:val="nil"/>
                  </w:tcBorders>
                  <w:vAlign w:val="center"/>
                </w:tcPr>
                <w:p>
                  <w:pPr>
                    <w:widowControl/>
                    <w:jc w:val="center"/>
                    <w:rPr>
                      <w:color w:val="auto"/>
                      <w:kern w:val="0"/>
                      <w:szCs w:val="21"/>
                      <w:u w:val="none"/>
                    </w:rPr>
                  </w:pPr>
                  <w:r>
                    <w:rPr>
                      <w:color w:val="auto"/>
                      <w:kern w:val="0"/>
                      <w:szCs w:val="21"/>
                      <w:u w:val="none"/>
                    </w:rPr>
                    <w:t>设备名称</w:t>
                  </w:r>
                </w:p>
              </w:tc>
              <w:tc>
                <w:tcPr>
                  <w:tcW w:w="1294" w:type="dxa"/>
                  <w:tcBorders>
                    <w:tl2br w:val="nil"/>
                    <w:tr2bl w:val="nil"/>
                  </w:tcBorders>
                  <w:vAlign w:val="center"/>
                </w:tcPr>
                <w:p>
                  <w:pPr>
                    <w:widowControl/>
                    <w:jc w:val="center"/>
                    <w:rPr>
                      <w:color w:val="auto"/>
                      <w:kern w:val="0"/>
                      <w:szCs w:val="21"/>
                      <w:u w:val="none"/>
                    </w:rPr>
                  </w:pPr>
                  <w:r>
                    <w:rPr>
                      <w:color w:val="auto"/>
                      <w:kern w:val="0"/>
                      <w:szCs w:val="21"/>
                      <w:u w:val="none"/>
                    </w:rPr>
                    <w:t>数量</w:t>
                  </w:r>
                </w:p>
              </w:tc>
              <w:tc>
                <w:tcPr>
                  <w:tcW w:w="2306"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降噪后声级</w:t>
                  </w:r>
                </w:p>
              </w:tc>
              <w:tc>
                <w:tcPr>
                  <w:tcW w:w="1765"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与厂界最近距离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756"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格栅井</w:t>
                  </w:r>
                </w:p>
              </w:tc>
              <w:tc>
                <w:tcPr>
                  <w:tcW w:w="1975" w:type="dxa"/>
                  <w:tcBorders>
                    <w:tl2br w:val="nil"/>
                    <w:tr2bl w:val="nil"/>
                  </w:tcBorders>
                  <w:vAlign w:val="center"/>
                </w:tcPr>
                <w:p>
                  <w:pPr>
                    <w:widowControl/>
                    <w:jc w:val="center"/>
                    <w:rPr>
                      <w:color w:val="auto"/>
                      <w:kern w:val="0"/>
                      <w:szCs w:val="21"/>
                      <w:u w:val="none"/>
                    </w:rPr>
                  </w:pPr>
                  <w:r>
                    <w:rPr>
                      <w:color w:val="auto"/>
                      <w:kern w:val="0"/>
                      <w:szCs w:val="21"/>
                      <w:u w:val="none"/>
                    </w:rPr>
                    <w:t>循环式齿耙清污机</w:t>
                  </w:r>
                </w:p>
              </w:tc>
              <w:tc>
                <w:tcPr>
                  <w:tcW w:w="1294" w:type="dxa"/>
                  <w:tcBorders>
                    <w:tl2br w:val="nil"/>
                    <w:tr2bl w:val="nil"/>
                  </w:tcBorders>
                  <w:vAlign w:val="center"/>
                </w:tcPr>
                <w:p>
                  <w:pPr>
                    <w:widowControl/>
                    <w:jc w:val="center"/>
                    <w:rPr>
                      <w:color w:val="auto"/>
                      <w:kern w:val="0"/>
                      <w:szCs w:val="21"/>
                      <w:u w:val="none"/>
                    </w:rPr>
                  </w:pPr>
                  <w:r>
                    <w:rPr>
                      <w:color w:val="auto"/>
                      <w:szCs w:val="21"/>
                      <w:u w:val="none"/>
                    </w:rPr>
                    <w:t>1</w:t>
                  </w:r>
                  <w:r>
                    <w:rPr>
                      <w:color w:val="auto"/>
                      <w:kern w:val="0"/>
                      <w:szCs w:val="21"/>
                      <w:u w:val="none"/>
                    </w:rPr>
                    <w:t>套</w:t>
                  </w:r>
                </w:p>
              </w:tc>
              <w:tc>
                <w:tcPr>
                  <w:tcW w:w="2306"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6</w:t>
                  </w:r>
                  <w:r>
                    <w:rPr>
                      <w:color w:val="auto"/>
                      <w:kern w:val="0"/>
                      <w:szCs w:val="21"/>
                      <w:u w:val="none"/>
                    </w:rPr>
                    <w:t>0~</w:t>
                  </w:r>
                  <w:r>
                    <w:rPr>
                      <w:rFonts w:hint="eastAsia"/>
                      <w:color w:val="auto"/>
                      <w:kern w:val="0"/>
                      <w:szCs w:val="21"/>
                      <w:u w:val="none"/>
                    </w:rPr>
                    <w:t>7</w:t>
                  </w:r>
                  <w:r>
                    <w:rPr>
                      <w:color w:val="auto"/>
                      <w:kern w:val="0"/>
                      <w:szCs w:val="21"/>
                      <w:u w:val="none"/>
                    </w:rPr>
                    <w:t>0dB(A)</w:t>
                  </w:r>
                </w:p>
              </w:tc>
              <w:tc>
                <w:tcPr>
                  <w:tcW w:w="1765"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西侧，10m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56" w:type="dxa"/>
                  <w:vMerge w:val="restart"/>
                  <w:tcBorders>
                    <w:tl2br w:val="nil"/>
                    <w:tr2bl w:val="nil"/>
                  </w:tcBorders>
                  <w:vAlign w:val="center"/>
                </w:tcPr>
                <w:p>
                  <w:pPr>
                    <w:widowControl/>
                    <w:jc w:val="center"/>
                    <w:rPr>
                      <w:color w:val="auto"/>
                      <w:kern w:val="0"/>
                      <w:szCs w:val="21"/>
                      <w:u w:val="none"/>
                    </w:rPr>
                  </w:pPr>
                  <w:r>
                    <w:rPr>
                      <w:color w:val="auto"/>
                      <w:kern w:val="0"/>
                      <w:szCs w:val="21"/>
                      <w:u w:val="none"/>
                    </w:rPr>
                    <w:t>调节池</w:t>
                  </w:r>
                </w:p>
              </w:tc>
              <w:tc>
                <w:tcPr>
                  <w:tcW w:w="1975" w:type="dxa"/>
                  <w:tcBorders>
                    <w:tl2br w:val="nil"/>
                    <w:tr2bl w:val="nil"/>
                  </w:tcBorders>
                  <w:vAlign w:val="center"/>
                </w:tcPr>
                <w:p>
                  <w:pPr>
                    <w:widowControl/>
                    <w:jc w:val="center"/>
                    <w:rPr>
                      <w:color w:val="auto"/>
                      <w:kern w:val="0"/>
                      <w:szCs w:val="21"/>
                      <w:u w:val="none"/>
                    </w:rPr>
                  </w:pPr>
                  <w:r>
                    <w:rPr>
                      <w:rFonts w:hint="eastAsia"/>
                      <w:lang w:eastAsia="zh-CN"/>
                    </w:rPr>
                    <w:t>提升</w:t>
                  </w:r>
                  <w:r>
                    <w:t>泵</w:t>
                  </w:r>
                </w:p>
              </w:tc>
              <w:tc>
                <w:tcPr>
                  <w:tcW w:w="1294" w:type="dxa"/>
                  <w:tcBorders>
                    <w:tl2br w:val="nil"/>
                    <w:tr2bl w:val="nil"/>
                  </w:tcBorders>
                  <w:vAlign w:val="center"/>
                </w:tcPr>
                <w:p>
                  <w:pPr>
                    <w:widowControl/>
                    <w:jc w:val="center"/>
                    <w:rPr>
                      <w:color w:val="auto"/>
                      <w:kern w:val="0"/>
                      <w:szCs w:val="21"/>
                      <w:u w:val="none"/>
                    </w:rPr>
                  </w:pPr>
                  <w:r>
                    <w:rPr>
                      <w:color w:val="auto"/>
                      <w:szCs w:val="21"/>
                      <w:u w:val="none"/>
                    </w:rPr>
                    <w:t>2</w:t>
                  </w:r>
                  <w:r>
                    <w:rPr>
                      <w:color w:val="auto"/>
                      <w:kern w:val="0"/>
                      <w:szCs w:val="21"/>
                      <w:u w:val="none"/>
                    </w:rPr>
                    <w:t>台</w:t>
                  </w:r>
                </w:p>
              </w:tc>
              <w:tc>
                <w:tcPr>
                  <w:tcW w:w="2306"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5</w:t>
                  </w:r>
                  <w:r>
                    <w:rPr>
                      <w:color w:val="auto"/>
                      <w:kern w:val="0"/>
                      <w:szCs w:val="21"/>
                      <w:u w:val="none"/>
                    </w:rPr>
                    <w:t>5~</w:t>
                  </w:r>
                  <w:r>
                    <w:rPr>
                      <w:rFonts w:hint="eastAsia"/>
                      <w:color w:val="auto"/>
                      <w:kern w:val="0"/>
                      <w:szCs w:val="21"/>
                      <w:u w:val="none"/>
                    </w:rPr>
                    <w:t>6</w:t>
                  </w:r>
                  <w:r>
                    <w:rPr>
                      <w:color w:val="auto"/>
                      <w:kern w:val="0"/>
                      <w:szCs w:val="21"/>
                      <w:u w:val="none"/>
                    </w:rPr>
                    <w:t>5dB(A)</w:t>
                  </w:r>
                </w:p>
              </w:tc>
              <w:tc>
                <w:tcPr>
                  <w:tcW w:w="1765"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西侧，10m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756" w:type="dxa"/>
                  <w:vMerge w:val="continue"/>
                  <w:tcBorders>
                    <w:tl2br w:val="nil"/>
                    <w:tr2bl w:val="nil"/>
                  </w:tcBorders>
                  <w:vAlign w:val="center"/>
                </w:tcPr>
                <w:p>
                  <w:pPr>
                    <w:widowControl/>
                    <w:jc w:val="center"/>
                    <w:rPr>
                      <w:color w:val="auto"/>
                      <w:kern w:val="0"/>
                      <w:szCs w:val="21"/>
                      <w:u w:val="none"/>
                    </w:rPr>
                  </w:pPr>
                </w:p>
              </w:tc>
              <w:tc>
                <w:tcPr>
                  <w:tcW w:w="1975" w:type="dxa"/>
                  <w:tcBorders>
                    <w:tl2br w:val="nil"/>
                    <w:tr2bl w:val="nil"/>
                  </w:tcBorders>
                  <w:vAlign w:val="center"/>
                </w:tcPr>
                <w:p>
                  <w:pPr>
                    <w:widowControl/>
                    <w:jc w:val="center"/>
                    <w:rPr>
                      <w:color w:val="auto"/>
                      <w:kern w:val="0"/>
                      <w:szCs w:val="21"/>
                      <w:u w:val="none"/>
                    </w:rPr>
                  </w:pPr>
                  <w:r>
                    <w:rPr>
                      <w:color w:val="auto"/>
                      <w:kern w:val="0"/>
                      <w:szCs w:val="21"/>
                      <w:u w:val="none"/>
                    </w:rPr>
                    <w:t>潜水搅拌机（调节）</w:t>
                  </w:r>
                </w:p>
              </w:tc>
              <w:tc>
                <w:tcPr>
                  <w:tcW w:w="1294" w:type="dxa"/>
                  <w:tcBorders>
                    <w:tl2br w:val="nil"/>
                    <w:tr2bl w:val="nil"/>
                  </w:tcBorders>
                  <w:vAlign w:val="center"/>
                </w:tcPr>
                <w:p>
                  <w:pPr>
                    <w:widowControl/>
                    <w:jc w:val="center"/>
                    <w:rPr>
                      <w:color w:val="auto"/>
                      <w:kern w:val="0"/>
                      <w:szCs w:val="21"/>
                      <w:u w:val="none"/>
                    </w:rPr>
                  </w:pPr>
                  <w:r>
                    <w:rPr>
                      <w:rFonts w:hint="eastAsia"/>
                      <w:color w:val="auto"/>
                      <w:szCs w:val="21"/>
                      <w:u w:val="none"/>
                      <w:lang w:val="en-US" w:eastAsia="zh-CN"/>
                    </w:rPr>
                    <w:t>1</w:t>
                  </w:r>
                  <w:r>
                    <w:rPr>
                      <w:color w:val="auto"/>
                      <w:kern w:val="0"/>
                      <w:szCs w:val="21"/>
                      <w:u w:val="none"/>
                    </w:rPr>
                    <w:t>台</w:t>
                  </w:r>
                </w:p>
              </w:tc>
              <w:tc>
                <w:tcPr>
                  <w:tcW w:w="2306"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6</w:t>
                  </w:r>
                  <w:r>
                    <w:rPr>
                      <w:color w:val="auto"/>
                      <w:kern w:val="0"/>
                      <w:szCs w:val="21"/>
                      <w:u w:val="none"/>
                    </w:rPr>
                    <w:t>0~</w:t>
                  </w:r>
                  <w:r>
                    <w:rPr>
                      <w:rFonts w:hint="eastAsia"/>
                      <w:color w:val="auto"/>
                      <w:kern w:val="0"/>
                      <w:szCs w:val="21"/>
                      <w:u w:val="none"/>
                    </w:rPr>
                    <w:t>7</w:t>
                  </w:r>
                  <w:r>
                    <w:rPr>
                      <w:color w:val="auto"/>
                      <w:kern w:val="0"/>
                      <w:szCs w:val="21"/>
                      <w:u w:val="none"/>
                    </w:rPr>
                    <w:t>0dB(A)</w:t>
                  </w:r>
                </w:p>
              </w:tc>
              <w:tc>
                <w:tcPr>
                  <w:tcW w:w="1765"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西侧，8m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56" w:type="dxa"/>
                  <w:vMerge w:val="restart"/>
                  <w:tcBorders>
                    <w:tl2br w:val="nil"/>
                    <w:tr2bl w:val="nil"/>
                  </w:tcBorders>
                  <w:vAlign w:val="center"/>
                </w:tcPr>
                <w:p>
                  <w:pPr>
                    <w:widowControl/>
                    <w:jc w:val="center"/>
                    <w:rPr>
                      <w:color w:val="auto"/>
                      <w:kern w:val="0"/>
                      <w:szCs w:val="21"/>
                      <w:u w:val="none"/>
                    </w:rPr>
                  </w:pPr>
                  <w:r>
                    <w:rPr>
                      <w:rFonts w:hint="default"/>
                      <w:lang w:val="en-US" w:eastAsia="zh-CN"/>
                    </w:rPr>
                    <w:t>一体化</w:t>
                  </w:r>
                  <w:r>
                    <w:rPr>
                      <w:rFonts w:hint="eastAsia"/>
                      <w:lang w:val="en-US" w:eastAsia="zh-CN"/>
                    </w:rPr>
                    <w:t>生化生化系统</w:t>
                  </w:r>
                </w:p>
              </w:tc>
              <w:tc>
                <w:tcPr>
                  <w:tcW w:w="1975" w:type="dxa"/>
                  <w:tcBorders>
                    <w:tl2br w:val="nil"/>
                    <w:tr2bl w:val="nil"/>
                  </w:tcBorders>
                  <w:vAlign w:val="center"/>
                </w:tcPr>
                <w:p>
                  <w:pPr>
                    <w:widowControl/>
                    <w:jc w:val="center"/>
                    <w:rPr>
                      <w:color w:val="auto"/>
                      <w:kern w:val="0"/>
                      <w:szCs w:val="21"/>
                      <w:u w:val="none"/>
                    </w:rPr>
                  </w:pPr>
                  <w:r>
                    <w:rPr>
                      <w:color w:val="auto"/>
                      <w:kern w:val="0"/>
                      <w:szCs w:val="21"/>
                      <w:u w:val="none"/>
                    </w:rPr>
                    <w:t>潜水搅拌机</w:t>
                  </w:r>
                </w:p>
              </w:tc>
              <w:tc>
                <w:tcPr>
                  <w:tcW w:w="1294" w:type="dxa"/>
                  <w:tcBorders>
                    <w:tl2br w:val="nil"/>
                    <w:tr2bl w:val="nil"/>
                  </w:tcBorders>
                  <w:vAlign w:val="center"/>
                </w:tcPr>
                <w:p>
                  <w:pPr>
                    <w:widowControl/>
                    <w:jc w:val="center"/>
                    <w:rPr>
                      <w:color w:val="auto"/>
                      <w:kern w:val="0"/>
                      <w:szCs w:val="21"/>
                      <w:u w:val="none"/>
                    </w:rPr>
                  </w:pPr>
                  <w:r>
                    <w:rPr>
                      <w:color w:val="auto"/>
                      <w:szCs w:val="21"/>
                      <w:u w:val="none"/>
                    </w:rPr>
                    <w:t>2</w:t>
                  </w:r>
                  <w:r>
                    <w:rPr>
                      <w:color w:val="auto"/>
                      <w:kern w:val="0"/>
                      <w:szCs w:val="21"/>
                      <w:u w:val="none"/>
                    </w:rPr>
                    <w:t>台</w:t>
                  </w:r>
                </w:p>
              </w:tc>
              <w:tc>
                <w:tcPr>
                  <w:tcW w:w="2306"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6</w:t>
                  </w:r>
                  <w:r>
                    <w:rPr>
                      <w:color w:val="auto"/>
                      <w:kern w:val="0"/>
                      <w:szCs w:val="21"/>
                      <w:u w:val="none"/>
                    </w:rPr>
                    <w:t>0~</w:t>
                  </w:r>
                  <w:r>
                    <w:rPr>
                      <w:rFonts w:hint="eastAsia"/>
                      <w:color w:val="auto"/>
                      <w:kern w:val="0"/>
                      <w:szCs w:val="21"/>
                      <w:u w:val="none"/>
                    </w:rPr>
                    <w:t>7</w:t>
                  </w:r>
                  <w:r>
                    <w:rPr>
                      <w:color w:val="auto"/>
                      <w:kern w:val="0"/>
                      <w:szCs w:val="21"/>
                      <w:u w:val="none"/>
                    </w:rPr>
                    <w:t>0dB(A)</w:t>
                  </w:r>
                </w:p>
              </w:tc>
              <w:tc>
                <w:tcPr>
                  <w:tcW w:w="1765"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西侧，10m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756" w:type="dxa"/>
                  <w:vMerge w:val="continue"/>
                  <w:tcBorders>
                    <w:tl2br w:val="nil"/>
                    <w:tr2bl w:val="nil"/>
                  </w:tcBorders>
                  <w:vAlign w:val="center"/>
                </w:tcPr>
                <w:p>
                  <w:pPr>
                    <w:widowControl/>
                    <w:jc w:val="center"/>
                    <w:rPr>
                      <w:color w:val="auto"/>
                      <w:kern w:val="0"/>
                      <w:szCs w:val="21"/>
                      <w:u w:val="none"/>
                    </w:rPr>
                  </w:pPr>
                </w:p>
              </w:tc>
              <w:tc>
                <w:tcPr>
                  <w:tcW w:w="1975" w:type="dxa"/>
                  <w:tcBorders>
                    <w:tl2br w:val="nil"/>
                    <w:tr2bl w:val="nil"/>
                  </w:tcBorders>
                  <w:vAlign w:val="center"/>
                </w:tcPr>
                <w:p>
                  <w:pPr>
                    <w:widowControl/>
                    <w:jc w:val="center"/>
                    <w:rPr>
                      <w:color w:val="auto"/>
                      <w:kern w:val="0"/>
                      <w:szCs w:val="21"/>
                      <w:u w:val="none"/>
                    </w:rPr>
                  </w:pPr>
                  <w:r>
                    <w:rPr>
                      <w:rFonts w:hint="eastAsia"/>
                      <w:lang w:eastAsia="zh-CN"/>
                    </w:rPr>
                    <w:t>罗茨鼓风机</w:t>
                  </w:r>
                </w:p>
              </w:tc>
              <w:tc>
                <w:tcPr>
                  <w:tcW w:w="1294" w:type="dxa"/>
                  <w:tcBorders>
                    <w:tl2br w:val="nil"/>
                    <w:tr2bl w:val="nil"/>
                  </w:tcBorders>
                  <w:vAlign w:val="center"/>
                </w:tcPr>
                <w:p>
                  <w:pPr>
                    <w:widowControl/>
                    <w:jc w:val="center"/>
                    <w:rPr>
                      <w:color w:val="auto"/>
                      <w:kern w:val="0"/>
                      <w:szCs w:val="21"/>
                      <w:u w:val="none"/>
                    </w:rPr>
                  </w:pPr>
                  <w:r>
                    <w:rPr>
                      <w:color w:val="auto"/>
                      <w:szCs w:val="21"/>
                      <w:u w:val="none"/>
                    </w:rPr>
                    <w:t>2</w:t>
                  </w:r>
                  <w:r>
                    <w:rPr>
                      <w:color w:val="auto"/>
                      <w:kern w:val="0"/>
                      <w:szCs w:val="21"/>
                      <w:u w:val="none"/>
                    </w:rPr>
                    <w:t>台</w:t>
                  </w:r>
                </w:p>
              </w:tc>
              <w:tc>
                <w:tcPr>
                  <w:tcW w:w="2306"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5</w:t>
                  </w:r>
                  <w:r>
                    <w:rPr>
                      <w:color w:val="auto"/>
                      <w:kern w:val="0"/>
                      <w:szCs w:val="21"/>
                      <w:u w:val="none"/>
                    </w:rPr>
                    <w:t>5~</w:t>
                  </w:r>
                  <w:r>
                    <w:rPr>
                      <w:rFonts w:hint="eastAsia"/>
                      <w:color w:val="auto"/>
                      <w:kern w:val="0"/>
                      <w:szCs w:val="21"/>
                      <w:u w:val="none"/>
                    </w:rPr>
                    <w:t>6</w:t>
                  </w:r>
                  <w:r>
                    <w:rPr>
                      <w:color w:val="auto"/>
                      <w:kern w:val="0"/>
                      <w:szCs w:val="21"/>
                      <w:u w:val="none"/>
                    </w:rPr>
                    <w:t>5dB(A)</w:t>
                  </w:r>
                </w:p>
              </w:tc>
              <w:tc>
                <w:tcPr>
                  <w:tcW w:w="1765"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西侧，10m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756"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脱水机房</w:t>
                  </w:r>
                </w:p>
              </w:tc>
              <w:tc>
                <w:tcPr>
                  <w:tcW w:w="1975"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压滤机</w:t>
                  </w:r>
                </w:p>
              </w:tc>
              <w:tc>
                <w:tcPr>
                  <w:tcW w:w="1294" w:type="dxa"/>
                  <w:tcBorders>
                    <w:tl2br w:val="nil"/>
                    <w:tr2bl w:val="nil"/>
                  </w:tcBorders>
                  <w:vAlign w:val="center"/>
                </w:tcPr>
                <w:p>
                  <w:pPr>
                    <w:widowControl/>
                    <w:jc w:val="center"/>
                    <w:rPr>
                      <w:color w:val="auto"/>
                      <w:kern w:val="0"/>
                      <w:szCs w:val="21"/>
                      <w:u w:val="none"/>
                    </w:rPr>
                  </w:pPr>
                  <w:r>
                    <w:rPr>
                      <w:rFonts w:hint="eastAsia"/>
                      <w:color w:val="auto"/>
                      <w:szCs w:val="21"/>
                      <w:u w:val="none"/>
                      <w:lang w:val="en-US" w:eastAsia="zh-CN"/>
                    </w:rPr>
                    <w:t>1</w:t>
                  </w:r>
                  <w:r>
                    <w:rPr>
                      <w:rFonts w:hint="eastAsia"/>
                      <w:color w:val="auto"/>
                      <w:kern w:val="0"/>
                      <w:szCs w:val="21"/>
                      <w:u w:val="none"/>
                    </w:rPr>
                    <w:t>台</w:t>
                  </w:r>
                </w:p>
              </w:tc>
              <w:tc>
                <w:tcPr>
                  <w:tcW w:w="2306"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5</w:t>
                  </w:r>
                  <w:r>
                    <w:rPr>
                      <w:color w:val="auto"/>
                      <w:kern w:val="0"/>
                      <w:szCs w:val="21"/>
                      <w:u w:val="none"/>
                    </w:rPr>
                    <w:t>5~</w:t>
                  </w:r>
                  <w:r>
                    <w:rPr>
                      <w:rFonts w:hint="eastAsia"/>
                      <w:color w:val="auto"/>
                      <w:kern w:val="0"/>
                      <w:szCs w:val="21"/>
                      <w:u w:val="none"/>
                    </w:rPr>
                    <w:t>6</w:t>
                  </w:r>
                  <w:r>
                    <w:rPr>
                      <w:color w:val="auto"/>
                      <w:kern w:val="0"/>
                      <w:szCs w:val="21"/>
                      <w:u w:val="none"/>
                    </w:rPr>
                    <w:t>5dB(A)</w:t>
                  </w:r>
                </w:p>
              </w:tc>
              <w:tc>
                <w:tcPr>
                  <w:tcW w:w="1765" w:type="dxa"/>
                  <w:tcBorders>
                    <w:tl2br w:val="nil"/>
                    <w:tr2bl w:val="nil"/>
                  </w:tcBorders>
                  <w:vAlign w:val="center"/>
                </w:tcPr>
                <w:p>
                  <w:pPr>
                    <w:widowControl/>
                    <w:jc w:val="center"/>
                    <w:rPr>
                      <w:color w:val="auto"/>
                      <w:kern w:val="0"/>
                      <w:szCs w:val="21"/>
                      <w:u w:val="none"/>
                    </w:rPr>
                  </w:pPr>
                  <w:r>
                    <w:rPr>
                      <w:rFonts w:hint="eastAsia"/>
                      <w:color w:val="auto"/>
                      <w:kern w:val="0"/>
                      <w:szCs w:val="21"/>
                      <w:u w:val="none"/>
                    </w:rPr>
                    <w:t>东侧，8m</w:t>
                  </w:r>
                </w:p>
              </w:tc>
            </w:tr>
          </w:tbl>
          <w:p>
            <w:pPr>
              <w:spacing w:line="360" w:lineRule="auto"/>
              <w:ind w:firstLine="462" w:firstLineChars="200"/>
              <w:rPr>
                <w:color w:val="auto"/>
                <w:sz w:val="24"/>
                <w:szCs w:val="24"/>
                <w:u w:val="none"/>
              </w:rPr>
            </w:pPr>
            <w:r>
              <w:rPr>
                <w:rFonts w:hint="eastAsia"/>
                <w:color w:val="auto"/>
                <w:sz w:val="24"/>
                <w:szCs w:val="24"/>
                <w:u w:val="none"/>
              </w:rPr>
              <w:t>（1）预测模式</w:t>
            </w:r>
          </w:p>
          <w:p>
            <w:pPr>
              <w:spacing w:line="360" w:lineRule="auto"/>
              <w:ind w:firstLine="462" w:firstLineChars="200"/>
              <w:rPr>
                <w:color w:val="auto"/>
                <w:sz w:val="24"/>
                <w:szCs w:val="24"/>
                <w:u w:val="none"/>
              </w:rPr>
            </w:pPr>
            <w:r>
              <w:rPr>
                <w:rFonts w:hint="eastAsia"/>
                <w:color w:val="auto"/>
                <w:sz w:val="24"/>
                <w:szCs w:val="24"/>
                <w:u w:val="none"/>
              </w:rPr>
              <w:t>根据《环境影响评价技术导则—声环境》（HJ2.4—2009）中的有关规定，本次评价根据声源的分布及噪声传播规律，根据工程噪声源的初步分析，拟建工程噪声源主要为固定声源：室内噪声源，本评价将预测各声源对保护目标的影响，并对预测结果进行叠加，叠加时主要考虑噪声设备的噪声值迭加、距离衰减等因素。</w:t>
            </w:r>
          </w:p>
          <w:p>
            <w:pPr>
              <w:spacing w:line="360" w:lineRule="auto"/>
              <w:ind w:firstLine="462" w:firstLineChars="200"/>
              <w:rPr>
                <w:color w:val="auto"/>
                <w:sz w:val="24"/>
                <w:szCs w:val="24"/>
                <w:u w:val="none"/>
              </w:rPr>
            </w:pPr>
            <w:r>
              <w:rPr>
                <w:rFonts w:hint="eastAsia"/>
                <w:color w:val="auto"/>
                <w:sz w:val="24"/>
                <w:szCs w:val="24"/>
                <w:u w:val="none"/>
              </w:rPr>
              <w:t>预测点位为现状监测点，即厂界外1米处东南西北各1个点，共4个点。</w:t>
            </w:r>
          </w:p>
          <w:p>
            <w:pPr>
              <w:spacing w:line="360" w:lineRule="auto"/>
              <w:ind w:firstLine="462" w:firstLineChars="200"/>
              <w:rPr>
                <w:color w:val="auto"/>
                <w:sz w:val="24"/>
                <w:szCs w:val="24"/>
                <w:u w:val="none"/>
              </w:rPr>
            </w:pPr>
            <w:r>
              <w:rPr>
                <w:rFonts w:hint="eastAsia"/>
                <w:color w:val="auto"/>
                <w:sz w:val="24"/>
                <w:szCs w:val="24"/>
                <w:u w:val="none"/>
              </w:rPr>
              <w:t>预测模式：采用工业噪声预测模式</w:t>
            </w:r>
          </w:p>
          <w:p>
            <w:pPr>
              <w:spacing w:line="360" w:lineRule="auto"/>
              <w:ind w:firstLine="462" w:firstLineChars="200"/>
              <w:rPr>
                <w:color w:val="auto"/>
                <w:sz w:val="24"/>
                <w:szCs w:val="24"/>
                <w:u w:val="none"/>
              </w:rPr>
            </w:pPr>
            <w:r>
              <w:rPr>
                <w:rFonts w:hint="eastAsia"/>
                <w:color w:val="auto"/>
                <w:sz w:val="24"/>
                <w:szCs w:val="24"/>
                <w:u w:val="none"/>
              </w:rPr>
              <w:object>
                <v:shape id="_x0000_i1030" o:spt="75" type="#_x0000_t75" style="height:38.25pt;width:332.25pt;" o:ole="t" filled="f" o:preferrelative="t" stroked="f" coordsize="21600,21600">
                  <v:path/>
                  <v:fill on="f" focussize="0,0"/>
                  <v:stroke on="f" joinstyle="miter"/>
                  <v:imagedata r:id="rId30" o:title=""/>
                  <o:lock v:ext="edit" aspectratio="t"/>
                  <w10:wrap type="none"/>
                  <w10:anchorlock/>
                </v:shape>
                <o:OLEObject Type="Embed" ProgID="Equations" ShapeID="_x0000_i1030" DrawAspect="Content" ObjectID="_1468075730" r:id="rId29">
                  <o:LockedField>false</o:LockedField>
                </o:OLEObject>
              </w:object>
            </w:r>
          </w:p>
          <w:p>
            <w:pPr>
              <w:spacing w:line="360" w:lineRule="auto"/>
              <w:ind w:firstLine="462" w:firstLineChars="200"/>
              <w:rPr>
                <w:color w:val="auto"/>
                <w:sz w:val="24"/>
                <w:szCs w:val="24"/>
                <w:u w:val="none"/>
              </w:rPr>
            </w:pPr>
            <w:r>
              <w:rPr>
                <w:rFonts w:hint="eastAsia"/>
                <w:color w:val="auto"/>
                <w:sz w:val="24"/>
                <w:szCs w:val="24"/>
                <w:u w:val="none"/>
              </w:rPr>
              <w:object>
                <v:shape id="_x0000_i1031" o:spt="75" type="#_x0000_t75" style="height:37.5pt;width:125.25pt;" o:ole="t" filled="f" o:preferrelative="t" stroked="f" coordsize="21600,21600">
                  <v:path/>
                  <v:fill on="f" focussize="0,0"/>
                  <v:stroke on="f" joinstyle="miter"/>
                  <v:imagedata r:id="rId32" o:title=""/>
                  <o:lock v:ext="edit" aspectratio="t"/>
                  <w10:wrap type="none"/>
                  <w10:anchorlock/>
                </v:shape>
                <o:OLEObject Type="Embed" ProgID="Equations" ShapeID="_x0000_i1031" DrawAspect="Content" ObjectID="_1468075731" r:id="rId31">
                  <o:LockedField>false</o:LockedField>
                </o:OLEObject>
              </w:object>
            </w:r>
          </w:p>
          <w:p>
            <w:pPr>
              <w:spacing w:line="360" w:lineRule="auto"/>
              <w:ind w:firstLine="462" w:firstLineChars="200"/>
              <w:rPr>
                <w:color w:val="auto"/>
                <w:sz w:val="24"/>
                <w:szCs w:val="24"/>
                <w:u w:val="none"/>
              </w:rPr>
            </w:pPr>
            <w:r>
              <w:rPr>
                <w:rFonts w:hint="eastAsia"/>
                <w:color w:val="auto"/>
                <w:sz w:val="24"/>
                <w:szCs w:val="24"/>
                <w:u w:val="none"/>
              </w:rPr>
              <w:object>
                <v:shape id="_x0000_i1032" o:spt="75" type="#_x0000_t75" style="height:37.5pt;width:150pt;" o:ole="t" filled="f" o:preferrelative="t" stroked="f" coordsize="21600,21600">
                  <v:path/>
                  <v:fill on="f" focussize="0,0"/>
                  <v:stroke on="f" joinstyle="miter"/>
                  <v:imagedata r:id="rId34" o:title=""/>
                  <o:lock v:ext="edit" aspectratio="t"/>
                  <w10:wrap type="none"/>
                  <w10:anchorlock/>
                </v:shape>
                <o:OLEObject Type="Embed" ProgID="Equations" ShapeID="_x0000_i1032" DrawAspect="Content" ObjectID="_1468075732" r:id="rId33">
                  <o:LockedField>false</o:LockedField>
                </o:OLEObject>
              </w:object>
            </w:r>
          </w:p>
          <w:p>
            <w:pPr>
              <w:spacing w:line="360" w:lineRule="auto"/>
              <w:ind w:firstLine="462" w:firstLineChars="200"/>
              <w:rPr>
                <w:color w:val="auto"/>
                <w:sz w:val="24"/>
                <w:szCs w:val="24"/>
                <w:u w:val="none"/>
              </w:rPr>
            </w:pPr>
            <w:r>
              <w:rPr>
                <w:rFonts w:hint="eastAsia"/>
                <w:color w:val="auto"/>
                <w:sz w:val="24"/>
                <w:szCs w:val="24"/>
                <w:u w:val="none"/>
              </w:rPr>
              <w:t>式中：</w:t>
            </w:r>
          </w:p>
          <w:p>
            <w:pPr>
              <w:spacing w:line="360" w:lineRule="auto"/>
              <w:ind w:firstLine="462" w:firstLineChars="200"/>
              <w:rPr>
                <w:color w:val="auto"/>
                <w:sz w:val="24"/>
                <w:szCs w:val="24"/>
              </w:rPr>
            </w:pPr>
            <w:r>
              <w:rPr>
                <w:rFonts w:hint="eastAsia"/>
                <w:color w:val="auto"/>
                <w:sz w:val="24"/>
                <w:szCs w:val="24"/>
              </w:rPr>
              <w:t>Lpn——第n个受声点距离第i个声源，rni米处的声压级，dB（A）；</w:t>
            </w:r>
          </w:p>
          <w:p>
            <w:pPr>
              <w:spacing w:line="360" w:lineRule="auto"/>
              <w:ind w:firstLine="462" w:firstLineChars="200"/>
              <w:rPr>
                <w:color w:val="auto"/>
                <w:sz w:val="24"/>
                <w:szCs w:val="24"/>
              </w:rPr>
            </w:pPr>
            <w:r>
              <w:rPr>
                <w:rFonts w:hint="eastAsia"/>
                <w:color w:val="auto"/>
                <w:sz w:val="24"/>
                <w:szCs w:val="24"/>
              </w:rPr>
              <w:t>Lwi——第i个噪声源的声压级，dB（A）；</w:t>
            </w:r>
          </w:p>
          <w:p>
            <w:pPr>
              <w:spacing w:line="360" w:lineRule="auto"/>
              <w:ind w:firstLine="462" w:firstLineChars="200"/>
              <w:rPr>
                <w:color w:val="auto"/>
                <w:sz w:val="24"/>
                <w:szCs w:val="24"/>
              </w:rPr>
            </w:pPr>
            <w:r>
              <w:rPr>
                <w:rFonts w:hint="eastAsia"/>
                <w:color w:val="auto"/>
                <w:sz w:val="24"/>
                <w:szCs w:val="24"/>
              </w:rPr>
              <w:t>TL——厂房围护结构的隔声量，dB（A）；</w:t>
            </w:r>
          </w:p>
          <w:p>
            <w:pPr>
              <w:spacing w:line="360" w:lineRule="auto"/>
              <w:ind w:firstLine="462" w:firstLineChars="200"/>
              <w:rPr>
                <w:color w:val="auto"/>
                <w:sz w:val="24"/>
                <w:szCs w:val="24"/>
              </w:rPr>
            </w:pPr>
            <w:r>
              <w:rPr>
                <w:rFonts w:hint="eastAsia"/>
                <w:color w:val="auto"/>
                <w:sz w:val="24"/>
                <w:szCs w:val="24"/>
              </w:rPr>
              <w:t>rni——第i个噪声源到第n个受声点的距离，m；</w:t>
            </w:r>
          </w:p>
          <w:p>
            <w:pPr>
              <w:spacing w:line="360" w:lineRule="auto"/>
              <w:ind w:firstLine="462" w:firstLineChars="200"/>
              <w:rPr>
                <w:color w:val="auto"/>
                <w:sz w:val="24"/>
                <w:szCs w:val="24"/>
              </w:rPr>
            </w:pPr>
            <w:r>
              <w:rPr>
                <w:rFonts w:hint="eastAsia"/>
                <w:color w:val="auto"/>
                <w:sz w:val="24"/>
                <w:szCs w:val="24"/>
              </w:rPr>
              <w:t>Q——声源指向性因数；</w:t>
            </w:r>
          </w:p>
          <w:p>
            <w:pPr>
              <w:spacing w:line="360" w:lineRule="auto"/>
              <w:ind w:firstLine="462" w:firstLineChars="200"/>
              <w:rPr>
                <w:color w:val="auto"/>
                <w:sz w:val="24"/>
                <w:szCs w:val="24"/>
              </w:rPr>
            </w:pPr>
            <w:r>
              <w:rPr>
                <w:rFonts w:hint="eastAsia"/>
                <w:color w:val="auto"/>
                <w:sz w:val="24"/>
                <w:szCs w:val="24"/>
              </w:rPr>
              <w:t>M——声波在大气中的衰减值，dB（A）/100m。</w:t>
            </w:r>
          </w:p>
          <w:p>
            <w:pPr>
              <w:spacing w:line="360" w:lineRule="auto"/>
              <w:ind w:firstLine="462" w:firstLineChars="200"/>
              <w:rPr>
                <w:color w:val="auto"/>
                <w:sz w:val="24"/>
                <w:szCs w:val="24"/>
              </w:rPr>
            </w:pPr>
            <w:r>
              <w:rPr>
                <w:rFonts w:hint="eastAsia"/>
                <w:color w:val="auto"/>
                <w:sz w:val="24"/>
                <w:szCs w:val="24"/>
              </w:rPr>
              <w:t>Lpm——第i个噪声源在预测点的声压级，dB（A）；</w:t>
            </w:r>
          </w:p>
          <w:p>
            <w:pPr>
              <w:spacing w:line="360" w:lineRule="auto"/>
              <w:ind w:firstLine="462" w:firstLineChars="200"/>
              <w:rPr>
                <w:color w:val="auto"/>
                <w:sz w:val="24"/>
                <w:szCs w:val="24"/>
              </w:rPr>
            </w:pPr>
            <w:r>
              <w:rPr>
                <w:rFonts w:hint="eastAsia"/>
                <w:color w:val="auto"/>
                <w:sz w:val="24"/>
                <w:szCs w:val="24"/>
              </w:rPr>
              <w:t>L ——第j个预测点的声压级，dB（A）；</w:t>
            </w:r>
          </w:p>
          <w:p>
            <w:pPr>
              <w:spacing w:line="360" w:lineRule="auto"/>
              <w:ind w:firstLine="462" w:firstLineChars="200"/>
              <w:rPr>
                <w:color w:val="auto"/>
                <w:sz w:val="24"/>
                <w:szCs w:val="24"/>
              </w:rPr>
            </w:pPr>
            <w:r>
              <w:rPr>
                <w:rFonts w:hint="eastAsia"/>
                <w:color w:val="auto"/>
                <w:sz w:val="24"/>
                <w:szCs w:val="24"/>
              </w:rPr>
              <w:t>L0——第j个预测点的背景声压级，dB（A）；</w:t>
            </w:r>
          </w:p>
          <w:p>
            <w:pPr>
              <w:spacing w:line="360" w:lineRule="auto"/>
              <w:ind w:firstLine="462" w:firstLineChars="200"/>
              <w:rPr>
                <w:color w:val="auto"/>
                <w:sz w:val="24"/>
                <w:szCs w:val="24"/>
              </w:rPr>
            </w:pPr>
            <w:r>
              <w:rPr>
                <w:rFonts w:hint="eastAsia"/>
                <w:color w:val="auto"/>
                <w:sz w:val="24"/>
                <w:szCs w:val="24"/>
              </w:rPr>
              <w:t>m ——噪声源个数；</w:t>
            </w:r>
          </w:p>
          <w:p>
            <w:pPr>
              <w:spacing w:line="360" w:lineRule="auto"/>
              <w:ind w:firstLine="462" w:firstLineChars="200"/>
              <w:rPr>
                <w:color w:val="auto"/>
                <w:sz w:val="24"/>
                <w:szCs w:val="24"/>
              </w:rPr>
            </w:pPr>
            <w:r>
              <w:rPr>
                <w:rFonts w:hint="eastAsia"/>
                <w:color w:val="auto"/>
                <w:sz w:val="24"/>
                <w:szCs w:val="24"/>
              </w:rPr>
              <w:t>r ——第j个预测点距第i个声源的距离，m；</w:t>
            </w:r>
          </w:p>
          <w:p>
            <w:pPr>
              <w:spacing w:line="360" w:lineRule="auto"/>
              <w:ind w:firstLine="462" w:firstLineChars="200"/>
              <w:rPr>
                <w:color w:val="auto"/>
                <w:sz w:val="24"/>
                <w:szCs w:val="24"/>
              </w:rPr>
            </w:pPr>
            <w:r>
              <w:rPr>
                <w:rFonts w:hint="eastAsia"/>
                <w:color w:val="auto"/>
                <w:sz w:val="24"/>
                <w:szCs w:val="24"/>
              </w:rPr>
              <w:t>r0——第n个受声点距第i个声源的距离，m。</w:t>
            </w:r>
          </w:p>
          <w:p>
            <w:pPr>
              <w:spacing w:line="360" w:lineRule="auto"/>
              <w:ind w:firstLine="462" w:firstLineChars="200"/>
              <w:rPr>
                <w:color w:val="auto"/>
                <w:sz w:val="24"/>
                <w:szCs w:val="24"/>
              </w:rPr>
            </w:pPr>
            <w:r>
              <w:rPr>
                <w:rFonts w:hint="eastAsia"/>
                <w:color w:val="auto"/>
                <w:sz w:val="24"/>
                <w:szCs w:val="24"/>
              </w:rPr>
              <w:t>（2）预测条件</w:t>
            </w:r>
          </w:p>
          <w:p>
            <w:pPr>
              <w:spacing w:line="360" w:lineRule="auto"/>
              <w:ind w:firstLine="462" w:firstLineChars="200"/>
              <w:rPr>
                <w:color w:val="auto"/>
                <w:sz w:val="24"/>
                <w:szCs w:val="24"/>
              </w:rPr>
            </w:pPr>
            <w:r>
              <w:rPr>
                <w:rFonts w:hint="eastAsia"/>
                <w:color w:val="auto"/>
                <w:sz w:val="24"/>
                <w:szCs w:val="24"/>
              </w:rPr>
              <w:t>考虑噪声源所在厂房双层窗户、隔声门、墙体的屏蔽作用，隔声量按10dB（A）考虑；考虑距离衰减和隔离林带的吸声、降噪作用（林带隔声量按3dB（A）考虑）；空气吸收、雨、雪、雾和温度等的影响忽略不计。</w:t>
            </w:r>
          </w:p>
          <w:p>
            <w:pPr>
              <w:spacing w:line="360" w:lineRule="auto"/>
              <w:ind w:firstLine="462" w:firstLineChars="200"/>
              <w:rPr>
                <w:color w:val="auto"/>
                <w:sz w:val="24"/>
                <w:szCs w:val="24"/>
              </w:rPr>
            </w:pPr>
            <w:r>
              <w:rPr>
                <w:rFonts w:hint="eastAsia"/>
                <w:color w:val="auto"/>
                <w:sz w:val="24"/>
                <w:szCs w:val="24"/>
              </w:rPr>
              <w:t>（3）预测结果</w:t>
            </w:r>
          </w:p>
          <w:p>
            <w:pPr>
              <w:spacing w:line="360" w:lineRule="auto"/>
              <w:ind w:firstLine="462" w:firstLineChars="200"/>
              <w:rPr>
                <w:color w:val="auto"/>
                <w:sz w:val="24"/>
                <w:szCs w:val="24"/>
              </w:rPr>
            </w:pPr>
            <w:r>
              <w:rPr>
                <w:rFonts w:hint="eastAsia"/>
                <w:color w:val="auto"/>
                <w:sz w:val="24"/>
                <w:szCs w:val="24"/>
                <w:lang w:eastAsia="zh-CN"/>
              </w:rPr>
              <w:t>预测结果详见表</w:t>
            </w:r>
            <w:r>
              <w:rPr>
                <w:rFonts w:hint="eastAsia"/>
                <w:color w:val="auto"/>
                <w:sz w:val="24"/>
                <w:szCs w:val="24"/>
                <w:lang w:val="en-US" w:eastAsia="zh-CN"/>
              </w:rPr>
              <w:t>7-27</w:t>
            </w:r>
            <w:r>
              <w:rPr>
                <w:rFonts w:hint="eastAsia"/>
                <w:color w:val="auto"/>
                <w:sz w:val="24"/>
                <w:szCs w:val="24"/>
              </w:rPr>
              <w:t>。</w:t>
            </w:r>
          </w:p>
          <w:p>
            <w:pPr>
              <w:jc w:val="center"/>
              <w:rPr>
                <w:rFonts w:hint="eastAsia" w:eastAsia="宋体"/>
                <w:b/>
                <w:bCs/>
                <w:color w:val="auto"/>
                <w:szCs w:val="21"/>
                <w:lang w:eastAsia="zh-CN"/>
              </w:rPr>
            </w:pPr>
            <w:r>
              <w:rPr>
                <w:rFonts w:hint="eastAsia"/>
                <w:b/>
                <w:bCs/>
                <w:color w:val="auto"/>
                <w:szCs w:val="21"/>
              </w:rPr>
              <w:t>表7-2</w:t>
            </w:r>
            <w:r>
              <w:rPr>
                <w:rFonts w:hint="eastAsia"/>
                <w:b/>
                <w:bCs/>
                <w:color w:val="auto"/>
                <w:szCs w:val="21"/>
                <w:lang w:val="en-US" w:eastAsia="zh-CN"/>
              </w:rPr>
              <w:t>7</w:t>
            </w:r>
            <w:r>
              <w:rPr>
                <w:rFonts w:hint="eastAsia"/>
                <w:b/>
                <w:bCs/>
                <w:color w:val="auto"/>
                <w:szCs w:val="21"/>
              </w:rPr>
              <w:t xml:space="preserve">   厂界噪声</w:t>
            </w:r>
            <w:r>
              <w:rPr>
                <w:rFonts w:hint="eastAsia"/>
                <w:b/>
                <w:bCs/>
                <w:color w:val="auto"/>
                <w:szCs w:val="21"/>
                <w:lang w:eastAsia="zh-CN"/>
              </w:rPr>
              <w:t>贡献值</w:t>
            </w:r>
          </w:p>
          <w:tbl>
            <w:tblPr>
              <w:tblStyle w:val="27"/>
              <w:tblW w:w="84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59"/>
              <w:gridCol w:w="1362"/>
              <w:gridCol w:w="1108"/>
              <w:gridCol w:w="1464"/>
              <w:gridCol w:w="1408"/>
              <w:gridCol w:w="1154"/>
              <w:gridCol w:w="11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859" w:type="dxa"/>
                  <w:vMerge w:val="restart"/>
                  <w:tcBorders>
                    <w:tl2br w:val="nil"/>
                    <w:tr2bl w:val="nil"/>
                  </w:tcBorders>
                  <w:vAlign w:val="center"/>
                </w:tcPr>
                <w:p>
                  <w:pPr>
                    <w:pStyle w:val="72"/>
                    <w:tabs>
                      <w:tab w:val="clear" w:pos="1021"/>
                    </w:tabs>
                    <w:rPr>
                      <w:rFonts w:eastAsia="宋体"/>
                      <w:color w:val="auto"/>
                      <w:szCs w:val="21"/>
                    </w:rPr>
                  </w:pPr>
                  <w:r>
                    <w:rPr>
                      <w:rFonts w:hint="eastAsia" w:hAnsi="宋体" w:eastAsia="宋体"/>
                      <w:color w:val="auto"/>
                      <w:szCs w:val="21"/>
                    </w:rPr>
                    <w:t>监测点</w:t>
                  </w:r>
                </w:p>
              </w:tc>
              <w:tc>
                <w:tcPr>
                  <w:tcW w:w="1362" w:type="dxa"/>
                  <w:vMerge w:val="restart"/>
                  <w:tcBorders>
                    <w:tl2br w:val="nil"/>
                    <w:tr2bl w:val="nil"/>
                  </w:tcBorders>
                  <w:vAlign w:val="center"/>
                </w:tcPr>
                <w:p>
                  <w:pPr>
                    <w:pStyle w:val="72"/>
                    <w:tabs>
                      <w:tab w:val="clear" w:pos="1021"/>
                    </w:tabs>
                    <w:rPr>
                      <w:rFonts w:eastAsia="宋体"/>
                      <w:color w:val="auto"/>
                      <w:szCs w:val="21"/>
                    </w:rPr>
                  </w:pPr>
                  <w:r>
                    <w:rPr>
                      <w:rFonts w:hint="eastAsia" w:hAnsi="宋体" w:eastAsia="宋体"/>
                      <w:color w:val="auto"/>
                      <w:szCs w:val="21"/>
                    </w:rPr>
                    <w:t>点位名称</w:t>
                  </w:r>
                </w:p>
              </w:tc>
              <w:tc>
                <w:tcPr>
                  <w:tcW w:w="1108" w:type="dxa"/>
                  <w:vMerge w:val="restart"/>
                  <w:tcBorders>
                    <w:tl2br w:val="nil"/>
                    <w:tr2bl w:val="nil"/>
                  </w:tcBorders>
                  <w:vAlign w:val="center"/>
                </w:tcPr>
                <w:p>
                  <w:pPr>
                    <w:pStyle w:val="72"/>
                    <w:tabs>
                      <w:tab w:val="clear" w:pos="1021"/>
                    </w:tabs>
                    <w:rPr>
                      <w:rFonts w:eastAsia="宋体"/>
                      <w:color w:val="auto"/>
                      <w:szCs w:val="21"/>
                    </w:rPr>
                  </w:pPr>
                  <w:r>
                    <w:rPr>
                      <w:rFonts w:hint="eastAsia" w:hAnsi="宋体" w:eastAsia="宋体"/>
                      <w:color w:val="auto"/>
                      <w:szCs w:val="21"/>
                    </w:rPr>
                    <w:t>贡献值</w:t>
                  </w:r>
                  <w:r>
                    <w:rPr>
                      <w:rFonts w:eastAsia="宋体"/>
                      <w:color w:val="auto"/>
                      <w:szCs w:val="21"/>
                    </w:rPr>
                    <w:t>Leq[dB(A)]</w:t>
                  </w:r>
                </w:p>
              </w:tc>
              <w:tc>
                <w:tcPr>
                  <w:tcW w:w="2872" w:type="dxa"/>
                  <w:gridSpan w:val="2"/>
                  <w:tcBorders>
                    <w:tl2br w:val="nil"/>
                    <w:tr2bl w:val="nil"/>
                  </w:tcBorders>
                </w:tcPr>
                <w:p>
                  <w:pPr>
                    <w:pStyle w:val="72"/>
                    <w:tabs>
                      <w:tab w:val="clear" w:pos="1021"/>
                    </w:tabs>
                    <w:rPr>
                      <w:rFonts w:hAnsi="宋体" w:eastAsia="宋体"/>
                      <w:color w:val="auto"/>
                      <w:szCs w:val="21"/>
                    </w:rPr>
                  </w:pPr>
                  <w:r>
                    <w:rPr>
                      <w:rFonts w:hint="eastAsia" w:hAnsi="宋体" w:eastAsia="宋体"/>
                      <w:color w:val="auto"/>
                      <w:szCs w:val="21"/>
                    </w:rPr>
                    <w:t>预测值</w:t>
                  </w:r>
                </w:p>
              </w:tc>
              <w:tc>
                <w:tcPr>
                  <w:tcW w:w="2273" w:type="dxa"/>
                  <w:gridSpan w:val="2"/>
                  <w:tcBorders>
                    <w:tl2br w:val="nil"/>
                    <w:tr2bl w:val="nil"/>
                  </w:tcBorders>
                  <w:vAlign w:val="center"/>
                </w:tcPr>
                <w:p>
                  <w:pPr>
                    <w:pStyle w:val="72"/>
                    <w:tabs>
                      <w:tab w:val="clear" w:pos="1021"/>
                    </w:tabs>
                    <w:rPr>
                      <w:rFonts w:eastAsia="宋体"/>
                      <w:color w:val="auto"/>
                      <w:szCs w:val="21"/>
                    </w:rPr>
                  </w:pPr>
                  <w:r>
                    <w:rPr>
                      <w:rFonts w:hint="eastAsia" w:hAnsi="宋体" w:eastAsia="宋体"/>
                      <w:color w:val="auto"/>
                      <w:szCs w:val="21"/>
                    </w:rPr>
                    <w:t>超标情况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859" w:type="dxa"/>
                  <w:vMerge w:val="continue"/>
                  <w:tcBorders>
                    <w:tl2br w:val="nil"/>
                    <w:tr2bl w:val="nil"/>
                  </w:tcBorders>
                  <w:vAlign w:val="center"/>
                </w:tcPr>
                <w:p>
                  <w:pPr>
                    <w:pStyle w:val="72"/>
                    <w:tabs>
                      <w:tab w:val="clear" w:pos="1021"/>
                    </w:tabs>
                    <w:rPr>
                      <w:rFonts w:eastAsia="宋体"/>
                      <w:color w:val="auto"/>
                      <w:szCs w:val="21"/>
                    </w:rPr>
                  </w:pPr>
                </w:p>
              </w:tc>
              <w:tc>
                <w:tcPr>
                  <w:tcW w:w="1362" w:type="dxa"/>
                  <w:vMerge w:val="continue"/>
                  <w:tcBorders>
                    <w:tl2br w:val="nil"/>
                    <w:tr2bl w:val="nil"/>
                  </w:tcBorders>
                  <w:vAlign w:val="center"/>
                </w:tcPr>
                <w:p>
                  <w:pPr>
                    <w:pStyle w:val="72"/>
                    <w:tabs>
                      <w:tab w:val="clear" w:pos="1021"/>
                    </w:tabs>
                    <w:rPr>
                      <w:rFonts w:eastAsia="宋体"/>
                      <w:color w:val="auto"/>
                      <w:szCs w:val="21"/>
                    </w:rPr>
                  </w:pPr>
                </w:p>
              </w:tc>
              <w:tc>
                <w:tcPr>
                  <w:tcW w:w="1108" w:type="dxa"/>
                  <w:vMerge w:val="continue"/>
                  <w:tcBorders>
                    <w:tl2br w:val="nil"/>
                    <w:tr2bl w:val="nil"/>
                  </w:tcBorders>
                  <w:vAlign w:val="center"/>
                </w:tcPr>
                <w:p>
                  <w:pPr>
                    <w:pStyle w:val="72"/>
                    <w:tabs>
                      <w:tab w:val="clear" w:pos="1021"/>
                    </w:tabs>
                    <w:rPr>
                      <w:rFonts w:eastAsia="宋体"/>
                      <w:color w:val="auto"/>
                      <w:szCs w:val="21"/>
                    </w:rPr>
                  </w:pPr>
                </w:p>
              </w:tc>
              <w:tc>
                <w:tcPr>
                  <w:tcW w:w="1464" w:type="dxa"/>
                  <w:tcBorders>
                    <w:tl2br w:val="nil"/>
                    <w:tr2bl w:val="nil"/>
                  </w:tcBorders>
                </w:tcPr>
                <w:p>
                  <w:pPr>
                    <w:pStyle w:val="72"/>
                    <w:tabs>
                      <w:tab w:val="clear" w:pos="1021"/>
                    </w:tabs>
                    <w:rPr>
                      <w:rFonts w:hAnsi="宋体" w:eastAsia="宋体"/>
                      <w:color w:val="auto"/>
                      <w:szCs w:val="21"/>
                    </w:rPr>
                  </w:pPr>
                  <w:r>
                    <w:rPr>
                      <w:rFonts w:hint="eastAsia" w:hAnsi="宋体" w:eastAsia="宋体"/>
                      <w:color w:val="auto"/>
                      <w:szCs w:val="21"/>
                    </w:rPr>
                    <w:t>昼间</w:t>
                  </w:r>
                </w:p>
              </w:tc>
              <w:tc>
                <w:tcPr>
                  <w:tcW w:w="1408" w:type="dxa"/>
                  <w:tcBorders>
                    <w:tl2br w:val="nil"/>
                    <w:tr2bl w:val="nil"/>
                  </w:tcBorders>
                </w:tcPr>
                <w:p>
                  <w:pPr>
                    <w:pStyle w:val="72"/>
                    <w:tabs>
                      <w:tab w:val="clear" w:pos="1021"/>
                    </w:tabs>
                    <w:rPr>
                      <w:rFonts w:hAnsi="宋体" w:eastAsia="宋体"/>
                      <w:color w:val="auto"/>
                      <w:szCs w:val="21"/>
                    </w:rPr>
                  </w:pPr>
                  <w:r>
                    <w:rPr>
                      <w:rFonts w:hint="eastAsia" w:hAnsi="宋体" w:eastAsia="宋体"/>
                      <w:color w:val="auto"/>
                      <w:szCs w:val="21"/>
                    </w:rPr>
                    <w:t>夜间</w:t>
                  </w:r>
                </w:p>
              </w:tc>
              <w:tc>
                <w:tcPr>
                  <w:tcW w:w="1154" w:type="dxa"/>
                  <w:tcBorders>
                    <w:tl2br w:val="nil"/>
                    <w:tr2bl w:val="nil"/>
                  </w:tcBorders>
                  <w:vAlign w:val="center"/>
                </w:tcPr>
                <w:p>
                  <w:pPr>
                    <w:pStyle w:val="72"/>
                    <w:tabs>
                      <w:tab w:val="clear" w:pos="1021"/>
                    </w:tabs>
                    <w:rPr>
                      <w:rFonts w:eastAsia="宋体"/>
                      <w:color w:val="auto"/>
                      <w:szCs w:val="21"/>
                    </w:rPr>
                  </w:pPr>
                  <w:r>
                    <w:rPr>
                      <w:rFonts w:hint="eastAsia" w:hAnsi="宋体" w:eastAsia="宋体"/>
                      <w:color w:val="auto"/>
                      <w:szCs w:val="21"/>
                    </w:rPr>
                    <w:t>昼间</w:t>
                  </w:r>
                </w:p>
              </w:tc>
              <w:tc>
                <w:tcPr>
                  <w:tcW w:w="1119" w:type="dxa"/>
                  <w:tcBorders>
                    <w:tl2br w:val="nil"/>
                    <w:tr2bl w:val="nil"/>
                  </w:tcBorders>
                  <w:vAlign w:val="center"/>
                </w:tcPr>
                <w:p>
                  <w:pPr>
                    <w:pStyle w:val="72"/>
                    <w:tabs>
                      <w:tab w:val="clear" w:pos="1021"/>
                    </w:tabs>
                    <w:rPr>
                      <w:rFonts w:eastAsia="宋体"/>
                      <w:color w:val="auto"/>
                      <w:szCs w:val="21"/>
                    </w:rPr>
                  </w:pPr>
                  <w:r>
                    <w:rPr>
                      <w:rFonts w:hint="eastAsia" w:hAnsi="宋体" w:eastAsia="宋体"/>
                      <w:color w:val="auto"/>
                      <w:szCs w:val="21"/>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859" w:type="dxa"/>
                  <w:tcBorders>
                    <w:tl2br w:val="nil"/>
                    <w:tr2bl w:val="nil"/>
                  </w:tcBorders>
                  <w:vAlign w:val="center"/>
                </w:tcPr>
                <w:p>
                  <w:pPr>
                    <w:pStyle w:val="72"/>
                    <w:tabs>
                      <w:tab w:val="clear" w:pos="1021"/>
                    </w:tabs>
                    <w:spacing w:line="320" w:lineRule="exact"/>
                    <w:rPr>
                      <w:rFonts w:eastAsia="宋体"/>
                      <w:color w:val="auto"/>
                      <w:szCs w:val="21"/>
                    </w:rPr>
                  </w:pPr>
                  <w:r>
                    <w:rPr>
                      <w:rFonts w:eastAsia="宋体"/>
                      <w:color w:val="auto"/>
                      <w:szCs w:val="21"/>
                    </w:rPr>
                    <w:t>1#</w:t>
                  </w:r>
                </w:p>
              </w:tc>
              <w:tc>
                <w:tcPr>
                  <w:tcW w:w="1362" w:type="dxa"/>
                  <w:tcBorders>
                    <w:tl2br w:val="nil"/>
                    <w:tr2bl w:val="nil"/>
                  </w:tcBorders>
                  <w:vAlign w:val="center"/>
                </w:tcPr>
                <w:p>
                  <w:pPr>
                    <w:pStyle w:val="72"/>
                    <w:tabs>
                      <w:tab w:val="clear" w:pos="1021"/>
                    </w:tabs>
                    <w:spacing w:line="320" w:lineRule="exact"/>
                    <w:rPr>
                      <w:rFonts w:eastAsia="宋体"/>
                      <w:color w:val="auto"/>
                      <w:szCs w:val="21"/>
                    </w:rPr>
                  </w:pPr>
                  <w:r>
                    <w:rPr>
                      <w:rFonts w:hint="eastAsia" w:hAnsi="宋体" w:eastAsia="宋体"/>
                      <w:color w:val="auto"/>
                      <w:szCs w:val="21"/>
                    </w:rPr>
                    <w:t>东厂界</w:t>
                  </w:r>
                </w:p>
              </w:tc>
              <w:tc>
                <w:tcPr>
                  <w:tcW w:w="1108" w:type="dxa"/>
                  <w:tcBorders>
                    <w:tl2br w:val="nil"/>
                    <w:tr2bl w:val="nil"/>
                  </w:tcBorders>
                  <w:vAlign w:val="center"/>
                </w:tcPr>
                <w:p>
                  <w:pPr>
                    <w:pStyle w:val="72"/>
                    <w:tabs>
                      <w:tab w:val="clear" w:pos="1021"/>
                    </w:tabs>
                    <w:spacing w:line="320" w:lineRule="exact"/>
                    <w:rPr>
                      <w:rFonts w:eastAsia="宋体"/>
                      <w:color w:val="auto"/>
                      <w:szCs w:val="21"/>
                    </w:rPr>
                  </w:pPr>
                  <w:r>
                    <w:rPr>
                      <w:rFonts w:hint="eastAsia" w:eastAsia="宋体"/>
                      <w:color w:val="auto"/>
                      <w:szCs w:val="21"/>
                    </w:rPr>
                    <w:t>32.28</w:t>
                  </w:r>
                </w:p>
              </w:tc>
              <w:tc>
                <w:tcPr>
                  <w:tcW w:w="1464" w:type="dxa"/>
                  <w:tcBorders>
                    <w:tl2br w:val="nil"/>
                    <w:tr2bl w:val="nil"/>
                  </w:tcBorders>
                </w:tcPr>
                <w:p>
                  <w:pPr>
                    <w:pStyle w:val="72"/>
                    <w:tabs>
                      <w:tab w:val="clear" w:pos="1021"/>
                    </w:tabs>
                    <w:spacing w:line="320" w:lineRule="exact"/>
                    <w:rPr>
                      <w:rFonts w:hAnsi="宋体" w:eastAsia="宋体"/>
                      <w:color w:val="auto"/>
                      <w:szCs w:val="21"/>
                    </w:rPr>
                  </w:pPr>
                  <w:r>
                    <w:rPr>
                      <w:rFonts w:hint="eastAsia" w:hAnsi="宋体" w:eastAsia="宋体"/>
                      <w:color w:val="auto"/>
                      <w:szCs w:val="21"/>
                    </w:rPr>
                    <w:t>5</w:t>
                  </w:r>
                  <w:r>
                    <w:rPr>
                      <w:rFonts w:hint="eastAsia" w:hAnsi="宋体" w:eastAsia="宋体"/>
                      <w:color w:val="auto"/>
                      <w:szCs w:val="21"/>
                      <w:lang w:val="en-US" w:eastAsia="zh-CN"/>
                    </w:rPr>
                    <w:t>5</w:t>
                  </w:r>
                  <w:r>
                    <w:rPr>
                      <w:rFonts w:hint="eastAsia" w:hAnsi="宋体" w:eastAsia="宋体"/>
                      <w:color w:val="auto"/>
                      <w:szCs w:val="21"/>
                    </w:rPr>
                    <w:t>.52；5</w:t>
                  </w:r>
                  <w:r>
                    <w:rPr>
                      <w:rFonts w:hint="eastAsia" w:hAnsi="宋体" w:eastAsia="宋体"/>
                      <w:color w:val="auto"/>
                      <w:szCs w:val="21"/>
                      <w:lang w:val="en-US" w:eastAsia="zh-CN"/>
                    </w:rPr>
                    <w:t>5</w:t>
                  </w:r>
                  <w:r>
                    <w:rPr>
                      <w:rFonts w:hint="eastAsia" w:hAnsi="宋体" w:eastAsia="宋体"/>
                      <w:color w:val="auto"/>
                      <w:szCs w:val="21"/>
                    </w:rPr>
                    <w:t>.72</w:t>
                  </w:r>
                </w:p>
              </w:tc>
              <w:tc>
                <w:tcPr>
                  <w:tcW w:w="1408" w:type="dxa"/>
                  <w:tcBorders>
                    <w:tl2br w:val="nil"/>
                    <w:tr2bl w:val="nil"/>
                  </w:tcBorders>
                </w:tcPr>
                <w:p>
                  <w:pPr>
                    <w:pStyle w:val="72"/>
                    <w:tabs>
                      <w:tab w:val="clear" w:pos="1021"/>
                    </w:tabs>
                    <w:spacing w:line="320" w:lineRule="exact"/>
                    <w:rPr>
                      <w:rFonts w:hAnsi="宋体" w:eastAsia="宋体"/>
                      <w:color w:val="auto"/>
                      <w:szCs w:val="21"/>
                    </w:rPr>
                  </w:pPr>
                  <w:r>
                    <w:rPr>
                      <w:rFonts w:hint="eastAsia" w:hAnsi="宋体" w:eastAsia="宋体"/>
                      <w:color w:val="auto"/>
                      <w:szCs w:val="21"/>
                    </w:rPr>
                    <w:t>43.18；44.71</w:t>
                  </w:r>
                </w:p>
              </w:tc>
              <w:tc>
                <w:tcPr>
                  <w:tcW w:w="1154" w:type="dxa"/>
                  <w:tcBorders>
                    <w:tl2br w:val="nil"/>
                    <w:tr2bl w:val="nil"/>
                  </w:tcBorders>
                  <w:vAlign w:val="center"/>
                </w:tcPr>
                <w:p>
                  <w:pPr>
                    <w:pStyle w:val="72"/>
                    <w:tabs>
                      <w:tab w:val="clear" w:pos="1021"/>
                    </w:tabs>
                    <w:spacing w:line="320" w:lineRule="exact"/>
                    <w:rPr>
                      <w:rFonts w:eastAsia="宋体"/>
                      <w:color w:val="auto"/>
                      <w:szCs w:val="21"/>
                    </w:rPr>
                  </w:pPr>
                  <w:r>
                    <w:rPr>
                      <w:rFonts w:hint="eastAsia" w:hAnsi="宋体" w:eastAsia="宋体"/>
                      <w:color w:val="auto"/>
                      <w:szCs w:val="21"/>
                    </w:rPr>
                    <w:t>未超标</w:t>
                  </w:r>
                </w:p>
              </w:tc>
              <w:tc>
                <w:tcPr>
                  <w:tcW w:w="1119" w:type="dxa"/>
                  <w:tcBorders>
                    <w:tl2br w:val="nil"/>
                    <w:tr2bl w:val="nil"/>
                  </w:tcBorders>
                  <w:vAlign w:val="center"/>
                </w:tcPr>
                <w:p>
                  <w:pPr>
                    <w:pStyle w:val="72"/>
                    <w:tabs>
                      <w:tab w:val="clear" w:pos="1021"/>
                    </w:tabs>
                    <w:spacing w:line="320" w:lineRule="exact"/>
                    <w:rPr>
                      <w:rFonts w:eastAsia="宋体"/>
                      <w:color w:val="auto"/>
                      <w:szCs w:val="21"/>
                    </w:rPr>
                  </w:pPr>
                  <w:r>
                    <w:rPr>
                      <w:rFonts w:hint="eastAsia" w:hAnsi="宋体" w:eastAsia="宋体"/>
                      <w:color w:val="auto"/>
                      <w:szCs w:val="21"/>
                    </w:rPr>
                    <w:t>未超标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859" w:type="dxa"/>
                  <w:tcBorders>
                    <w:tl2br w:val="nil"/>
                    <w:tr2bl w:val="nil"/>
                  </w:tcBorders>
                  <w:vAlign w:val="center"/>
                </w:tcPr>
                <w:p>
                  <w:pPr>
                    <w:pStyle w:val="72"/>
                    <w:tabs>
                      <w:tab w:val="clear" w:pos="1021"/>
                    </w:tabs>
                    <w:spacing w:line="320" w:lineRule="exact"/>
                    <w:rPr>
                      <w:rFonts w:eastAsia="宋体"/>
                      <w:color w:val="auto"/>
                      <w:szCs w:val="21"/>
                    </w:rPr>
                  </w:pPr>
                  <w:r>
                    <w:rPr>
                      <w:rFonts w:eastAsia="宋体"/>
                      <w:color w:val="auto"/>
                      <w:szCs w:val="21"/>
                    </w:rPr>
                    <w:t>2#</w:t>
                  </w:r>
                </w:p>
              </w:tc>
              <w:tc>
                <w:tcPr>
                  <w:tcW w:w="1362" w:type="dxa"/>
                  <w:tcBorders>
                    <w:tl2br w:val="nil"/>
                    <w:tr2bl w:val="nil"/>
                  </w:tcBorders>
                  <w:vAlign w:val="center"/>
                </w:tcPr>
                <w:p>
                  <w:pPr>
                    <w:pStyle w:val="72"/>
                    <w:tabs>
                      <w:tab w:val="clear" w:pos="1021"/>
                    </w:tabs>
                    <w:spacing w:line="320" w:lineRule="exact"/>
                    <w:rPr>
                      <w:rFonts w:eastAsia="宋体"/>
                      <w:color w:val="auto"/>
                      <w:szCs w:val="21"/>
                    </w:rPr>
                  </w:pPr>
                  <w:r>
                    <w:rPr>
                      <w:rFonts w:hint="eastAsia" w:hAnsi="宋体" w:eastAsia="宋体"/>
                      <w:color w:val="auto"/>
                      <w:szCs w:val="21"/>
                    </w:rPr>
                    <w:t>南厂界</w:t>
                  </w:r>
                </w:p>
              </w:tc>
              <w:tc>
                <w:tcPr>
                  <w:tcW w:w="1108" w:type="dxa"/>
                  <w:tcBorders>
                    <w:tl2br w:val="nil"/>
                    <w:tr2bl w:val="nil"/>
                  </w:tcBorders>
                  <w:vAlign w:val="center"/>
                </w:tcPr>
                <w:p>
                  <w:pPr>
                    <w:pStyle w:val="72"/>
                    <w:tabs>
                      <w:tab w:val="clear" w:pos="1021"/>
                    </w:tabs>
                    <w:spacing w:line="320" w:lineRule="exact"/>
                    <w:rPr>
                      <w:rFonts w:eastAsia="宋体"/>
                      <w:color w:val="auto"/>
                      <w:szCs w:val="21"/>
                    </w:rPr>
                  </w:pPr>
                  <w:r>
                    <w:rPr>
                      <w:rFonts w:hint="eastAsia" w:eastAsia="宋体"/>
                      <w:color w:val="auto"/>
                      <w:szCs w:val="21"/>
                    </w:rPr>
                    <w:t>36.29</w:t>
                  </w:r>
                </w:p>
              </w:tc>
              <w:tc>
                <w:tcPr>
                  <w:tcW w:w="1464" w:type="dxa"/>
                  <w:tcBorders>
                    <w:tl2br w:val="nil"/>
                    <w:tr2bl w:val="nil"/>
                  </w:tcBorders>
                </w:tcPr>
                <w:p>
                  <w:pPr>
                    <w:pStyle w:val="72"/>
                    <w:tabs>
                      <w:tab w:val="clear" w:pos="1021"/>
                    </w:tabs>
                    <w:spacing w:line="320" w:lineRule="exact"/>
                    <w:rPr>
                      <w:rFonts w:hAnsi="宋体" w:eastAsia="宋体"/>
                      <w:color w:val="auto"/>
                      <w:szCs w:val="21"/>
                    </w:rPr>
                  </w:pPr>
                  <w:r>
                    <w:rPr>
                      <w:rFonts w:hint="eastAsia" w:hAnsi="宋体" w:eastAsia="宋体"/>
                      <w:color w:val="auto"/>
                      <w:szCs w:val="21"/>
                    </w:rPr>
                    <w:t>53.85；54.11</w:t>
                  </w:r>
                </w:p>
              </w:tc>
              <w:tc>
                <w:tcPr>
                  <w:tcW w:w="1408" w:type="dxa"/>
                  <w:tcBorders>
                    <w:tl2br w:val="nil"/>
                    <w:tr2bl w:val="nil"/>
                  </w:tcBorders>
                </w:tcPr>
                <w:p>
                  <w:pPr>
                    <w:pStyle w:val="72"/>
                    <w:tabs>
                      <w:tab w:val="clear" w:pos="1021"/>
                    </w:tabs>
                    <w:spacing w:line="320" w:lineRule="exact"/>
                    <w:rPr>
                      <w:rFonts w:hAnsi="宋体" w:eastAsia="宋体"/>
                      <w:color w:val="auto"/>
                      <w:szCs w:val="21"/>
                    </w:rPr>
                  </w:pPr>
                  <w:r>
                    <w:rPr>
                      <w:rFonts w:hint="eastAsia" w:hAnsi="宋体" w:eastAsia="宋体"/>
                      <w:color w:val="auto"/>
                      <w:szCs w:val="21"/>
                    </w:rPr>
                    <w:t>43.06；43.89</w:t>
                  </w:r>
                </w:p>
              </w:tc>
              <w:tc>
                <w:tcPr>
                  <w:tcW w:w="1154" w:type="dxa"/>
                  <w:tcBorders>
                    <w:tl2br w:val="nil"/>
                    <w:tr2bl w:val="nil"/>
                  </w:tcBorders>
                  <w:vAlign w:val="center"/>
                </w:tcPr>
                <w:p>
                  <w:pPr>
                    <w:pStyle w:val="72"/>
                    <w:tabs>
                      <w:tab w:val="clear" w:pos="1021"/>
                    </w:tabs>
                    <w:spacing w:line="320" w:lineRule="exact"/>
                    <w:rPr>
                      <w:rFonts w:eastAsia="宋体"/>
                      <w:color w:val="auto"/>
                      <w:szCs w:val="21"/>
                    </w:rPr>
                  </w:pPr>
                  <w:r>
                    <w:rPr>
                      <w:rFonts w:hint="eastAsia" w:hAnsi="宋体" w:eastAsia="宋体"/>
                      <w:color w:val="auto"/>
                      <w:szCs w:val="21"/>
                    </w:rPr>
                    <w:t>未超标</w:t>
                  </w:r>
                </w:p>
              </w:tc>
              <w:tc>
                <w:tcPr>
                  <w:tcW w:w="1119" w:type="dxa"/>
                  <w:tcBorders>
                    <w:tl2br w:val="nil"/>
                    <w:tr2bl w:val="nil"/>
                  </w:tcBorders>
                  <w:vAlign w:val="center"/>
                </w:tcPr>
                <w:p>
                  <w:pPr>
                    <w:pStyle w:val="72"/>
                    <w:tabs>
                      <w:tab w:val="clear" w:pos="1021"/>
                    </w:tabs>
                    <w:spacing w:line="320" w:lineRule="exact"/>
                    <w:rPr>
                      <w:rFonts w:eastAsia="宋体"/>
                      <w:color w:val="auto"/>
                      <w:szCs w:val="21"/>
                    </w:rPr>
                  </w:pPr>
                  <w:r>
                    <w:rPr>
                      <w:rFonts w:hint="eastAsia" w:hAnsi="宋体" w:eastAsia="宋体"/>
                      <w:color w:val="auto"/>
                      <w:szCs w:val="21"/>
                    </w:rPr>
                    <w:t>未超标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859" w:type="dxa"/>
                  <w:tcBorders>
                    <w:tl2br w:val="nil"/>
                    <w:tr2bl w:val="nil"/>
                  </w:tcBorders>
                  <w:vAlign w:val="center"/>
                </w:tcPr>
                <w:p>
                  <w:pPr>
                    <w:pStyle w:val="72"/>
                    <w:tabs>
                      <w:tab w:val="clear" w:pos="1021"/>
                    </w:tabs>
                    <w:spacing w:line="320" w:lineRule="exact"/>
                    <w:rPr>
                      <w:rFonts w:eastAsia="宋体"/>
                      <w:color w:val="auto"/>
                      <w:szCs w:val="21"/>
                    </w:rPr>
                  </w:pPr>
                  <w:r>
                    <w:rPr>
                      <w:rFonts w:eastAsia="宋体"/>
                      <w:color w:val="auto"/>
                      <w:szCs w:val="21"/>
                    </w:rPr>
                    <w:t>3#</w:t>
                  </w:r>
                </w:p>
              </w:tc>
              <w:tc>
                <w:tcPr>
                  <w:tcW w:w="1362" w:type="dxa"/>
                  <w:tcBorders>
                    <w:tl2br w:val="nil"/>
                    <w:tr2bl w:val="nil"/>
                  </w:tcBorders>
                  <w:vAlign w:val="center"/>
                </w:tcPr>
                <w:p>
                  <w:pPr>
                    <w:pStyle w:val="72"/>
                    <w:tabs>
                      <w:tab w:val="clear" w:pos="1021"/>
                    </w:tabs>
                    <w:spacing w:line="320" w:lineRule="exact"/>
                    <w:rPr>
                      <w:rFonts w:eastAsia="宋体"/>
                      <w:color w:val="auto"/>
                      <w:szCs w:val="21"/>
                    </w:rPr>
                  </w:pPr>
                  <w:r>
                    <w:rPr>
                      <w:rFonts w:hint="eastAsia" w:hAnsi="宋体" w:eastAsia="宋体"/>
                      <w:color w:val="auto"/>
                      <w:szCs w:val="21"/>
                    </w:rPr>
                    <w:t>西厂界</w:t>
                  </w:r>
                </w:p>
              </w:tc>
              <w:tc>
                <w:tcPr>
                  <w:tcW w:w="1108" w:type="dxa"/>
                  <w:tcBorders>
                    <w:tl2br w:val="nil"/>
                    <w:tr2bl w:val="nil"/>
                  </w:tcBorders>
                  <w:vAlign w:val="center"/>
                </w:tcPr>
                <w:p>
                  <w:pPr>
                    <w:pStyle w:val="72"/>
                    <w:tabs>
                      <w:tab w:val="clear" w:pos="1021"/>
                    </w:tabs>
                    <w:spacing w:line="320" w:lineRule="exact"/>
                    <w:rPr>
                      <w:rFonts w:eastAsia="宋体"/>
                      <w:color w:val="auto"/>
                      <w:szCs w:val="21"/>
                    </w:rPr>
                  </w:pPr>
                  <w:r>
                    <w:rPr>
                      <w:rFonts w:hint="eastAsia" w:eastAsia="宋体"/>
                      <w:color w:val="auto"/>
                      <w:szCs w:val="21"/>
                    </w:rPr>
                    <w:t>23.05</w:t>
                  </w:r>
                </w:p>
              </w:tc>
              <w:tc>
                <w:tcPr>
                  <w:tcW w:w="1464" w:type="dxa"/>
                  <w:tcBorders>
                    <w:tl2br w:val="nil"/>
                    <w:tr2bl w:val="nil"/>
                  </w:tcBorders>
                </w:tcPr>
                <w:p>
                  <w:pPr>
                    <w:pStyle w:val="72"/>
                    <w:tabs>
                      <w:tab w:val="clear" w:pos="1021"/>
                    </w:tabs>
                    <w:spacing w:line="320" w:lineRule="exact"/>
                    <w:rPr>
                      <w:rFonts w:hAnsi="宋体" w:eastAsia="宋体"/>
                      <w:color w:val="auto"/>
                      <w:szCs w:val="21"/>
                    </w:rPr>
                  </w:pPr>
                  <w:r>
                    <w:rPr>
                      <w:rFonts w:hint="eastAsia" w:hAnsi="宋体" w:eastAsia="宋体"/>
                      <w:color w:val="auto"/>
                      <w:szCs w:val="21"/>
                    </w:rPr>
                    <w:t>53.70；53.41</w:t>
                  </w:r>
                </w:p>
              </w:tc>
              <w:tc>
                <w:tcPr>
                  <w:tcW w:w="1408" w:type="dxa"/>
                  <w:tcBorders>
                    <w:tl2br w:val="nil"/>
                    <w:tr2bl w:val="nil"/>
                  </w:tcBorders>
                </w:tcPr>
                <w:p>
                  <w:pPr>
                    <w:pStyle w:val="72"/>
                    <w:tabs>
                      <w:tab w:val="clear" w:pos="1021"/>
                    </w:tabs>
                    <w:spacing w:line="320" w:lineRule="exact"/>
                    <w:rPr>
                      <w:rFonts w:hAnsi="宋体" w:eastAsia="宋体"/>
                      <w:color w:val="auto"/>
                      <w:szCs w:val="21"/>
                    </w:rPr>
                  </w:pPr>
                  <w:r>
                    <w:rPr>
                      <w:rFonts w:hint="eastAsia" w:hAnsi="宋体" w:eastAsia="宋体"/>
                      <w:color w:val="auto"/>
                      <w:szCs w:val="21"/>
                    </w:rPr>
                    <w:t>43.04；42.25</w:t>
                  </w:r>
                </w:p>
              </w:tc>
              <w:tc>
                <w:tcPr>
                  <w:tcW w:w="1154" w:type="dxa"/>
                  <w:tcBorders>
                    <w:tl2br w:val="nil"/>
                    <w:tr2bl w:val="nil"/>
                  </w:tcBorders>
                  <w:vAlign w:val="center"/>
                </w:tcPr>
                <w:p>
                  <w:pPr>
                    <w:pStyle w:val="72"/>
                    <w:tabs>
                      <w:tab w:val="clear" w:pos="1021"/>
                    </w:tabs>
                    <w:spacing w:line="320" w:lineRule="exact"/>
                    <w:rPr>
                      <w:rFonts w:eastAsia="宋体"/>
                      <w:color w:val="auto"/>
                      <w:szCs w:val="21"/>
                    </w:rPr>
                  </w:pPr>
                  <w:r>
                    <w:rPr>
                      <w:rFonts w:hint="eastAsia" w:hAnsi="宋体" w:eastAsia="宋体"/>
                      <w:color w:val="auto"/>
                      <w:szCs w:val="21"/>
                    </w:rPr>
                    <w:t>未超标</w:t>
                  </w:r>
                </w:p>
              </w:tc>
              <w:tc>
                <w:tcPr>
                  <w:tcW w:w="1119" w:type="dxa"/>
                  <w:tcBorders>
                    <w:tl2br w:val="nil"/>
                    <w:tr2bl w:val="nil"/>
                  </w:tcBorders>
                  <w:vAlign w:val="center"/>
                </w:tcPr>
                <w:p>
                  <w:pPr>
                    <w:pStyle w:val="72"/>
                    <w:tabs>
                      <w:tab w:val="clear" w:pos="1021"/>
                    </w:tabs>
                    <w:spacing w:line="320" w:lineRule="exact"/>
                    <w:rPr>
                      <w:rFonts w:eastAsia="宋体"/>
                      <w:color w:val="auto"/>
                      <w:szCs w:val="21"/>
                    </w:rPr>
                  </w:pPr>
                  <w:r>
                    <w:rPr>
                      <w:rFonts w:hint="eastAsia" w:hAnsi="宋体" w:eastAsia="宋体"/>
                      <w:color w:val="auto"/>
                      <w:szCs w:val="21"/>
                    </w:rPr>
                    <w:t>未超标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59" w:type="dxa"/>
                  <w:tcBorders>
                    <w:tl2br w:val="nil"/>
                    <w:tr2bl w:val="nil"/>
                  </w:tcBorders>
                  <w:vAlign w:val="center"/>
                </w:tcPr>
                <w:p>
                  <w:pPr>
                    <w:pStyle w:val="72"/>
                    <w:tabs>
                      <w:tab w:val="clear" w:pos="1021"/>
                    </w:tabs>
                    <w:spacing w:line="320" w:lineRule="exact"/>
                    <w:rPr>
                      <w:rFonts w:eastAsia="宋体"/>
                      <w:color w:val="auto"/>
                      <w:szCs w:val="21"/>
                    </w:rPr>
                  </w:pPr>
                  <w:r>
                    <w:rPr>
                      <w:rFonts w:eastAsia="宋体"/>
                      <w:color w:val="auto"/>
                      <w:szCs w:val="21"/>
                    </w:rPr>
                    <w:t>4#</w:t>
                  </w:r>
                </w:p>
              </w:tc>
              <w:tc>
                <w:tcPr>
                  <w:tcW w:w="1362" w:type="dxa"/>
                  <w:tcBorders>
                    <w:tl2br w:val="nil"/>
                    <w:tr2bl w:val="nil"/>
                  </w:tcBorders>
                  <w:vAlign w:val="center"/>
                </w:tcPr>
                <w:p>
                  <w:pPr>
                    <w:pStyle w:val="72"/>
                    <w:tabs>
                      <w:tab w:val="clear" w:pos="1021"/>
                    </w:tabs>
                    <w:spacing w:line="320" w:lineRule="exact"/>
                    <w:rPr>
                      <w:rFonts w:eastAsia="宋体"/>
                      <w:color w:val="auto"/>
                      <w:szCs w:val="21"/>
                    </w:rPr>
                  </w:pPr>
                  <w:r>
                    <w:rPr>
                      <w:rFonts w:hint="eastAsia" w:hAnsi="宋体" w:eastAsia="宋体"/>
                      <w:color w:val="auto"/>
                      <w:szCs w:val="21"/>
                    </w:rPr>
                    <w:t>北厂界</w:t>
                  </w:r>
                </w:p>
              </w:tc>
              <w:tc>
                <w:tcPr>
                  <w:tcW w:w="1108" w:type="dxa"/>
                  <w:tcBorders>
                    <w:tl2br w:val="nil"/>
                    <w:tr2bl w:val="nil"/>
                  </w:tcBorders>
                  <w:vAlign w:val="center"/>
                </w:tcPr>
                <w:p>
                  <w:pPr>
                    <w:pStyle w:val="72"/>
                    <w:tabs>
                      <w:tab w:val="clear" w:pos="1021"/>
                    </w:tabs>
                    <w:spacing w:line="320" w:lineRule="exact"/>
                    <w:rPr>
                      <w:rFonts w:eastAsia="宋体"/>
                      <w:color w:val="auto"/>
                      <w:szCs w:val="21"/>
                    </w:rPr>
                  </w:pPr>
                  <w:r>
                    <w:rPr>
                      <w:rFonts w:hint="eastAsia" w:eastAsia="宋体"/>
                      <w:color w:val="auto"/>
                      <w:szCs w:val="21"/>
                    </w:rPr>
                    <w:t>29.77</w:t>
                  </w:r>
                </w:p>
              </w:tc>
              <w:tc>
                <w:tcPr>
                  <w:tcW w:w="1464" w:type="dxa"/>
                  <w:tcBorders>
                    <w:tl2br w:val="nil"/>
                    <w:tr2bl w:val="nil"/>
                  </w:tcBorders>
                </w:tcPr>
                <w:p>
                  <w:pPr>
                    <w:pStyle w:val="72"/>
                    <w:tabs>
                      <w:tab w:val="clear" w:pos="1021"/>
                    </w:tabs>
                    <w:spacing w:line="320" w:lineRule="exact"/>
                    <w:rPr>
                      <w:rFonts w:hAnsi="宋体" w:eastAsia="宋体"/>
                      <w:color w:val="auto"/>
                      <w:szCs w:val="21"/>
                    </w:rPr>
                  </w:pPr>
                  <w:r>
                    <w:rPr>
                      <w:rFonts w:hint="eastAsia" w:hAnsi="宋体" w:eastAsia="宋体"/>
                      <w:color w:val="auto"/>
                      <w:szCs w:val="21"/>
                    </w:rPr>
                    <w:t>52.92；51.53</w:t>
                  </w:r>
                </w:p>
              </w:tc>
              <w:tc>
                <w:tcPr>
                  <w:tcW w:w="1408" w:type="dxa"/>
                  <w:tcBorders>
                    <w:tl2br w:val="nil"/>
                    <w:tr2bl w:val="nil"/>
                  </w:tcBorders>
                </w:tcPr>
                <w:p>
                  <w:pPr>
                    <w:pStyle w:val="72"/>
                    <w:tabs>
                      <w:tab w:val="clear" w:pos="1021"/>
                    </w:tabs>
                    <w:spacing w:line="320" w:lineRule="exact"/>
                    <w:rPr>
                      <w:rFonts w:hAnsi="宋体" w:eastAsia="宋体"/>
                      <w:color w:val="auto"/>
                      <w:szCs w:val="21"/>
                    </w:rPr>
                  </w:pPr>
                  <w:r>
                    <w:rPr>
                      <w:rFonts w:hint="eastAsia" w:hAnsi="宋体" w:eastAsia="宋体"/>
                      <w:color w:val="auto"/>
                      <w:szCs w:val="21"/>
                    </w:rPr>
                    <w:t>41.97；42.35</w:t>
                  </w:r>
                </w:p>
              </w:tc>
              <w:tc>
                <w:tcPr>
                  <w:tcW w:w="1154" w:type="dxa"/>
                  <w:tcBorders>
                    <w:tl2br w:val="nil"/>
                    <w:tr2bl w:val="nil"/>
                  </w:tcBorders>
                  <w:vAlign w:val="center"/>
                </w:tcPr>
                <w:p>
                  <w:pPr>
                    <w:pStyle w:val="72"/>
                    <w:tabs>
                      <w:tab w:val="clear" w:pos="1021"/>
                    </w:tabs>
                    <w:spacing w:line="320" w:lineRule="exact"/>
                    <w:rPr>
                      <w:rFonts w:eastAsia="宋体"/>
                      <w:color w:val="auto"/>
                      <w:szCs w:val="21"/>
                    </w:rPr>
                  </w:pPr>
                  <w:r>
                    <w:rPr>
                      <w:rFonts w:hint="eastAsia" w:hAnsi="宋体" w:eastAsia="宋体"/>
                      <w:color w:val="auto"/>
                      <w:szCs w:val="21"/>
                    </w:rPr>
                    <w:t>未超标</w:t>
                  </w:r>
                </w:p>
              </w:tc>
              <w:tc>
                <w:tcPr>
                  <w:tcW w:w="1119" w:type="dxa"/>
                  <w:tcBorders>
                    <w:tl2br w:val="nil"/>
                    <w:tr2bl w:val="nil"/>
                  </w:tcBorders>
                  <w:vAlign w:val="center"/>
                </w:tcPr>
                <w:p>
                  <w:pPr>
                    <w:pStyle w:val="72"/>
                    <w:tabs>
                      <w:tab w:val="clear" w:pos="1021"/>
                    </w:tabs>
                    <w:spacing w:line="320" w:lineRule="exact"/>
                    <w:rPr>
                      <w:rFonts w:eastAsia="宋体"/>
                      <w:color w:val="auto"/>
                      <w:szCs w:val="21"/>
                    </w:rPr>
                  </w:pPr>
                  <w:r>
                    <w:rPr>
                      <w:rFonts w:hint="eastAsia" w:hAnsi="宋体" w:eastAsia="宋体"/>
                      <w:color w:val="auto"/>
                      <w:szCs w:val="21"/>
                    </w:rPr>
                    <w:t>未超标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5" w:hRule="atLeast"/>
                <w:jc w:val="center"/>
              </w:trPr>
              <w:tc>
                <w:tcPr>
                  <w:tcW w:w="859" w:type="dxa"/>
                  <w:tcBorders>
                    <w:tl2br w:val="nil"/>
                    <w:tr2bl w:val="nil"/>
                  </w:tcBorders>
                  <w:vAlign w:val="center"/>
                </w:tcPr>
                <w:p>
                  <w:pPr>
                    <w:pStyle w:val="72"/>
                    <w:tabs>
                      <w:tab w:val="clear" w:pos="1021"/>
                    </w:tabs>
                    <w:spacing w:line="320" w:lineRule="exact"/>
                    <w:rPr>
                      <w:rFonts w:hint="default" w:eastAsia="宋体"/>
                      <w:color w:val="auto"/>
                      <w:szCs w:val="21"/>
                      <w:lang w:val="en-US" w:eastAsia="zh-CN"/>
                    </w:rPr>
                  </w:pPr>
                  <w:r>
                    <w:rPr>
                      <w:rFonts w:hint="eastAsia" w:eastAsia="宋体"/>
                      <w:color w:val="auto"/>
                      <w:szCs w:val="21"/>
                      <w:lang w:val="en-US" w:eastAsia="zh-CN"/>
                    </w:rPr>
                    <w:t>5#</w:t>
                  </w:r>
                </w:p>
              </w:tc>
              <w:tc>
                <w:tcPr>
                  <w:tcW w:w="1362" w:type="dxa"/>
                  <w:tcBorders>
                    <w:tl2br w:val="nil"/>
                    <w:tr2bl w:val="nil"/>
                  </w:tcBorders>
                  <w:vAlign w:val="center"/>
                </w:tcPr>
                <w:p>
                  <w:pPr>
                    <w:pStyle w:val="72"/>
                    <w:tabs>
                      <w:tab w:val="clear" w:pos="1021"/>
                    </w:tabs>
                    <w:spacing w:line="320" w:lineRule="exact"/>
                    <w:rPr>
                      <w:rFonts w:hint="default" w:hAnsi="宋体" w:eastAsia="宋体"/>
                      <w:color w:val="auto"/>
                      <w:szCs w:val="21"/>
                      <w:lang w:val="en-US" w:eastAsia="zh-CN"/>
                    </w:rPr>
                  </w:pPr>
                  <w:r>
                    <w:rPr>
                      <w:rFonts w:hint="eastAsia" w:hAnsi="宋体" w:eastAsia="宋体"/>
                      <w:color w:val="auto"/>
                      <w:szCs w:val="21"/>
                      <w:lang w:eastAsia="zh-CN"/>
                    </w:rPr>
                    <w:t>北面</w:t>
                  </w:r>
                  <w:r>
                    <w:rPr>
                      <w:rFonts w:hint="eastAsia" w:hAnsi="宋体" w:eastAsia="宋体"/>
                      <w:color w:val="auto"/>
                      <w:szCs w:val="21"/>
                      <w:lang w:val="en-US" w:eastAsia="zh-CN"/>
                    </w:rPr>
                    <w:t>158m处居民点</w:t>
                  </w:r>
                </w:p>
              </w:tc>
              <w:tc>
                <w:tcPr>
                  <w:tcW w:w="1108" w:type="dxa"/>
                  <w:tcBorders>
                    <w:tl2br w:val="nil"/>
                    <w:tr2bl w:val="nil"/>
                  </w:tcBorders>
                  <w:vAlign w:val="center"/>
                </w:tcPr>
                <w:p>
                  <w:pPr>
                    <w:pStyle w:val="72"/>
                    <w:tabs>
                      <w:tab w:val="clear" w:pos="1021"/>
                    </w:tabs>
                    <w:spacing w:line="320" w:lineRule="exact"/>
                    <w:rPr>
                      <w:rFonts w:hint="default" w:eastAsia="宋体"/>
                      <w:color w:val="auto"/>
                      <w:szCs w:val="21"/>
                      <w:lang w:val="en-US" w:eastAsia="zh-CN"/>
                    </w:rPr>
                  </w:pPr>
                  <w:r>
                    <w:rPr>
                      <w:rFonts w:hint="eastAsia" w:eastAsia="宋体"/>
                      <w:color w:val="auto"/>
                      <w:szCs w:val="21"/>
                      <w:lang w:val="en-US" w:eastAsia="zh-CN"/>
                    </w:rPr>
                    <w:t>24.36</w:t>
                  </w:r>
                </w:p>
              </w:tc>
              <w:tc>
                <w:tcPr>
                  <w:tcW w:w="1464" w:type="dxa"/>
                  <w:tcBorders>
                    <w:tl2br w:val="nil"/>
                    <w:tr2bl w:val="nil"/>
                  </w:tcBorders>
                  <w:vAlign w:val="center"/>
                </w:tcPr>
                <w:p>
                  <w:pPr>
                    <w:pStyle w:val="72"/>
                    <w:tabs>
                      <w:tab w:val="clear" w:pos="1021"/>
                    </w:tabs>
                    <w:spacing w:line="320" w:lineRule="exact"/>
                    <w:rPr>
                      <w:rFonts w:hint="eastAsia" w:ascii="Times New Roman" w:hAnsi="宋体" w:eastAsia="宋体" w:cs="Times New Roman"/>
                      <w:color w:val="auto"/>
                      <w:kern w:val="2"/>
                      <w:sz w:val="21"/>
                      <w:szCs w:val="21"/>
                      <w:lang w:val="en-US" w:eastAsia="zh-CN" w:bidi="ar-SA"/>
                    </w:rPr>
                  </w:pPr>
                  <w:r>
                    <w:rPr>
                      <w:rFonts w:hint="eastAsia" w:hAnsi="宋体" w:eastAsia="宋体"/>
                      <w:color w:val="auto"/>
                      <w:szCs w:val="21"/>
                      <w:lang w:val="en-US" w:eastAsia="zh-CN"/>
                    </w:rPr>
                    <w:t>48</w:t>
                  </w:r>
                  <w:r>
                    <w:rPr>
                      <w:rFonts w:hint="eastAsia" w:hAnsi="宋体" w:eastAsia="宋体"/>
                      <w:color w:val="auto"/>
                      <w:szCs w:val="21"/>
                    </w:rPr>
                    <w:t>.92；</w:t>
                  </w:r>
                  <w:r>
                    <w:rPr>
                      <w:rFonts w:hint="eastAsia" w:hAnsi="宋体" w:eastAsia="宋体"/>
                      <w:color w:val="auto"/>
                      <w:szCs w:val="21"/>
                      <w:lang w:val="en-US" w:eastAsia="zh-CN"/>
                    </w:rPr>
                    <w:t>49</w:t>
                  </w:r>
                  <w:r>
                    <w:rPr>
                      <w:rFonts w:hint="eastAsia" w:hAnsi="宋体" w:eastAsia="宋体"/>
                      <w:color w:val="auto"/>
                      <w:szCs w:val="21"/>
                    </w:rPr>
                    <w:t>.53</w:t>
                  </w:r>
                </w:p>
              </w:tc>
              <w:tc>
                <w:tcPr>
                  <w:tcW w:w="1408" w:type="dxa"/>
                  <w:tcBorders>
                    <w:tl2br w:val="nil"/>
                    <w:tr2bl w:val="nil"/>
                  </w:tcBorders>
                  <w:vAlign w:val="center"/>
                </w:tcPr>
                <w:p>
                  <w:pPr>
                    <w:pStyle w:val="72"/>
                    <w:tabs>
                      <w:tab w:val="clear" w:pos="1021"/>
                    </w:tabs>
                    <w:spacing w:line="320" w:lineRule="exact"/>
                    <w:rPr>
                      <w:rFonts w:hint="eastAsia" w:ascii="Times New Roman" w:hAnsi="宋体" w:eastAsia="宋体" w:cs="Times New Roman"/>
                      <w:color w:val="auto"/>
                      <w:kern w:val="2"/>
                      <w:sz w:val="21"/>
                      <w:szCs w:val="21"/>
                      <w:lang w:val="en-US" w:eastAsia="zh-CN" w:bidi="ar-SA"/>
                    </w:rPr>
                  </w:pPr>
                  <w:r>
                    <w:rPr>
                      <w:rFonts w:hint="eastAsia" w:hAnsi="宋体" w:eastAsia="宋体"/>
                      <w:color w:val="auto"/>
                      <w:szCs w:val="21"/>
                    </w:rPr>
                    <w:t>41.97；42.35</w:t>
                  </w:r>
                </w:p>
              </w:tc>
              <w:tc>
                <w:tcPr>
                  <w:tcW w:w="1154" w:type="dxa"/>
                  <w:tcBorders>
                    <w:tl2br w:val="nil"/>
                    <w:tr2bl w:val="nil"/>
                  </w:tcBorders>
                  <w:vAlign w:val="center"/>
                </w:tcPr>
                <w:p>
                  <w:pPr>
                    <w:pStyle w:val="72"/>
                    <w:tabs>
                      <w:tab w:val="clear" w:pos="1021"/>
                    </w:tabs>
                    <w:spacing w:line="320" w:lineRule="exact"/>
                    <w:rPr>
                      <w:rFonts w:hint="eastAsia" w:ascii="Times New Roman" w:hAnsi="Times New Roman" w:eastAsia="宋体" w:cs="Times New Roman"/>
                      <w:color w:val="auto"/>
                      <w:kern w:val="2"/>
                      <w:sz w:val="21"/>
                      <w:szCs w:val="21"/>
                      <w:lang w:val="en-US" w:eastAsia="zh-CN" w:bidi="ar-SA"/>
                    </w:rPr>
                  </w:pPr>
                  <w:r>
                    <w:rPr>
                      <w:rFonts w:hint="eastAsia" w:hAnsi="宋体" w:eastAsia="宋体"/>
                      <w:color w:val="auto"/>
                      <w:szCs w:val="21"/>
                    </w:rPr>
                    <w:t>未超标</w:t>
                  </w:r>
                </w:p>
              </w:tc>
              <w:tc>
                <w:tcPr>
                  <w:tcW w:w="1119" w:type="dxa"/>
                  <w:tcBorders>
                    <w:tl2br w:val="nil"/>
                    <w:tr2bl w:val="nil"/>
                  </w:tcBorders>
                  <w:vAlign w:val="center"/>
                </w:tcPr>
                <w:p>
                  <w:pPr>
                    <w:pStyle w:val="72"/>
                    <w:tabs>
                      <w:tab w:val="clear" w:pos="1021"/>
                    </w:tabs>
                    <w:spacing w:line="320" w:lineRule="exact"/>
                    <w:rPr>
                      <w:rFonts w:hint="eastAsia" w:ascii="Times New Roman" w:hAnsi="Times New Roman" w:eastAsia="宋体" w:cs="Times New Roman"/>
                      <w:color w:val="auto"/>
                      <w:kern w:val="2"/>
                      <w:sz w:val="21"/>
                      <w:szCs w:val="21"/>
                      <w:lang w:val="en-US" w:eastAsia="zh-CN" w:bidi="ar-SA"/>
                    </w:rPr>
                  </w:pPr>
                  <w:r>
                    <w:rPr>
                      <w:rFonts w:hint="eastAsia" w:hAnsi="宋体" w:eastAsia="宋体"/>
                      <w:color w:val="auto"/>
                      <w:szCs w:val="21"/>
                    </w:rPr>
                    <w:t>未超标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3329" w:type="dxa"/>
                  <w:gridSpan w:val="3"/>
                  <w:tcBorders>
                    <w:tl2br w:val="nil"/>
                    <w:tr2bl w:val="nil"/>
                  </w:tcBorders>
                  <w:vAlign w:val="center"/>
                </w:tcPr>
                <w:p>
                  <w:pPr>
                    <w:pStyle w:val="72"/>
                    <w:tabs>
                      <w:tab w:val="clear" w:pos="1021"/>
                    </w:tabs>
                    <w:spacing w:line="320" w:lineRule="exact"/>
                    <w:rPr>
                      <w:rFonts w:eastAsia="宋体"/>
                      <w:color w:val="auto"/>
                      <w:szCs w:val="21"/>
                    </w:rPr>
                  </w:pPr>
                  <w:r>
                    <w:rPr>
                      <w:rFonts w:eastAsia="宋体"/>
                      <w:color w:val="auto"/>
                      <w:szCs w:val="21"/>
                    </w:rPr>
                    <w:t>GB12348-2008</w:t>
                  </w:r>
                  <w:r>
                    <w:rPr>
                      <w:rFonts w:hint="eastAsia" w:hAnsi="宋体" w:eastAsia="宋体"/>
                      <w:color w:val="auto"/>
                      <w:szCs w:val="21"/>
                    </w:rPr>
                    <w:t>中的</w:t>
                  </w:r>
                  <w:r>
                    <w:rPr>
                      <w:rFonts w:hint="eastAsia" w:hAnsi="宋体" w:eastAsia="宋体"/>
                      <w:color w:val="auto"/>
                      <w:szCs w:val="21"/>
                      <w:lang w:val="en-US" w:eastAsia="zh-CN"/>
                    </w:rPr>
                    <w:t>2</w:t>
                  </w:r>
                  <w:r>
                    <w:rPr>
                      <w:rFonts w:hint="eastAsia" w:hAnsi="宋体" w:eastAsia="宋体"/>
                      <w:color w:val="auto"/>
                      <w:szCs w:val="21"/>
                    </w:rPr>
                    <w:t>类标准值</w:t>
                  </w:r>
                </w:p>
              </w:tc>
              <w:tc>
                <w:tcPr>
                  <w:tcW w:w="1464" w:type="dxa"/>
                  <w:tcBorders>
                    <w:tl2br w:val="nil"/>
                    <w:tr2bl w:val="nil"/>
                  </w:tcBorders>
                </w:tcPr>
                <w:p>
                  <w:pPr>
                    <w:pStyle w:val="72"/>
                    <w:tabs>
                      <w:tab w:val="clear" w:pos="1021"/>
                    </w:tabs>
                    <w:spacing w:line="320" w:lineRule="exact"/>
                    <w:rPr>
                      <w:rFonts w:hint="default" w:eastAsia="宋体"/>
                      <w:color w:val="auto"/>
                      <w:szCs w:val="21"/>
                      <w:lang w:val="en-US" w:eastAsia="zh-CN"/>
                    </w:rPr>
                  </w:pPr>
                  <w:r>
                    <w:rPr>
                      <w:rFonts w:hint="eastAsia" w:eastAsia="宋体"/>
                      <w:color w:val="auto"/>
                      <w:szCs w:val="21"/>
                      <w:lang w:val="en-US" w:eastAsia="zh-CN"/>
                    </w:rPr>
                    <w:t>60</w:t>
                  </w:r>
                </w:p>
              </w:tc>
              <w:tc>
                <w:tcPr>
                  <w:tcW w:w="1408" w:type="dxa"/>
                  <w:tcBorders>
                    <w:tl2br w:val="nil"/>
                    <w:tr2bl w:val="nil"/>
                  </w:tcBorders>
                </w:tcPr>
                <w:p>
                  <w:pPr>
                    <w:pStyle w:val="72"/>
                    <w:tabs>
                      <w:tab w:val="clear" w:pos="1021"/>
                    </w:tabs>
                    <w:spacing w:line="320" w:lineRule="exact"/>
                    <w:rPr>
                      <w:rFonts w:hint="default" w:eastAsia="宋体"/>
                      <w:color w:val="auto"/>
                      <w:szCs w:val="21"/>
                      <w:lang w:val="en-US" w:eastAsia="zh-CN"/>
                    </w:rPr>
                  </w:pPr>
                  <w:r>
                    <w:rPr>
                      <w:rFonts w:hint="eastAsia" w:eastAsia="宋体"/>
                      <w:color w:val="auto"/>
                      <w:szCs w:val="21"/>
                      <w:lang w:val="en-US" w:eastAsia="zh-CN"/>
                    </w:rPr>
                    <w:t>50</w:t>
                  </w:r>
                </w:p>
              </w:tc>
              <w:tc>
                <w:tcPr>
                  <w:tcW w:w="1154" w:type="dxa"/>
                  <w:tcBorders>
                    <w:tl2br w:val="nil"/>
                    <w:tr2bl w:val="nil"/>
                  </w:tcBorders>
                  <w:vAlign w:val="center"/>
                </w:tcPr>
                <w:p>
                  <w:pPr>
                    <w:pStyle w:val="72"/>
                    <w:tabs>
                      <w:tab w:val="clear" w:pos="1021"/>
                    </w:tabs>
                    <w:spacing w:line="320" w:lineRule="exact"/>
                    <w:rPr>
                      <w:rFonts w:eastAsia="宋体"/>
                      <w:color w:val="auto"/>
                      <w:szCs w:val="21"/>
                    </w:rPr>
                  </w:pPr>
                  <w:r>
                    <w:rPr>
                      <w:rFonts w:hint="eastAsia" w:eastAsia="宋体"/>
                      <w:color w:val="auto"/>
                      <w:szCs w:val="21"/>
                    </w:rPr>
                    <w:t>/</w:t>
                  </w:r>
                </w:p>
              </w:tc>
              <w:tc>
                <w:tcPr>
                  <w:tcW w:w="1119" w:type="dxa"/>
                  <w:tcBorders>
                    <w:tl2br w:val="nil"/>
                    <w:tr2bl w:val="nil"/>
                  </w:tcBorders>
                  <w:vAlign w:val="center"/>
                </w:tcPr>
                <w:p>
                  <w:pPr>
                    <w:pStyle w:val="72"/>
                    <w:tabs>
                      <w:tab w:val="clear" w:pos="1021"/>
                    </w:tabs>
                    <w:spacing w:line="320" w:lineRule="exact"/>
                    <w:rPr>
                      <w:rFonts w:eastAsia="宋体"/>
                      <w:color w:val="auto"/>
                      <w:szCs w:val="21"/>
                    </w:rPr>
                  </w:pPr>
                  <w:r>
                    <w:rPr>
                      <w:rFonts w:hint="eastAsia" w:eastAsia="宋体"/>
                      <w:color w:val="auto"/>
                      <w:szCs w:val="21"/>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从上表的预测结果中可看出：厂界噪声昼</w:t>
            </w:r>
            <w:r>
              <w:rPr>
                <w:rFonts w:hint="eastAsia"/>
                <w:color w:val="auto"/>
                <w:sz w:val="24"/>
                <w:szCs w:val="24"/>
                <w:lang w:eastAsia="zh-CN"/>
              </w:rPr>
              <w:t>、</w:t>
            </w:r>
            <w:r>
              <w:rPr>
                <w:rFonts w:hint="eastAsia"/>
                <w:color w:val="auto"/>
                <w:sz w:val="24"/>
                <w:szCs w:val="24"/>
              </w:rPr>
              <w:t>夜</w:t>
            </w:r>
            <w:r>
              <w:rPr>
                <w:rFonts w:hint="eastAsia"/>
                <w:color w:val="auto"/>
                <w:sz w:val="24"/>
                <w:szCs w:val="24"/>
                <w:lang w:eastAsia="zh-CN"/>
              </w:rPr>
              <w:t>间</w:t>
            </w:r>
            <w:r>
              <w:rPr>
                <w:rFonts w:hint="eastAsia"/>
                <w:color w:val="auto"/>
                <w:sz w:val="24"/>
                <w:szCs w:val="24"/>
              </w:rPr>
              <w:t>均满足《工业企业厂界环境噪声排放标准》GB12348-2008中</w:t>
            </w:r>
            <w:r>
              <w:rPr>
                <w:rFonts w:hint="eastAsia"/>
                <w:color w:val="auto"/>
                <w:sz w:val="24"/>
                <w:szCs w:val="24"/>
                <w:lang w:val="en-US" w:eastAsia="zh-CN"/>
              </w:rPr>
              <w:t>2</w:t>
            </w:r>
            <w:r>
              <w:rPr>
                <w:rFonts w:hint="eastAsia"/>
                <w:color w:val="auto"/>
                <w:sz w:val="24"/>
                <w:szCs w:val="24"/>
              </w:rPr>
              <w:t>类标准的要求，厂界100m范围内无居民点</w:t>
            </w:r>
            <w:r>
              <w:rPr>
                <w:rFonts w:hint="eastAsia"/>
                <w:color w:val="auto"/>
                <w:sz w:val="24"/>
                <w:szCs w:val="24"/>
                <w:lang w:eastAsia="zh-CN"/>
              </w:rPr>
              <w:t>；同时对北面居民点的影响小</w:t>
            </w:r>
            <w:r>
              <w:rPr>
                <w:rFonts w:hint="eastAsia"/>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b/>
                <w:bCs/>
                <w:color w:val="auto"/>
                <w:sz w:val="24"/>
                <w:szCs w:val="24"/>
                <w:u w:val="none"/>
              </w:rPr>
            </w:pPr>
            <w:r>
              <w:rPr>
                <w:rFonts w:hint="eastAsia"/>
                <w:b/>
                <w:bCs/>
                <w:color w:val="auto"/>
                <w:sz w:val="24"/>
                <w:szCs w:val="24"/>
                <w:u w:val="none"/>
              </w:rPr>
              <w:t xml:space="preserve">7.2.6 </w:t>
            </w:r>
            <w:r>
              <w:rPr>
                <w:b/>
                <w:bCs/>
                <w:color w:val="auto"/>
                <w:sz w:val="24"/>
                <w:szCs w:val="24"/>
                <w:u w:val="none"/>
              </w:rPr>
              <w:t>固体废</w:t>
            </w:r>
            <w:r>
              <w:rPr>
                <w:rFonts w:hint="eastAsia"/>
                <w:b/>
                <w:bCs/>
                <w:color w:val="auto"/>
                <w:sz w:val="24"/>
                <w:szCs w:val="24"/>
                <w:u w:val="none"/>
              </w:rPr>
              <w:t>弃</w:t>
            </w:r>
            <w:r>
              <w:rPr>
                <w:b/>
                <w:bCs/>
                <w:color w:val="auto"/>
                <w:sz w:val="24"/>
                <w:szCs w:val="24"/>
                <w:u w:val="none"/>
              </w:rPr>
              <w:t>物影响分析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ascii="Times New Roman" w:hAnsi="Times New Roman" w:eastAsia="宋体" w:cs="Times New Roman"/>
                <w:color w:val="auto"/>
                <w:sz w:val="24"/>
                <w:szCs w:val="24"/>
                <w:u w:val="none"/>
              </w:rPr>
            </w:pPr>
            <w:r>
              <w:rPr>
                <w:rFonts w:hint="eastAsia" w:ascii="Times New Roman" w:hAnsi="Times New Roman" w:eastAsia="宋体" w:cs="Times New Roman"/>
                <w:color w:val="auto"/>
                <w:sz w:val="24"/>
                <w:szCs w:val="24"/>
                <w:u w:val="none"/>
              </w:rPr>
              <w:t>本项目</w:t>
            </w:r>
            <w:r>
              <w:rPr>
                <w:rFonts w:hint="eastAsia" w:ascii="Times New Roman" w:hAnsi="Times New Roman" w:eastAsia="宋体" w:cs="Times New Roman"/>
                <w:color w:val="auto"/>
                <w:sz w:val="24"/>
                <w:szCs w:val="24"/>
                <w:u w:val="none"/>
                <w:lang w:eastAsia="zh-CN"/>
              </w:rPr>
              <w:t>营运期产生</w:t>
            </w:r>
            <w:r>
              <w:rPr>
                <w:rFonts w:hint="eastAsia" w:ascii="Times New Roman" w:hAnsi="Times New Roman" w:eastAsia="宋体" w:cs="Times New Roman"/>
                <w:color w:val="auto"/>
                <w:sz w:val="24"/>
                <w:szCs w:val="24"/>
                <w:u w:val="none"/>
              </w:rPr>
              <w:t>固体废物主要为栅渣、沉砂、</w:t>
            </w:r>
            <w:r>
              <w:rPr>
                <w:rFonts w:hint="eastAsia" w:ascii="Times New Roman" w:hAnsi="Times New Roman" w:eastAsia="宋体" w:cs="Times New Roman"/>
                <w:color w:val="auto"/>
                <w:sz w:val="24"/>
                <w:szCs w:val="24"/>
                <w:u w:val="none"/>
                <w:lang w:eastAsia="zh-CN"/>
              </w:rPr>
              <w:t>废包装、</w:t>
            </w:r>
            <w:r>
              <w:rPr>
                <w:rFonts w:hint="eastAsia" w:ascii="Times New Roman" w:hAnsi="Times New Roman" w:eastAsia="宋体" w:cs="Times New Roman"/>
                <w:color w:val="auto"/>
                <w:sz w:val="24"/>
                <w:szCs w:val="24"/>
                <w:u w:val="none"/>
              </w:rPr>
              <w:t>工作人员生活垃圾及污泥。</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rPr>
            </w:pPr>
            <w:r>
              <w:rPr>
                <w:rFonts w:hint="eastAsia" w:ascii="Times New Roman" w:hAnsi="Times New Roman" w:eastAsia="宋体" w:cs="Times New Roman"/>
                <w:color w:val="auto"/>
                <w:sz w:val="24"/>
                <w:szCs w:val="24"/>
                <w:u w:val="none"/>
              </w:rPr>
              <w:t>栅渣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rPr>
            </w:pPr>
            <w:r>
              <w:rPr>
                <w:rFonts w:hint="eastAsia"/>
                <w:color w:val="auto"/>
                <w:sz w:val="24"/>
                <w:szCs w:val="24"/>
                <w:u w:val="none"/>
              </w:rPr>
              <w:t>格栅渣</w:t>
            </w:r>
            <w:r>
              <w:rPr>
                <w:rFonts w:hint="eastAsia"/>
                <w:bCs/>
                <w:color w:val="auto"/>
                <w:sz w:val="24"/>
                <w:szCs w:val="24"/>
                <w:u w:val="none"/>
              </w:rPr>
              <w:t>主要是较大块状物、枝状物、软性物质和软塑料等粗、细垃圾和悬浮或飘浮状态的杂物</w:t>
            </w:r>
            <w:r>
              <w:rPr>
                <w:rFonts w:hint="eastAsia"/>
                <w:bCs/>
                <w:color w:val="auto"/>
                <w:sz w:val="24"/>
                <w:szCs w:val="24"/>
                <w:u w:val="none"/>
                <w:lang w:eastAsia="zh-CN"/>
              </w:rPr>
              <w:t>，</w:t>
            </w:r>
            <w:r>
              <w:rPr>
                <w:rFonts w:hint="eastAsia"/>
                <w:color w:val="auto"/>
                <w:sz w:val="24"/>
                <w:szCs w:val="24"/>
                <w:u w:val="none"/>
              </w:rPr>
              <w:t>格栅渣收集后交由环卫部门清运处理。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62" w:firstLineChars="200"/>
              <w:textAlignment w:val="auto"/>
              <w:rPr>
                <w:rFonts w:hint="eastAsia" w:eastAsia="宋体"/>
                <w:color w:val="auto"/>
                <w:sz w:val="24"/>
                <w:szCs w:val="24"/>
                <w:u w:val="none"/>
                <w:lang w:eastAsia="zh-CN"/>
              </w:rPr>
            </w:pPr>
            <w:r>
              <w:rPr>
                <w:rFonts w:hint="eastAsia"/>
                <w:color w:val="auto"/>
                <w:sz w:val="24"/>
                <w:szCs w:val="24"/>
                <w:u w:val="none"/>
                <w:lang w:eastAsia="zh-CN"/>
              </w:rPr>
              <w:t>（</w:t>
            </w:r>
            <w:r>
              <w:rPr>
                <w:rFonts w:hint="eastAsia"/>
                <w:color w:val="auto"/>
                <w:sz w:val="24"/>
                <w:szCs w:val="24"/>
                <w:u w:val="none"/>
                <w:lang w:val="en-US" w:eastAsia="zh-CN"/>
              </w:rPr>
              <w:t>2</w:t>
            </w:r>
            <w:r>
              <w:rPr>
                <w:rFonts w:hint="eastAsia"/>
                <w:color w:val="auto"/>
                <w:sz w:val="24"/>
                <w:szCs w:val="24"/>
                <w:u w:val="none"/>
                <w:lang w:eastAsia="zh-CN"/>
              </w:rPr>
              <w:t>）废包装袋</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62" w:firstLineChars="200"/>
              <w:textAlignment w:val="auto"/>
              <w:rPr>
                <w:bCs/>
                <w:color w:val="auto"/>
                <w:sz w:val="24"/>
                <w:szCs w:val="24"/>
                <w:u w:val="none"/>
              </w:rPr>
            </w:pPr>
            <w:r>
              <w:rPr>
                <w:rFonts w:hint="eastAsia"/>
                <w:bCs/>
                <w:color w:val="auto"/>
                <w:sz w:val="24"/>
                <w:szCs w:val="24"/>
                <w:u w:val="none"/>
                <w:lang w:eastAsia="zh-CN"/>
              </w:rPr>
              <w:t>加药间产生的</w:t>
            </w:r>
            <w:r>
              <w:rPr>
                <w:rFonts w:hint="eastAsia"/>
                <w:bCs/>
                <w:color w:val="auto"/>
                <w:sz w:val="24"/>
                <w:szCs w:val="24"/>
                <w:u w:val="none"/>
              </w:rPr>
              <w:t>药剂废包装主要为</w:t>
            </w:r>
            <w:r>
              <w:rPr>
                <w:bCs/>
                <w:color w:val="auto"/>
                <w:sz w:val="24"/>
                <w:szCs w:val="24"/>
                <w:u w:val="none"/>
              </w:rPr>
              <w:t>PE</w:t>
            </w:r>
            <w:r>
              <w:rPr>
                <w:rFonts w:hint="eastAsia"/>
                <w:bCs/>
                <w:color w:val="auto"/>
                <w:sz w:val="24"/>
                <w:szCs w:val="24"/>
                <w:u w:val="none"/>
              </w:rPr>
              <w:t>、</w:t>
            </w:r>
            <w:r>
              <w:rPr>
                <w:bCs/>
                <w:color w:val="auto"/>
                <w:sz w:val="24"/>
                <w:szCs w:val="24"/>
                <w:u w:val="none"/>
              </w:rPr>
              <w:t>PP</w:t>
            </w:r>
            <w:r>
              <w:rPr>
                <w:rFonts w:hint="eastAsia"/>
                <w:bCs/>
                <w:color w:val="auto"/>
                <w:sz w:val="24"/>
                <w:szCs w:val="24"/>
                <w:u w:val="none"/>
              </w:rPr>
              <w:t>材质，</w:t>
            </w:r>
            <w:r>
              <w:rPr>
                <w:rFonts w:hint="eastAsia"/>
                <w:bCs/>
                <w:color w:val="auto"/>
                <w:sz w:val="24"/>
                <w:szCs w:val="24"/>
                <w:u w:val="none"/>
                <w:lang w:eastAsia="zh-CN"/>
              </w:rPr>
              <w:t>经</w:t>
            </w:r>
            <w:r>
              <w:rPr>
                <w:rFonts w:hint="eastAsia"/>
                <w:bCs/>
                <w:color w:val="auto"/>
                <w:sz w:val="24"/>
                <w:szCs w:val="24"/>
                <w:u w:val="none"/>
              </w:rPr>
              <w:t>统一收集后</w:t>
            </w:r>
            <w:r>
              <w:rPr>
                <w:rFonts w:hint="eastAsia"/>
                <w:bCs/>
                <w:color w:val="auto"/>
                <w:sz w:val="24"/>
                <w:szCs w:val="24"/>
                <w:u w:val="none"/>
                <w:lang w:eastAsia="zh-CN"/>
              </w:rPr>
              <w:t>，定期外售</w:t>
            </w:r>
            <w:r>
              <w:rPr>
                <w:rFonts w:hint="eastAsia"/>
                <w:bCs/>
                <w:color w:val="auto"/>
                <w:sz w:val="24"/>
                <w:szCs w:val="24"/>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u w:val="none"/>
                <w:lang w:eastAsia="zh-CN"/>
              </w:rPr>
            </w:pPr>
            <w:r>
              <w:rPr>
                <w:rFonts w:hint="eastAsia"/>
                <w:color w:val="auto"/>
                <w:sz w:val="24"/>
                <w:szCs w:val="24"/>
                <w:u w:val="none"/>
                <w:lang w:eastAsia="zh-CN"/>
              </w:rPr>
              <w:t>（</w:t>
            </w:r>
            <w:r>
              <w:rPr>
                <w:rFonts w:hint="eastAsia"/>
                <w:color w:val="auto"/>
                <w:sz w:val="24"/>
                <w:szCs w:val="24"/>
                <w:u w:val="none"/>
                <w:lang w:val="en-US" w:eastAsia="zh-CN"/>
              </w:rPr>
              <w:t>3</w:t>
            </w:r>
            <w:r>
              <w:rPr>
                <w:rFonts w:hint="eastAsia"/>
                <w:color w:val="auto"/>
                <w:sz w:val="24"/>
                <w:szCs w:val="24"/>
                <w:u w:val="none"/>
                <w:lang w:eastAsia="zh-CN"/>
              </w:rPr>
              <w:t>）生活垃圾</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u w:val="none"/>
                <w:lang w:eastAsia="zh-CN"/>
              </w:rPr>
            </w:pPr>
            <w:r>
              <w:rPr>
                <w:rFonts w:hint="eastAsia"/>
                <w:color w:val="auto"/>
                <w:sz w:val="24"/>
                <w:szCs w:val="24"/>
                <w:u w:val="none"/>
                <w:lang w:eastAsia="zh-CN"/>
              </w:rPr>
              <w:t>项目在厂设置垃圾桶，生活垃圾经集中收集后，交由环卫部门清运至垃圾填埋场填埋。</w:t>
            </w:r>
          </w:p>
          <w:p>
            <w:pPr>
              <w:keepNext w:val="0"/>
              <w:keepLines w:val="0"/>
              <w:pageBreakBefore w:val="0"/>
              <w:widowControl w:val="0"/>
              <w:tabs>
                <w:tab w:val="left" w:pos="3030"/>
              </w:tabs>
              <w:kinsoku/>
              <w:wordWrap/>
              <w:overflowPunct/>
              <w:topLinePunct w:val="0"/>
              <w:autoSpaceDE/>
              <w:autoSpaceDN/>
              <w:bidi w:val="0"/>
              <w:adjustRightInd w:val="0"/>
              <w:snapToGrid w:val="0"/>
              <w:spacing w:line="360" w:lineRule="auto"/>
              <w:ind w:firstLine="462" w:firstLineChars="200"/>
              <w:textAlignment w:val="auto"/>
              <w:rPr>
                <w:color w:val="auto"/>
                <w:kern w:val="0"/>
                <w:sz w:val="24"/>
                <w:szCs w:val="24"/>
                <w:highlight w:val="none"/>
                <w:u w:val="none"/>
              </w:rPr>
            </w:pPr>
            <w:r>
              <w:rPr>
                <w:rFonts w:hint="eastAsia"/>
                <w:color w:val="auto"/>
                <w:kern w:val="0"/>
                <w:sz w:val="24"/>
                <w:szCs w:val="24"/>
                <w:highlight w:val="none"/>
                <w:u w:val="none"/>
              </w:rPr>
              <w:t>（</w:t>
            </w:r>
            <w:r>
              <w:rPr>
                <w:rFonts w:hint="eastAsia"/>
                <w:color w:val="auto"/>
                <w:kern w:val="0"/>
                <w:sz w:val="24"/>
                <w:szCs w:val="24"/>
                <w:highlight w:val="none"/>
                <w:u w:val="none"/>
                <w:lang w:val="en-US" w:eastAsia="zh-CN"/>
              </w:rPr>
              <w:t>4</w:t>
            </w:r>
            <w:r>
              <w:rPr>
                <w:rFonts w:hint="eastAsia"/>
                <w:color w:val="auto"/>
                <w:kern w:val="0"/>
                <w:sz w:val="24"/>
                <w:szCs w:val="24"/>
                <w:highlight w:val="none"/>
                <w:u w:val="none"/>
              </w:rPr>
              <w:t>）污泥</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eastAsia="宋体"/>
                <w:color w:val="auto"/>
                <w:sz w:val="24"/>
                <w:szCs w:val="24"/>
                <w:highlight w:val="none"/>
                <w:u w:val="none"/>
                <w:lang w:eastAsia="zh-CN"/>
              </w:rPr>
            </w:pPr>
            <w:r>
              <w:rPr>
                <w:rFonts w:hint="eastAsia"/>
                <w:bCs/>
                <w:color w:val="auto"/>
                <w:kern w:val="24"/>
                <w:sz w:val="24"/>
                <w:szCs w:val="22"/>
                <w:highlight w:val="none"/>
                <w:u w:val="none"/>
                <w:lang w:val="en-US" w:eastAsia="zh-CN"/>
              </w:rPr>
              <w:t>本项目污泥先采用有机絮凝剂聚丙烯酰胺处理然后经板框压滤机处理，达到含水率80%以下要求后，</w:t>
            </w:r>
            <w:r>
              <w:rPr>
                <w:rFonts w:hint="eastAsia"/>
                <w:color w:val="auto"/>
                <w:sz w:val="24"/>
                <w:szCs w:val="24"/>
                <w:highlight w:val="none"/>
                <w:u w:val="none"/>
                <w:lang w:eastAsia="zh-CN"/>
              </w:rPr>
              <w:t>外运至邵阳市污泥处置中心</w:t>
            </w:r>
            <w:r>
              <w:rPr>
                <w:rFonts w:hint="eastAsia"/>
                <w:color w:val="auto"/>
                <w:sz w:val="24"/>
                <w:szCs w:val="24"/>
                <w:highlight w:val="none"/>
                <w:u w:val="none"/>
              </w:rPr>
              <w:t>处理</w:t>
            </w:r>
            <w:r>
              <w:rPr>
                <w:rFonts w:hint="eastAsia"/>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highlight w:val="none"/>
                <w:u w:val="none"/>
              </w:rPr>
            </w:pPr>
            <w:r>
              <w:rPr>
                <w:rFonts w:hint="eastAsia"/>
                <w:color w:val="auto"/>
                <w:sz w:val="24"/>
                <w:szCs w:val="24"/>
                <w:highlight w:val="none"/>
                <w:u w:val="none"/>
              </w:rPr>
              <w:t>污泥处理工艺流程见图7-</w:t>
            </w:r>
            <w:r>
              <w:rPr>
                <w:rFonts w:hint="eastAsia"/>
                <w:color w:val="auto"/>
                <w:sz w:val="24"/>
                <w:szCs w:val="24"/>
                <w:highlight w:val="none"/>
                <w:u w:val="none"/>
                <w:lang w:val="en-US" w:eastAsia="zh-CN"/>
              </w:rPr>
              <w:t>6</w:t>
            </w:r>
            <w:r>
              <w:rPr>
                <w:rFonts w:hint="eastAsia"/>
                <w:color w:val="auto"/>
                <w:sz w:val="24"/>
                <w:szCs w:val="24"/>
                <w:highlight w:val="none"/>
                <w:u w:val="none"/>
              </w:rPr>
              <w:t>。</w:t>
            </w:r>
          </w:p>
          <w:p>
            <w:pPr>
              <w:spacing w:line="240" w:lineRule="auto"/>
              <w:ind w:firstLine="0" w:firstLineChars="0"/>
              <w:rPr>
                <w:b/>
                <w:bCs/>
                <w:color w:val="auto"/>
                <w:kern w:val="24"/>
                <w:sz w:val="21"/>
                <w:szCs w:val="21"/>
                <w:highlight w:val="none"/>
                <w:u w:val="none"/>
              </w:rPr>
            </w:pPr>
            <w:r>
              <w:rPr>
                <w:color w:val="auto"/>
                <w:sz w:val="21"/>
                <w:highlight w:val="none"/>
                <w:u w:val="none"/>
              </w:rPr>
              <w:pict>
                <v:shape id="直接箭头连接符 43" o:spid="_x0000_s2334" o:spt="32" type="#_x0000_t32" style="position:absolute;left:0pt;margin-left:73.55pt;margin-top:79.95pt;height:0.2pt;width:35.45pt;z-index:251806720;mso-width-relative:page;mso-height-relative:page;" filled="f" stroked="t" coordsize="21600,21600" o:gfxdata="UEsDBAoAAAAAAIdO4kAAAAAAAAAAAAAAAAAEAAAAZHJzL1BLAwQUAAAACACHTuJAo4ceudoAAAAL&#10;AQAADwAAAGRycy9kb3ducmV2LnhtbE2Py07DMBBF90j8gzVIbBC1U0rahDgVDyEeuxY+wI2nSZp4&#10;HMXu6+8ZVrCbO3N159xieXK9OOAYWk8akokCgVR521Kt4fvr9XYBIkRD1vSeUMMZAyzLy4vC5NYf&#10;aYWHdawFh1DIjYYmxiGXMlQNOhMmfkDi29aPzkSWYy3taI4c7no5VSqVzrTEHxoz4HODVbfeOw3b&#10;3Uf6NKt2n2/h7G7es8fOv/Sd1tdXiXoAEfEU/8zwi8/oUDLTxu/JBtGzns0TtvJwn2Ug2DFNFtxu&#10;w5tU3YEsC/m/Q/kDUEsDBBQAAAAIAIdO4kAEksmu+gEAAKADAAAOAAAAZHJzL2Uyb0RvYy54bWyt&#10;U82O0zAQviPxDpbvNEm36VZR0z20LBcElYAHmDpOYsl/sk3TvgQvgMQJOMGe9s7TwPIYjJ3S5eeG&#10;yMEZZ2a+me+byfLqoCTZc+eF0TUtJjklXDPTCN3V9NXL60cLSnwA3YA0mtf0yD29Wj18sBxsxaem&#10;N7LhjiCI9tVga9qHYKss86znCvzEWK7R2RqnIODVdVnjYEB0JbNpns+zwbjGOsO49/h1MzrpKuG3&#10;LWfhedt6HoisKfYW0unSuYtntlpC1TmwvWCnNuAfulAgNBY9Q20gAHntxF9QSjBnvGnDhBmVmbYV&#10;jCcOyKbI/2DzogfLExcUx9uzTP7/wbJn+60joqnp7IISDQpndPf29tubD3c3n7++v/3+5V20P30k&#10;6EexBusrzFnrrTvdvN26yPzQOhXfyIkcajotLhfzRUnJsaaXZZEXs3IUmx8CYRgwK/NpgX6GAdNy&#10;lkaR3cNY58MTbhSJRk19cCC6PqyN1jhU44okN+yf+oCNYOLPhNiDNtdCyjRbqclQ0/lFidNngBvW&#10;SghoKoucve4oAdnh6rLgEqI3UjQxO+J41+3W0pE9xPVJTySB1X4Li6U34PsxLrlGrkoE3G4pVE0X&#10;52yoAgj5WDckHC3KDc6Z4QQrNaJHjUdVo7UzzTGJnb7jGqT6p5WNe/brPWXf/1ir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OHHrnaAAAACwEAAA8AAAAAAAAAAQAgAAAAIgAAAGRycy9kb3ducmV2&#10;LnhtbFBLAQIUABQAAAAIAIdO4kAEksmu+gEAAKADAAAOAAAAAAAAAAEAIAAAACkBAABkcnMvZTJv&#10;RG9jLnhtbFBLBQYAAAAABgAGAFkBAACVBQAAAAA=&#10;">
                  <v:path arrowok="t"/>
                  <v:fill on="f" focussize="0,0"/>
                  <v:stroke weight="0.5pt" color="#000000" miterlimit="8" joinstyle="miter" endarrow="open"/>
                  <v:imagedata o:title=""/>
                  <o:lock v:ext="edit" aspectratio="f"/>
                </v:shape>
              </w:pict>
            </w:r>
            <w:r>
              <w:rPr>
                <w:color w:val="auto"/>
                <w:sz w:val="21"/>
                <w:highlight w:val="none"/>
                <w:u w:val="none"/>
              </w:rPr>
              <w:pict>
                <v:shape id="文本框 48" o:spid="_x0000_s2330" o:spt="202" type="#_x0000_t202" style="position:absolute;left:0pt;margin-left:220.25pt;margin-top:38pt;height:96.8pt;width:28.6pt;z-index:251810816;mso-width-relative:page;mso-height-relative:page;" fillcolor="#FFFFFF" filled="t" stroked="t" coordsize="21600,21600" o:gfxdata="UEsDBAoAAAAAAIdO4kAAAAAAAAAAAAAAAAAEAAAAZHJzL1BLAwQUAAAACACHTuJA/bgma9cAAAAK&#10;AQAADwAAAGRycy9kb3ducmV2LnhtbE2Py07DMBBF90j8gzVI7KidEByaxumiEkuQ0vYDXHtI0voR&#10;xU7T/j1mBcvRHN17br29WUOuOIXBOwHZigFBp7weXCfgePh4eQcSonRaGu9QwB0DbJvHh1pW2i+u&#10;xes+diSFuFBJAX2MY0VpUD1aGVZ+RJd+336yMqZz6qie5JLCraE5Y5xaObjU0MsRdz2qy362As65&#10;4u3rrL4yNPao2vZ+Xj53Qjw/ZWwDJOIt/sHwq5/UoUlOJz87HYgRUBTsLaECSp42JaBYlyWQk4Cc&#10;rznQpqb/JzQ/UEsDBBQAAAAIAIdO4kBlQjneQwIAAG0EAAAOAAAAZHJzL2Uyb0RvYy54bWytVM1u&#10;EzEQviPxDpbvZPPXQKNuqtAqCCmilcrP2fF6kxVej7Gd7JYHKG/AiQt3nivPwWfnpy3lhNiDPZ4Z&#10;f575ZmbPzttas41yviKT816ny5kykorKLHP+4f3sxSvOfBCmEJqMyvmt8vx88vzZWWPHqk8r0oVy&#10;DCDGjxub81UIdpxlXq5ULXyHrDIwluRqEXB0y6xwogF6rbN+tzvKGnKFdSSV99Be7ox8kvDLUslw&#10;VZZeBaZzjthCWl1aF3HNJmdivHTCriq5D0P8QxS1qAwePUJdiiDY2lVPoOpKOvJUho6kOqOyrKRK&#10;OSCbXvePbG5WwqqUC8jx9kiT/3+w8t3m2rGqyPkQlTKiRo22379tf/za/rxj0IGgxvox/G4sPEP7&#10;mloU+qD3UMa829LVcUdGDHZQfXukV7WBSSgHo0G/D4uEqdfvnw5Gif/s/rZ1PrxRVLMo5NyhfIlV&#10;sZn7gEjgenCJj3nSVTGrtE4Ht1xcaMc2AqWepS8GiSuP3LRhTc5Hg5NuQn5ki9hHiIUW8vNTBOBp&#10;A9hIyi75KIV20e6ZWlBxC6Ic7XrNWzmrgDsXPlwLh+YCAxiYcIWl1IRgaC9xtiL39W/66J9zJT5i&#10;56xBu+bcf1kLpzjTbw364bQ3HMb+TofhycvIs3toWTy0mHV9QaCph+G0MonRP+iDWDqqP2GypvFd&#10;mISRiC3neH0nXoTdEGEypZpOkxM62oowNzdWRuhYFEPTdaCySsWLRO3Y2fOHnk4F2s9fHJqH5+R1&#10;/5eY/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9uCZr1wAAAAoBAAAPAAAAAAAAAAEAIAAAACIA&#10;AABkcnMvZG93bnJldi54bWxQSwECFAAUAAAACACHTuJAZUI53kMCAABtBAAADgAAAAAAAAABACAA&#10;AAAmAQAAZHJzL2Uyb0RvYy54bWxQSwUGAAAAAAYABgBZAQAA2wUAAAAA&#10;">
                  <v:path/>
                  <v:fill on="t" focussize="0,0"/>
                  <v:stroke weight="0.5pt" color="#000000" joinstyle="round"/>
                  <v:imagedata o:title=""/>
                  <o:lock v:ext="edit" aspectratio="f"/>
                  <v:textbox style="layout-flow:vertical-ideographic;">
                    <w:txbxContent>
                      <w:p>
                        <w:pPr>
                          <w:ind w:firstLine="420"/>
                          <w:rPr>
                            <w:sz w:val="21"/>
                            <w:szCs w:val="21"/>
                          </w:rPr>
                        </w:pPr>
                        <w:r>
                          <w:rPr>
                            <w:rFonts w:hint="eastAsia"/>
                            <w:sz w:val="21"/>
                            <w:szCs w:val="21"/>
                          </w:rPr>
                          <w:t>污泥脱水间</w:t>
                        </w:r>
                      </w:p>
                    </w:txbxContent>
                  </v:textbox>
                </v:shape>
              </w:pict>
            </w:r>
            <w:r>
              <w:rPr>
                <w:color w:val="auto"/>
                <w:sz w:val="21"/>
                <w:highlight w:val="none"/>
                <w:u w:val="none"/>
              </w:rPr>
              <w:pict>
                <v:shape id="直接箭头连接符 51" o:spid="_x0000_s2328" o:spt="32" type="#_x0000_t32" style="position:absolute;left:0pt;margin-left:248.6pt;margin-top:81.3pt;height:0.05pt;width:25.9pt;z-index:251811840;mso-width-relative:page;mso-height-relative:page;" filled="f" stroked="t" coordsize="21600,21600" o:gfxdata="UEsDBAoAAAAAAIdO4kAAAAAAAAAAAAAAAAAEAAAAZHJzL1BLAwQUAAAACACHTuJAefgUf9kAAAAL&#10;AQAADwAAAGRycy9kb3ducmV2LnhtbE2PS0/DMBCE70j8B2uRuCDqNAopCXEqHkI8bhR+gBtvkzT2&#10;Oord179n4QLHnfk0O1Mtj86KPU6h96RgPktAIDXe9NQq+Pp8vr4FEaImo60nVHDCAMv6/KzSpfEH&#10;+sD9KraCQyiUWkEX41hKGZoOnQ4zPyKxt/GT05HPqZVm0gcOd1amSZJLp3viD50e8bHDZljtnILN&#10;9i1/yJrt+0s4uavX4n7wT3ZQ6vJintyBiHiMfzD81OfqUHOntd+RCcIqyIpFyigbeZqDYOImK3jd&#10;+ldZgKwr+X9D/Q1QSwMEFAAAAAgAh07iQGtAHfLmAQAAkwMAAA4AAABkcnMvZTJvRG9jLnhtbK1T&#10;S44TMRDdI3EHy3vS+WhGoZXOLBKGDYJIwAEqbrvbkn8qm3RyCS6AxApYAavZcxoYjkHZCRk+O0QW&#10;TrnK71XVq+rF1d4atpMYtXcNn4zGnEknfKtd1/CXL64fzDmLCVwLxjvZ8IOM/Gp5/95iCLWc+t6b&#10;ViIjEhfrITS8TynUVRVFLy3EkQ/SUVB5tJDoil3VIgzEbk01HY8vq8FjG9ALGSN518cgXxZ+paRI&#10;z5SKMjHTcKotlRPLuc1ntVxA3SGEXotTGfAPVVjQjpKeqdaQgL1C/ReV1QJ99CqNhLeVV0oLWXqg&#10;bibjP7p53kOQpRcSJ4azTPH/0Yqnuw0y3Tb8YsKZA0szun1z8+31+9vPn76+u/n+5W22P35gFCex&#10;hhBrwqzcBk+3GDaYO98rtPmfemL7IvDhLLDcJybIOZvOH85oDIJCl7OLTFjdIQPG9Fh6y7LR8JgQ&#10;dNenlXeO5uhxUhSG3ZOYjsCfgJzW+WttDPmhNo4NhT9nAloqZSCRaQO1GV3HGZiOtlUkLIzRG91m&#10;dAZH7LYrg2wHeWPK71Tmb89y6jXE/viuhPIzqK1OtNBG24bPz2ioE2jzyLUsHQIpDIh+ONEaRyJk&#10;WY9CZmvr20PRt/hp8kWm05bm1fr1XtB339Ly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n4FH/Z&#10;AAAACwEAAA8AAAAAAAAAAQAgAAAAIgAAAGRycy9kb3ducmV2LnhtbFBLAQIUABQAAAAIAIdO4kBr&#10;QB3y5gEAAJMDAAAOAAAAAAAAAAEAIAAAACgBAABkcnMvZTJvRG9jLnhtbFBLBQYAAAAABgAGAFkB&#10;AACABQAAAAA=&#10;">
                  <v:path arrowok="t"/>
                  <v:fill on="f" focussize="0,0"/>
                  <v:stroke weight="0.5pt" color="#000000" miterlimit="8" joinstyle="miter" endarrow="open"/>
                  <v:imagedata o:title=""/>
                  <o:lock v:ext="edit" aspectratio="f"/>
                </v:shape>
              </w:pict>
            </w:r>
            <w:r>
              <w:rPr>
                <w:color w:val="auto"/>
                <w:sz w:val="21"/>
                <w:highlight w:val="none"/>
                <w:u w:val="none"/>
              </w:rPr>
              <w:pict>
                <v:shape id="直接箭头连接符 45" o:spid="_x0000_s2331" o:spt="32" type="#_x0000_t32" style="position:absolute;left:0pt;flip:y;margin-left:137pt;margin-top:79.7pt;height:0.65pt;width:29.3pt;z-index:251808768;mso-width-relative:page;mso-height-relative:page;" filled="f" stroked="t" coordsize="21600,21600" o:gfxdata="UEsDBAoAAAAAAIdO4kAAAAAAAAAAAAAAAAAEAAAAZHJzL1BLAwQUAAAACACHTuJA9+mWZdoAAAAL&#10;AQAADwAAAGRycy9kb3ducmV2LnhtbE2PS0/DMBCE70j8B2uRuFG7aUkhxKkEbU5wgJQDRydekgg/&#10;Itt90F/PcoLjzoxmvynXJ2vYAUMcvZMwnwlg6DqvR9dLeN/VN3fAYlJOK+MdSvjGCOvq8qJUhfZH&#10;94aHJvWMSlwslIQhpangPHYDWhVnfkJH3qcPViU6Q891UEcqt4ZnQuTcqtHRh0FN+DRg99XsrYTp&#10;42V7fn6sVarPZrN9xbDbNK2U11dz8QAs4Sn9heEXn9ChIqbW752OzEjIVkvaksi4vV8Co8RikeXA&#10;WlJysQJelfz/huoHUEsDBBQAAAAIAIdO4kBZ7cCK8QEAAJ4DAAAOAAAAZHJzL2Uyb0RvYy54bWyt&#10;U0uOEzEQ3SNxB8t70kmGDKNWOrNIGDYIIvHZV9x2tyX/VDbp5BJcAIkVsGJYzZ7TwHAMyk4Ivx2i&#10;F5btcr2q9+r1/HJnDdtKjNq7hk9GY86kE77Vrmv4i+dX9y44iwlcC8Y72fC9jPxycffOfAi1nPre&#10;m1YiIxAX6yE0vE8p1FUVRS8txJEP0lFQebSQ6Ihd1SIMhG5NNR2Pz6vBYxvQCxkj3a4OQb4o+EpJ&#10;kZ4qFWVipuHUWyorlnWT12oxh7pDCL0WxzbgH7qwoB0VPUGtIAF7hfovKKsF+uhVGglvK6+UFrJw&#10;IDaT8R9snvUQZOFC4sRwkin+P1jxZLtGptuG359x5sDSjG7f3Hx9/f720/WXdzffPr/N+48fGMVJ&#10;rCHEmnKWbo3HUwxrzMx3Ci1TRoeX5IOiBbFjuyL1/iS13CUm6PLswXQyoYEICl1MZwW7OoBksIAx&#10;PZLesrxpeEwIuuvT0jtHI/V4KADbxzFRG5T4IyEnO3+ljSmTNY4NDT8/m+VSQP5SBhJtbSDG0XWc&#10;genIuCJhaTl6o9ucnXEidpulQbaFbJ7yZQmo2m/PcukVxP7wroQOtrI6kbeNtkTxlA11Am0eupal&#10;fSCxAdEPR1jjCD0rfNA07za+3Repyz2ZoNQ/Gja77Ndzyf75Wy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fplmXaAAAACwEAAA8AAAAAAAAAAQAgAAAAIgAAAGRycy9kb3ducmV2LnhtbFBLAQIU&#10;ABQAAAAIAIdO4kBZ7cCK8QEAAJ4DAAAOAAAAAAAAAAEAIAAAACkBAABkcnMvZTJvRG9jLnhtbFBL&#10;BQYAAAAABgAGAFkBAACMBQAAAAA=&#10;">
                  <v:path arrowok="t"/>
                  <v:fill on="f" focussize="0,0"/>
                  <v:stroke weight="0.5pt" color="#000000" miterlimit="8" joinstyle="miter" endarrow="open"/>
                  <v:imagedata o:title=""/>
                  <o:lock v:ext="edit" aspectratio="f"/>
                </v:shape>
              </w:pict>
            </w:r>
            <w:r>
              <w:rPr>
                <w:color w:val="auto"/>
                <w:sz w:val="21"/>
                <w:highlight w:val="none"/>
                <w:u w:val="none"/>
              </w:rPr>
              <w:pict>
                <v:shape id="直接箭头连接符 46" o:spid="_x0000_s2329" o:spt="32" type="#_x0000_t32" style="position:absolute;left:0pt;margin-left:194.35pt;margin-top:80.2pt;height:0.05pt;width:25.9pt;z-index:251809792;mso-width-relative:page;mso-height-relative:page;" filled="f" stroked="t" coordsize="21600,21600" o:gfxdata="UEsDBAoAAAAAAIdO4kAAAAAAAAAAAAAAAAAEAAAAZHJzL1BLAwQUAAAACACHTuJAqR+wW9kAAAAL&#10;AQAADwAAAGRycy9kb3ducmV2LnhtbE2Py07DMBBF90j8gzVIbBC1C2kaQpyKhxCPXQsf4CbTJI09&#10;jmL39fcMbGA5c4/unCkWR2fFHsfQedIwnSgQSJWvO2o0fH2+XGcgQjRUG+sJNZwwwKI8PytMXvsD&#10;LXG/io3gEgq50dDGOORShqpFZ8LED0icbfzoTORxbGQ9mgOXOytvlEqlMx3xhdYM+NRi1a92TsNm&#10;+54+JtX24zWc3NXb3UPvn22v9eXFVN2DiHiMfzD86LM6lOy09juqg7AabrNszigHqUpAMJEkagZi&#10;/buZgSwL+f+H8htQSwMEFAAAAAgAh07iQLy3L/jnAQAAkwMAAA4AAABkcnMvZTJvRG9jLnhtbK1T&#10;S44TMRDdI3EHy3vS+UCUaaUzi4RhgyASzAEqbne3Jf9UNunkElwAiRWwAlaz5zQwHIOy02T47BBZ&#10;OOUqv1dVr6qXlwej2V5iUM5WfDIacyatcLWybcWvX149WHAWItgatLOy4kcZ+OXq/r1l70s5dZ3T&#10;tURGJDaUva94F6MviyKIThoII+elpWDj0ECkK7ZFjdATu9HFdDyeF73D2qMTMgTybk5Bvsr8TSNF&#10;fN40QUamK061xXxiPnfpLFZLKFsE3ykxlAH/UIUBZSnpmWoDEdgrVH9RGSXQBdfEkXCmcE2jhMw9&#10;UDeT8R/dvOjAy9wLiRP8Wabw/2jFs/0Wmaor/nDOmQVDM7p9c/Pt9fvbz5++vrv5/uVtsj9+YBQn&#10;sXofSsKs7RaHW/BbTJ0fGjTpn3pihyzw8SywPEQmyDmbLi5mNAZBofnsUSIs7pAeQ3winWHJqHiI&#10;CKrt4tpZS3N0OMkKw/5piCfgT0BKa92V0pr8UGrL+syfMgEtVaMhkmk8tRlsyxnolrZVRMyMwWlV&#10;J3QCB2x3a41sD2lj8m8o87dnKfUGQnd6l0PpGZRGRVporUzFF2c0lBGUfmxrFo+eFAZE1w+02pII&#10;SdaTkMnaufqY9c1+mnyWadjStFq/3jP67lta/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H7Bb&#10;2QAAAAsBAAAPAAAAAAAAAAEAIAAAACIAAABkcnMvZG93bnJldi54bWxQSwECFAAUAAAACACHTuJA&#10;vLcv+OcBAACTAwAADgAAAAAAAAABACAAAAAoAQAAZHJzL2Uyb0RvYy54bWxQSwUGAAAAAAYABgBZ&#10;AQAAgQUAAAAA&#10;">
                  <v:path arrowok="t"/>
                  <v:fill on="f" focussize="0,0"/>
                  <v:stroke weight="0.5pt" color="#000000" miterlimit="8" joinstyle="miter" endarrow="open"/>
                  <v:imagedata o:title=""/>
                  <o:lock v:ext="edit" aspectratio="f"/>
                </v:shape>
              </w:pict>
            </w:r>
            <w:r>
              <w:rPr>
                <w:color w:val="auto"/>
                <w:sz w:val="21"/>
                <w:highlight w:val="none"/>
                <w:u w:val="none"/>
              </w:rPr>
              <w:pict>
                <v:shape id="文本框 47" o:spid="_x0000_s2332" o:spt="202" type="#_x0000_t202" style="position:absolute;left:0pt;margin-left:165.35pt;margin-top:38.95pt;height:96.8pt;width:28.6pt;z-index:251809792;mso-width-relative:page;mso-height-relative:page;" fillcolor="#FFFFFF" filled="t" stroked="t" coordsize="21600,21600" o:gfxdata="UEsDBAoAAAAAAIdO4kAAAAAAAAAAAAAAAAAEAAAAZHJzL1BLAwQUAAAACACHTuJA1VU97tcAAAAK&#10;AQAADwAAAGRycy9kb3ducmV2LnhtbE2PQU7DMBBF90jcwRokdtROIpo2xOmiEkuQUnoA1x6SFHsc&#10;xU7T3h53BbsZzdOf9+vd1Vl2wSkMniRkKwEMSXszUCfh+PX+sgEWoiKjrCeUcMMAu+bxoVaV8Qu1&#10;eDnEjqUQCpWS0Mc4VpwH3aNTYeVHpHT79pNTMa1Tx82klhTuLM+FWHOnBkofejXivkf9c5idhHOu&#10;120x688MrTvqtr2dl4+9lM9PmXgDFvEa/2C46yd1aJLTyc9kArMSikKUCZVQlltgCSg29+EkIS+z&#10;V+BNzf9XaH4BUEsDBBQAAAAIAIdO4kBN+TUJRAIAAG0EAAAOAAAAZHJzL2Uyb0RvYy54bWytVM2O&#10;0zAQviPxDpbvNG3a7bJV01XpqgipYlcqP2fHcRoLx2Nst0l5AHgDTly481x9DsZOt9tlOSFysMcz&#10;488z38xket3WiuyEdRJ0Rge9PiVCcyik3mT0/bvli5eUOM90wRRokdG9cPR69vzZtDETkUIFqhCW&#10;IIh2k8ZktPLeTJLE8UrUzPXACI3GEmzNPB7tJiksaxC9Vkna74+TBmxhLHDhHGpvOiOdRfyyFNzf&#10;lqUTnqiMYmw+rjaueViT2ZRNNpaZSvJjGOwfoqiZ1PjoCeqGeUa2Vj6BqiW34KD0PQ51AmUpuYg5&#10;YDaD/h/ZrCtmRMwFyXHmRJP7f7D87e7OEllkdHRJiWY11ujw/dvhx6/Dz68EdUhQY9wE/dYGPX37&#10;Clos9L3eoTLk3Za2DjtmRNCOVO9P9IrWE47K4XiYpmjhaBqk6dVwHPlPHm4b6/xrATUJQkYtli+y&#10;ynYr5zESdL13CY85ULJYSqXiwW7yhbJkx7DUy/iFIPHKIzelSZPR8fCiH5Ef2QL2CSJXjH96ioB4&#10;SiNsIKVLPki+zdsjUzkUeyTKQtdrzvClRNwVc/6OWWwuZAAHxt/iUirAYOAoUVKB/fI3ffDPqGAf&#10;cKekwXbNqPu8ZVZQot5o7IerwWgU+jseRheXgWd7bsnPLXpbLwBpGuBwGh7F4O/VvVhaqD/iZM3D&#10;u2himmNsGcXXO3HhuyHCyeRiPo9O2NGG+ZVeGx6gQ1E0zLceShmLF4jq2Dnyhz0dC3ScvzA05+fo&#10;9fCXmP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1VU97tcAAAAKAQAADwAAAAAAAAABACAAAAAi&#10;AAAAZHJzL2Rvd25yZXYueG1sUEsBAhQAFAAAAAgAh07iQE35NQlEAgAAbQQAAA4AAAAAAAAAAQAg&#10;AAAAJgEAAGRycy9lMm9Eb2MueG1sUEsFBgAAAAAGAAYAWQEAANwFAAAAAA==&#10;">
                  <v:path/>
                  <v:fill on="t" focussize="0,0"/>
                  <v:stroke weight="0.5pt" color="#000000" joinstyle="round"/>
                  <v:imagedata o:title=""/>
                  <o:lock v:ext="edit" aspectratio="f"/>
                  <v:textbox style="layout-flow:vertical-ideographic;">
                    <w:txbxContent>
                      <w:p>
                        <w:pPr>
                          <w:ind w:firstLine="420"/>
                          <w:rPr>
                            <w:sz w:val="21"/>
                            <w:szCs w:val="21"/>
                          </w:rPr>
                        </w:pPr>
                        <w:r>
                          <w:rPr>
                            <w:rFonts w:hint="eastAsia"/>
                            <w:sz w:val="21"/>
                            <w:szCs w:val="21"/>
                          </w:rPr>
                          <w:t>污泥调理池</w:t>
                        </w:r>
                      </w:p>
                    </w:txbxContent>
                  </v:textbox>
                </v:shape>
              </w:pict>
            </w:r>
            <w:r>
              <w:rPr>
                <w:color w:val="auto"/>
                <w:sz w:val="21"/>
                <w:highlight w:val="none"/>
                <w:u w:val="none"/>
              </w:rPr>
              <w:pict>
                <v:shape id="文本框 44" o:spid="_x0000_s2333" o:spt="202" type="#_x0000_t202" style="position:absolute;left:0pt;margin-left:107.65pt;margin-top:39.2pt;height:96.8pt;width:28.6pt;z-index:251807744;mso-width-relative:page;mso-height-relative:page;" fillcolor="#FFFFFF" filled="t" stroked="t" coordsize="21600,21600" o:gfxdata="UEsDBAoAAAAAAIdO4kAAAAAAAAAAAAAAAAAEAAAAZHJzL1BLAwQUAAAACACHTuJAOySWB9YAAAAK&#10;AQAADwAAAGRycy9kb3ducmV2LnhtbE2Py07DMBBF90j8gzVI7Kgdlz4U4nRRiSVIKf0A1x6SFHsc&#10;xU7T/j2GDexmNEd3zq12V+/YBcfYB1JQLAQwJBNsT62C48fr0xZYTJqsdoFQwQ0j7Or7u0qXNszU&#10;4OWQWpZDKJZaQZfSUHIeTYdex0UYkPLtM4xep7yOLbejnnO4d1wKseZe95Q/dHrAfYfm6zB5BWdp&#10;1s1yMu8FOn80TXM7z297pR4fCvECLOE1/cHwo5/Voc5OpzCRjcwpkMVqmVEFm+0zsAzIjVwBO/0O&#10;Anhd8f8V6m9QSwMEFAAAAAgAh07iQI1wlvpPAgAAeQQAAA4AAABkcnMvZTJvRG9jLnhtbK1UzY7a&#10;MBC+V+o7WL6XQPjZBRFWlBVVJdRdif6cHcchUR2PaxsS+gDbN+ipl977XDxHxyawbLenqhzMeObj&#10;88w3M0xvmkqSnTC2BJXQXqdLiVAcslJtEvrh/fLVNSXWMZUxCUokdC8svZm9fDGt9UTEUIDMhCFI&#10;ouyk1gktnNOTKLK8EBWzHdBCYTAHUzGHV7OJMsNqZK9kFHe7o6gGk2kDXFiL3ttjkM4Cf54L7u7y&#10;3ApHZEIxNxdOE87Un9FsyiYbw3RR8jYN9g9ZVKxU+OiZ6pY5RramfEZVldyAhdx1OFQR5HnJRagB&#10;q+l1/6hmXTAtQi0ojtVnmez/o+XvdveGlFlCBwNKFKuwR4fv3w4/fh1+PhD0oUC1thPErTUiXfMa&#10;Gmz0yW/R6etuclP5b6yIYDwexdfjLgq+T+hVPBz341Zq0TjCEdAf9WP0EY6AXhyP+6MAiB6ZtLHu&#10;jYCKeCOhBlsZFGa7lXWYFUJPEP+wBVlmy1LKcDGbdCEN2TFs+zJ8fML4kycwqUid0FF/2A3MT2Ke&#10;+0yRSsY/P2dAPqmQ1gt0FMJbrkmbVrUUsj2KZuA4d1bzZYm8K2bdPTM4aKgALo+7wyOXgMlAa1FS&#10;gPn6N7/HJ1Swj/hNSY2jm1D7ZcuMoES+VTgb495g4Gc9XAbDK6+zuYyklxG1rRaAMvVwUTUPpsc7&#10;eTJzA9Un3LK5fxdDTHHMLaH4+tFcuONC4ZZyMZ8HEE63Zm6l1pp7at8UBfOtg7wMzfNCHdVp9cP5&#10;Dg1qd9Ev0OU9oB7/MW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sklgfWAAAACgEAAA8AAAAA&#10;AAAAAQAgAAAAIgAAAGRycy9kb3ducmV2LnhtbFBLAQIUABQAAAAIAIdO4kCNcJb6TwIAAHkEAAAO&#10;AAAAAAAAAAEAIAAAACUBAABkcnMvZTJvRG9jLnhtbFBLBQYAAAAABgAGAFkBAADmBQAAAAA=&#10;">
                  <v:path/>
                  <v:fill on="t" focussize="0,0"/>
                  <v:stroke weight="0.5pt" color="#000000" joinstyle="round"/>
                  <v:imagedata o:title=""/>
                  <o:lock v:ext="edit" aspectratio="f"/>
                  <v:textbox style="layout-flow:vertical-ideographic;">
                    <w:txbxContent>
                      <w:p>
                        <w:pPr>
                          <w:ind w:firstLine="420"/>
                          <w:rPr>
                            <w:sz w:val="21"/>
                            <w:szCs w:val="21"/>
                          </w:rPr>
                        </w:pPr>
                        <w:r>
                          <w:rPr>
                            <w:rFonts w:hint="eastAsia"/>
                            <w:sz w:val="21"/>
                            <w:szCs w:val="21"/>
                          </w:rPr>
                          <w:t>污泥浓缩池</w:t>
                        </w:r>
                      </w:p>
                    </w:txbxContent>
                  </v:textbox>
                </v:shape>
              </w:pict>
            </w:r>
            <w:r>
              <w:rPr>
                <w:color w:val="auto"/>
                <w:sz w:val="21"/>
                <w:highlight w:val="none"/>
                <w:u w:val="none"/>
              </w:rPr>
              <w:pict>
                <v:group id="画布 39" o:spid="_x0000_s2327" o:spt="203" style="height:158.05pt;width:422.75pt;" coordsize="5368925,2007235" editas="canvas">
                  <o:lock v:ext="edit"/>
                  <v:rect id="画布 39" o:spid="_x0000_s2326" o:spt="1" style="position:absolute;left:0;top:0;height:2007235;width:5368925;" filled="f" stroked="f" coordsize="21600,21600">
                    <v:path/>
                    <v:fill on="f" focussize="0,0"/>
                    <v:stroke on="f"/>
                    <v:imagedata o:title=""/>
                    <o:lock v:ext="edit" aspectratio="f"/>
                  </v:rect>
                  <v:shape id="文本框 42" o:spid="_x0000_s2322" o:spt="202" type="#_x0000_t202" style="position:absolute;left:158115;top:902335;height:285750;width:778510;" fillcolor="#FFFFFF" filled="t" stroked="f" coordsize="21600,21600" o:gfxdata="UEsDBAoAAAAAAIdO4kAAAAAAAAAAAAAAAAAEAAAAZHJzL1BLAwQUAAAACACHTuJAdAlhEtIAAAAF&#10;AQAADwAAAGRycy9kb3ducmV2LnhtbE2PzU7DMBCE70i8g7WVuFHH0FZViNMDElck2tKzGy9xVHsd&#10;2e7v07NwgctKoxnNfNusLsGLE6Y8RNKgphUIpC7agXoN283b4xJELoas8ZFQwxUzrNr7u8bUNp7p&#10;A0/r0gsuoVwbDa6UsZYydw6DydM4IrH3FVMwhWXqpU3mzOXBy6eqWshgBuIFZ0Z8ddgd1segYdeH&#10;2+5TjcnZ4Gf0frtutnHQ+mGiqhcQBS/lLww/+IwOLTPt45FsFl4DP1J+L3vL2XwOYq/hWS0UyLaR&#10;/+nbb1BLAwQUAAAACACHTuJAwqJGLUACAABMBAAADgAAAGRycy9lMm9Eb2MueG1srVTNjtowEL5X&#10;6jtYvpeQQBYWEVaUFVWlVXclWvVsHBsiOR7XNiT0Ado32FMvvfe5eI6OHdilP6eqHMyM5/P8fDOT&#10;6U1bK7IX1lWgC5r2+pQIzaGs9KagH94vX40pcZ7pkinQoqAH4ejN7OWLaWMmIoMtqFJYgk60mzSm&#10;oFvvzSRJHN+KmrkeGKHRKMHWzKNqN0lpWYPea5Vk/f5V0oAtjQUunMPb285IZ9G/lIL7eymd8EQV&#10;FHPz8bTxXIczmU3ZZGOZ2Vb8lAb7hyxqVmkM+uTqlnlGdrb6w1VdcQsOpO9xqBOQsuIi1oDVpP3f&#10;qlltmRGxFiTHmSea3P9zy9/tHyypyoIOM0o0q7FHx8evx28/jt+/ELxDghrjJohbGUT69jW02Ojz&#10;vcPLUHcrbR3+sSIS7Pk4TXNKDgW97meDQd4RLVpPOJpHo3GeYjs42rNxPspjI5JnN8Y6/0ZATYJQ&#10;UIt9jPSy/Z3zmBJCz5AQ1YGqymWlVFTsZr1QluwZ9nwZfyE6PvkFpjRpCno1wNjhlYbwvsMpjfBQ&#10;dVddkHy7bk9UrKE8IBMWumFyhi8rzPKOOf/ALE4PFoYb4e/xkAowCJwkSrZgP//tPuCxqWilpMFp&#10;LKj7tGNWUKLeamz3dTochvGNyjAfZajYS8v60qJ39QKw+BR3z/AoBrxXZ1FaqD/i4sxDVDQxzTF2&#10;Qf1ZXPhuR3DxuJjPIwgH1jB/p1eGB9cdafOdB1nFlgSaOm5O7OHIRtpP6xV24lKPqOePwO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AlhEtIAAAAFAQAADwAAAAAAAAABACAAAAAiAAAAZHJzL2Rv&#10;d25yZXYueG1sUEsBAhQAFAAAAAgAh07iQMKiRi1AAgAATAQAAA4AAAAAAAAAAQAgAAAAIQEAAGRy&#10;cy9lMm9Eb2MueG1sUEsFBgAAAAAGAAYAWQEAANMFAAAAAA==&#10;">
                    <v:path/>
                    <v:fill on="t" color2="#FFFFFF" focussize="0,0"/>
                    <v:stroke on="f" weight="0.5pt"/>
                    <v:imagedata o:title=""/>
                    <o:lock v:ext="edit" aspectratio="f"/>
                    <v:textbox>
                      <w:txbxContent>
                        <w:p>
                          <w:pPr>
                            <w:ind w:firstLine="0" w:firstLineChars="0"/>
                            <w:jc w:val="center"/>
                            <w:rPr>
                              <w:sz w:val="21"/>
                              <w:szCs w:val="21"/>
                            </w:rPr>
                          </w:pPr>
                          <w:r>
                            <w:rPr>
                              <w:rFonts w:hint="eastAsia"/>
                              <w:sz w:val="21"/>
                              <w:szCs w:val="21"/>
                            </w:rPr>
                            <w:t>污泥</w:t>
                          </w:r>
                        </w:p>
                      </w:txbxContent>
                    </v:textbox>
                  </v:shape>
                  <v:shape id="文本框 50" o:spid="_x0000_s2323" o:spt="202" type="#_x0000_t202" style="position:absolute;left:3513455;top:898525;height:285750;width:1796415;" fillcolor="#FFFFFF" filled="t" stroked="f" coordsize="21600,21600" o:gfxdata="UEsDBAoAAAAAAIdO4kAAAAAAAAAAAAAAAAAEAAAAZHJzL1BLAwQUAAAACACHTuJAdAlhEtIAAAAF&#10;AQAADwAAAGRycy9kb3ducmV2LnhtbE2PzU7DMBCE70i8g7WVuFHH0FZViNMDElck2tKzGy9xVHsd&#10;2e7v07NwgctKoxnNfNusLsGLE6Y8RNKgphUIpC7agXoN283b4xJELoas8ZFQwxUzrNr7u8bUNp7p&#10;A0/r0gsuoVwbDa6UsZYydw6DydM4IrH3FVMwhWXqpU3mzOXBy6eqWshgBuIFZ0Z8ddgd1segYdeH&#10;2+5TjcnZ4Gf0frtutnHQ+mGiqhcQBS/lLww/+IwOLTPt45FsFl4DP1J+L3vL2XwOYq/hWS0UyLaR&#10;/+nbb1BLAwQUAAAACACHTuJAy0QK3UACAABOBAAADgAAAGRycy9lMm9Eb2MueG1srVTNjtowEL5X&#10;6jtYvpcQICwgwoqyoqqEuivRqmfj2BDJ8bi2IaEP0L7Bnnrpvc/Fc3TswC79OVXlYGY8n+fnm5lM&#10;b5tKkYOwrgSd07TTpURoDkWptzn98H75akSJ80wXTIEWOT0KR29nL19MazMRPdiBKoQl6ES7SW1y&#10;uvPeTJLE8Z2omOuAERqNEmzFPKp2mxSW1ei9Ukmv2x0mNdjCWODCOby9a410Fv1LKbi/l9IJT1RO&#10;MTcfTxvPTTiT2ZRNtpaZXcnPabB/yKJipcagT67umGdkb8s/XFUlt+BA+g6HKgEpSy5iDVhN2v2t&#10;mvWOGRFrQXKceaLJ/T+3/N3hwZKyyGmG9GhWYY9Oj19P336cvn8heIcE1cZNELc2iPTNa2iw0Zd7&#10;h5eh7kbaKvxjRQTt/SztD7KMkmNOR+NR1stapkXjCQ/vb8bDQYp2joDeKLtpIyXPjox1/o2AigQh&#10;pxY7GQlmh5XzmBRCL5AQ14Eqi2WpVFTsdrNQlhwYdn0ZfyE8PvkFpjSpczrsY+zwSkN43+KURnio&#10;u60vSL7ZNGcyNlAckQsL7Tg5w5clZrlizj8wi/ODVOJO+Hs8pAIMAmeJkh3Yz3+7D3hsK1opqXEe&#10;c+o+7ZkVlKi3Ghs+TgeDMMBRGWQ3PVTstWVzbdH7agFYfIrbZ3gUA96riygtVB9xdeYhKpqY5hg7&#10;p/4iLny7Jbh6XMznEYQja5hf6bXhwXVL2nzvQZaxJYGmlpszezi0kfbzgoWtuNYj6vkzMPs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AlhEtIAAAAFAQAADwAAAAAAAAABACAAAAAiAAAAZHJzL2Rv&#10;d25yZXYueG1sUEsBAhQAFAAAAAgAh07iQMtECt1AAgAATgQAAA4AAAAAAAAAAQAgAAAAIQEAAGRy&#10;cy9lMm9Eb2MueG1sUEsFBgAAAAAGAAYAWQEAANMFAAAAAA==&#10;">
                    <v:path/>
                    <v:fill on="t" color2="#FFFFFF" focussize="0,0"/>
                    <v:stroke on="f" weight="0.5pt"/>
                    <v:imagedata o:title=""/>
                    <o:lock v:ext="edit" aspectratio="f"/>
                    <v:textbox>
                      <w:txbxContent>
                        <w:p>
                          <w:pPr>
                            <w:ind w:firstLine="0" w:firstLineChars="0"/>
                            <w:rPr>
                              <w:rFonts w:hint="eastAsia" w:eastAsia="宋体"/>
                              <w:sz w:val="21"/>
                              <w:szCs w:val="21"/>
                              <w:lang w:val="en-US" w:eastAsia="zh-CN"/>
                            </w:rPr>
                          </w:pPr>
                          <w:r>
                            <w:rPr>
                              <w:rFonts w:hint="eastAsia"/>
                              <w:sz w:val="21"/>
                              <w:szCs w:val="21"/>
                            </w:rPr>
                            <w:t>外运</w:t>
                          </w:r>
                          <w:r>
                            <w:rPr>
                              <w:rFonts w:hint="eastAsia"/>
                              <w:sz w:val="21"/>
                              <w:szCs w:val="21"/>
                              <w:lang w:val="en-US" w:eastAsia="zh-CN"/>
                            </w:rPr>
                            <w:t>至邵阳市污泥处理中心</w:t>
                          </w:r>
                        </w:p>
                      </w:txbxContent>
                    </v:textbox>
                  </v:shape>
                  <v:shape id="文本框 52" o:spid="_x0000_s2324" o:spt="202" type="#_x0000_t202" style="position:absolute;left:2067560;top:17145;height:285750;width:518795;" fillcolor="#FFFFFF" filled="t" stroked="f" coordsize="21600,21600" o:gfxdata="UEsDBAoAAAAAAIdO4kAAAAAAAAAAAAAAAAAEAAAAZHJzL1BLAwQUAAAACACHTuJAdAlhEtIAAAAF&#10;AQAADwAAAGRycy9kb3ducmV2LnhtbE2PzU7DMBCE70i8g7WVuFHH0FZViNMDElck2tKzGy9xVHsd&#10;2e7v07NwgctKoxnNfNusLsGLE6Y8RNKgphUIpC7agXoN283b4xJELoas8ZFQwxUzrNr7u8bUNp7p&#10;A0/r0gsuoVwbDa6UsZYydw6DydM4IrH3FVMwhWXqpU3mzOXBy6eqWshgBuIFZ0Z8ddgd1segYdeH&#10;2+5TjcnZ4Gf0frtutnHQ+mGiqhcQBS/lLww/+IwOLTPt45FsFl4DP1J+L3vL2XwOYq/hWS0UyLaR&#10;/+nbb1BLAwQUAAAACACHTuJAAJeVCkACAABMBAAADgAAAGRycy9lMm9Eb2MueG1srVTNbhMxEL4j&#10;8Q6W73STkE3SqJsqtApCqmilgjg7Xm+yktdjbCe75QHgDThx4c5z9Tn47E3a8nNC5ODMeD7Pzzcz&#10;e3beNZrtlfM1mYIPTwacKSOprM2m4O/frV7MOPNBmFJoMqrgd8rz88XzZ2etnasRbUmXyjE4MX7e&#10;2oJvQ7DzLPNyqxrhT8gqA2NFrhEBqttkpRMtvDc6Gw0Gk6wlV1pHUnmP28veyBfJf1UpGa6ryqvA&#10;dMGRW0inS+c6ntniTMw3TthtLQ9piH/IohG1QdAHV5ciCLZz9R+umlo68lSFE0lNRlVVS5VqQDXD&#10;wW/V3G6FVakWkOPtA03+/7mVb/c3jtVlwfMRZ0Y06NH91y/3337cf//McAeCWuvnwN1aIEP3ijo0&#10;+njvcRnr7irXxH9UxGAfDSbTfALC74CdDsd5T7TqApMw58PZ9DTnTMI8muXTPDUie3RjnQ+vFTUs&#10;CgV36GOiV+yvfEBKgB4hMaonXZerWuukuM36Qju2F+j5Kv1idDz5BaYNaws+eYnY8ZWh+L7HaQN4&#10;rLqvLkqhW3cHKtZU3oEJR/0weStXNbK8Ej7cCIfpQdnYiHCNo9KEIHSQONuS+/S3+4hHU2HlrMU0&#10;Ftx/3AmnONNvDNp9OhyP4/gmZZxPR1DcU8v6qcXsmgtC8UPsnpVJjPigj2LlqPmAxVnGqDAJIxG7&#10;4OEoXoR+R7B4Ui2XCYSBtSJcmVsro+uetOUuUFWnlkSaem4O7GFkE+2H9Yo78VRPqMePwO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AlhEtIAAAAFAQAADwAAAAAAAAABACAAAAAiAAAAZHJzL2Rv&#10;d25yZXYueG1sUEsBAhQAFAAAAAgAh07iQACXlQpAAgAATAQAAA4AAAAAAAAAAQAgAAAAIQEAAGRy&#10;cy9lMm9Eb2MueG1sUEsFBgAAAAAGAAYAWQEAANMFAAAAAA==&#10;">
                    <v:path/>
                    <v:fill on="t" color2="#FFFFFF" focussize="0,0"/>
                    <v:stroke on="f" weight="0.5pt"/>
                    <v:imagedata o:title=""/>
                    <o:lock v:ext="edit" aspectratio="f"/>
                    <v:textbox>
                      <w:txbxContent>
                        <w:p>
                          <w:pPr>
                            <w:ind w:firstLine="0" w:firstLineChars="0"/>
                            <w:rPr>
                              <w:sz w:val="21"/>
                              <w:szCs w:val="21"/>
                            </w:rPr>
                          </w:pPr>
                          <w:r>
                            <w:rPr>
                              <w:rFonts w:hint="eastAsia"/>
                              <w:sz w:val="21"/>
                              <w:szCs w:val="21"/>
                            </w:rPr>
                            <w:t>PAM</w:t>
                          </w:r>
                        </w:p>
                      </w:txbxContent>
                    </v:textbox>
                  </v:shape>
                  <v:shape id="直接箭头连接符 53" o:spid="_x0000_s2325" o:spt="32" type="#_x0000_t32" style="position:absolute;left:2292350;top:248920;height:220980;width:1270;" filled="f" stroked="t" coordsize="21600,21600" o:gfxdata="UEsDBAoAAAAAAIdO4kAAAAAAAAAAAAAAAAAEAAAAZHJzL1BLAwQUAAAACACHTuJAZj9vLdcAAAAF&#10;AQAADwAAAGRycy9kb3ducmV2LnhtbE2PzU7DMBCE70i8g7WVuCDqBNqopHEqfoQovbXwANt4m6Sx&#10;11Hs/r09hgtcVhrNaObbYnG2Rhxp8K1jBek4AUFcOd1yreDr8+1uBsIHZI3GMSm4kIdFeX1VYK7d&#10;idd03IRaxBL2OSpoQuhzKX3VkEU/dj1x9HZusBiiHGqpBzzFcmvkfZJk0mLLcaHBnl4aqrrNwSrY&#10;7T+y50m1X737i71dPj517tV0St2M0mQOItA5/IXhBz+iQxmZtu7A2gujID4Sfm/0ZpPpFMRWwUOa&#10;pSDLQv6nL78BUEsDBBQAAAAIAIdO4kANJ9Iv9AEAAJ8DAAAOAAAAZHJzL2Uyb0RvYy54bWytU82O&#10;0zAQviPxDpbvNG2WXdqo6R5alguCSsADTB0nseQ/jU3TvgQvgMQJOLGc9s7TwPIYjN3S5eeGyMEZ&#10;5/N8M/P5y/xyZzTbSgzK2ZpPRmPOpBWuUbar+auXVw+mnIUItgHtrKz5XgZ+ubh/bz74Spaud7qR&#10;yIjEhmrwNe9j9FVRBNFLA2HkvLQEtg4NRNpiVzQIA7EbXZTj8UUxOGw8OiFDoK+rA8gXmb9tpYjP&#10;2zbIyHTNqbeYV8zrJq3FYg5Vh+B7JY5twD90YUBZKnqiWkEE9hrVX1RGCXTBtXEknClc2yoh8ww0&#10;zWT8xzQvevAyz0LiBH+SKfw/WvFsu0ammpqfn3FmwdAd3b69+fbmw+3n66/vb75/eZfiTx8Z4STW&#10;4ENFOUu7xuMu+DWmyXctmvSmmdiu5mU5K8/OSfI9xQ+ns/KotdxFJgiflI8IFAktx7NpRos7Fo8h&#10;PpHOsBTUPEQE1fVx6aylO3U4yWrD9mmI1Acl/kxILVh3pbTOV6stG2p+kTsRQAZrNUSqazyNHGzH&#10;GeiOnCsiZsbgtGpSduIJ2G2WGtkWknvykzSgar8dS6VXEPrDuQwdfGVUJHNrZWo+PWVDFUHpx7Zh&#10;ce9JbUB0w5FWW2JPEh9ETdHGNfusdf5OLsj1j45NNvt1n7Pv/qvF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Y/by3XAAAABQEAAA8AAAAAAAAAAQAgAAAAIgAAAGRycy9kb3ducmV2LnhtbFBLAQIU&#10;ABQAAAAIAIdO4kANJ9Iv9AEAAJ8DAAAOAAAAAAAAAAEAIAAAACYBAABkcnMvZTJvRG9jLnhtbFBL&#10;BQYAAAAABgAGAFkBAACMBQAAAAA=&#10;">
                    <v:path arrowok="t"/>
                    <v:fill on="f" focussize="0,0"/>
                    <v:stroke weight="0.5pt" color="#000000" miterlimit="8" joinstyle="miter" endarrow="open"/>
                    <v:imagedata o:title=""/>
                    <o:lock v:ext="edit" aspectratio="f"/>
                  </v:shape>
                  <w10:wrap type="none"/>
                  <w10:anchorlock/>
                </v:group>
              </w:pict>
            </w:r>
          </w:p>
          <w:p>
            <w:pPr>
              <w:keepNext w:val="0"/>
              <w:keepLines w:val="0"/>
              <w:pageBreakBefore w:val="0"/>
              <w:widowControl w:val="0"/>
              <w:kinsoku/>
              <w:wordWrap/>
              <w:overflowPunct/>
              <w:topLinePunct w:val="0"/>
              <w:autoSpaceDE/>
              <w:autoSpaceDN/>
              <w:bidi w:val="0"/>
              <w:adjustRightInd w:val="0"/>
              <w:snapToGrid w:val="0"/>
              <w:spacing w:line="360" w:lineRule="auto"/>
              <w:ind w:firstLine="482"/>
              <w:jc w:val="center"/>
              <w:textAlignment w:val="auto"/>
              <w:rPr>
                <w:b/>
                <w:bCs/>
                <w:color w:val="auto"/>
                <w:kern w:val="24"/>
                <w:sz w:val="21"/>
                <w:szCs w:val="21"/>
                <w:highlight w:val="none"/>
                <w:u w:val="none"/>
              </w:rPr>
            </w:pPr>
            <w:r>
              <w:rPr>
                <w:rFonts w:hint="eastAsia"/>
                <w:b/>
                <w:bCs/>
                <w:color w:val="auto"/>
                <w:kern w:val="24"/>
                <w:sz w:val="21"/>
                <w:szCs w:val="21"/>
                <w:highlight w:val="none"/>
                <w:u w:val="none"/>
              </w:rPr>
              <w:t>图7-</w:t>
            </w:r>
            <w:r>
              <w:rPr>
                <w:rFonts w:hint="eastAsia"/>
                <w:b/>
                <w:bCs/>
                <w:color w:val="auto"/>
                <w:kern w:val="24"/>
                <w:sz w:val="21"/>
                <w:szCs w:val="21"/>
                <w:highlight w:val="none"/>
                <w:u w:val="none"/>
                <w:lang w:val="en-US" w:eastAsia="zh-CN"/>
              </w:rPr>
              <w:t xml:space="preserve">6 </w:t>
            </w:r>
            <w:r>
              <w:rPr>
                <w:rFonts w:hint="eastAsia"/>
                <w:b/>
                <w:bCs/>
                <w:color w:val="auto"/>
                <w:kern w:val="24"/>
                <w:sz w:val="21"/>
                <w:szCs w:val="21"/>
                <w:highlight w:val="none"/>
                <w:u w:val="none"/>
              </w:rPr>
              <w:t xml:space="preserve"> 污泥处理工艺流程图</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color w:val="auto"/>
                <w:sz w:val="24"/>
                <w:szCs w:val="24"/>
                <w:highlight w:val="none"/>
                <w:u w:val="none"/>
              </w:rPr>
            </w:pPr>
            <w:r>
              <w:rPr>
                <w:color w:val="auto"/>
                <w:sz w:val="24"/>
                <w:szCs w:val="24"/>
                <w:highlight w:val="none"/>
                <w:u w:val="none"/>
              </w:rPr>
              <w:t>污泥处置不当将对环境造成较大影响，因此对污泥暂存、运输、管理等提出以下措施减少对环境的影响。</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color w:val="auto"/>
                <w:sz w:val="24"/>
                <w:szCs w:val="24"/>
                <w:highlight w:val="none"/>
                <w:u w:val="none"/>
              </w:rPr>
            </w:pPr>
            <w:r>
              <w:rPr>
                <w:rFonts w:hint="default" w:ascii="Times New Roman" w:hAnsi="Times New Roman" w:cs="Times New Roman"/>
                <w:color w:val="auto"/>
                <w:sz w:val="24"/>
                <w:szCs w:val="24"/>
                <w:highlight w:val="none"/>
                <w:u w:val="none"/>
              </w:rPr>
              <w:t>①</w:t>
            </w:r>
            <w:r>
              <w:rPr>
                <w:color w:val="auto"/>
                <w:sz w:val="24"/>
                <w:szCs w:val="24"/>
                <w:highlight w:val="none"/>
                <w:u w:val="none"/>
              </w:rPr>
              <w:t>厂区内设置污泥储存间，用于存放污泥、栅渣和泥沙等一般固废，污泥暂存场所须采取遮盖、搭棚，防雨、防渗、防流失等措施，渗滤产生的少量污水排入污水处理系统循环，不外排。运输过程须密闭，避免抛、洒、滴、漏。</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color w:val="auto"/>
                <w:sz w:val="24"/>
                <w:szCs w:val="24"/>
                <w:highlight w:val="none"/>
                <w:u w:val="none"/>
              </w:rPr>
            </w:pPr>
            <w:r>
              <w:rPr>
                <w:rFonts w:hint="default" w:ascii="Times New Roman" w:hAnsi="Times New Roman" w:cs="Times New Roman"/>
                <w:color w:val="auto"/>
                <w:sz w:val="24"/>
                <w:szCs w:val="24"/>
                <w:highlight w:val="none"/>
                <w:u w:val="none"/>
              </w:rPr>
              <w:t>②</w:t>
            </w:r>
            <w:r>
              <w:rPr>
                <w:color w:val="auto"/>
                <w:sz w:val="24"/>
                <w:szCs w:val="24"/>
                <w:highlight w:val="none"/>
                <w:u w:val="none"/>
              </w:rPr>
              <w:t>污泥储存间的污泥、栅渣和沉砂必须每天定期清理，并做好相关的管理。污泥脱水间的设备必须定期检查维修，保证日常污泥脱水的正常运行。</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color w:val="auto"/>
                <w:sz w:val="24"/>
                <w:szCs w:val="24"/>
                <w:highlight w:val="none"/>
                <w:u w:val="none"/>
              </w:rPr>
            </w:pPr>
            <w:r>
              <w:rPr>
                <w:rFonts w:hint="default" w:ascii="Times New Roman" w:hAnsi="Times New Roman" w:cs="Times New Roman"/>
                <w:color w:val="auto"/>
                <w:sz w:val="24"/>
                <w:szCs w:val="24"/>
                <w:highlight w:val="none"/>
                <w:u w:val="none"/>
              </w:rPr>
              <w:t>③</w:t>
            </w:r>
            <w:r>
              <w:rPr>
                <w:color w:val="auto"/>
                <w:sz w:val="24"/>
                <w:szCs w:val="24"/>
                <w:highlight w:val="none"/>
                <w:u w:val="none"/>
              </w:rPr>
              <w:t>污泥储存间必须做好通风等措施。避免工作人员中毒事件的发生。</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color w:val="auto"/>
                <w:sz w:val="24"/>
                <w:szCs w:val="24"/>
                <w:highlight w:val="none"/>
                <w:u w:val="none"/>
              </w:rPr>
            </w:pPr>
            <w:r>
              <w:rPr>
                <w:rFonts w:hint="eastAsia" w:ascii="宋体" w:hAnsi="宋体" w:eastAsia="宋体" w:cs="宋体"/>
                <w:color w:val="auto"/>
                <w:sz w:val="24"/>
                <w:szCs w:val="24"/>
                <w:highlight w:val="none"/>
                <w:u w:val="none"/>
              </w:rPr>
              <w:t>④</w:t>
            </w:r>
            <w:r>
              <w:rPr>
                <w:color w:val="auto"/>
                <w:sz w:val="24"/>
                <w:szCs w:val="24"/>
                <w:highlight w:val="none"/>
                <w:u w:val="none"/>
              </w:rPr>
              <w:t>严禁将产生的污泥乱堆放、乱扔弃或直接排入城镇污水管网。</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olor w:val="auto"/>
                <w:sz w:val="24"/>
                <w:szCs w:val="24"/>
                <w:highlight w:val="none"/>
                <w:u w:val="none"/>
              </w:rPr>
            </w:pPr>
            <w:r>
              <w:rPr>
                <w:rFonts w:hint="eastAsia" w:ascii="宋体" w:hAnsi="宋体" w:eastAsia="宋体" w:cs="宋体"/>
                <w:color w:val="auto"/>
                <w:sz w:val="24"/>
                <w:szCs w:val="24"/>
                <w:highlight w:val="none"/>
                <w:u w:val="none"/>
              </w:rPr>
              <w:t>⑤</w:t>
            </w:r>
            <w:r>
              <w:rPr>
                <w:color w:val="auto"/>
                <w:sz w:val="24"/>
                <w:szCs w:val="24"/>
                <w:highlight w:val="none"/>
                <w:u w:val="none"/>
              </w:rPr>
              <w:t>对整个运输过程中进行全过程监控和管理，防止因暴露、洒落或滴漏造成的环境二次污染。</w:t>
            </w:r>
            <w:r>
              <w:rPr>
                <w:rFonts w:hint="eastAsia"/>
                <w:color w:val="auto"/>
                <w:sz w:val="24"/>
                <w:szCs w:val="24"/>
                <w:highlight w:val="none"/>
                <w:u w:val="none"/>
              </w:rPr>
              <w:t>运输车辆不宜装载过满，应注意遮盖，防止污泥散落影响道路卫生及周围环境。</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highlight w:val="none"/>
                <w:u w:val="none"/>
                <w:lang w:val="en-US" w:eastAsia="zh-CN"/>
              </w:rPr>
            </w:pPr>
            <w:r>
              <w:rPr>
                <w:rFonts w:hint="eastAsia"/>
                <w:color w:val="auto"/>
                <w:sz w:val="24"/>
                <w:szCs w:val="24"/>
                <w:highlight w:val="none"/>
                <w:u w:val="none"/>
                <w:lang w:eastAsia="zh-CN"/>
              </w:rPr>
              <w:t>（</w:t>
            </w:r>
            <w:r>
              <w:rPr>
                <w:rFonts w:hint="eastAsia"/>
                <w:color w:val="auto"/>
                <w:sz w:val="24"/>
                <w:szCs w:val="24"/>
                <w:highlight w:val="none"/>
                <w:u w:val="none"/>
                <w:lang w:val="en-US" w:eastAsia="zh-CN"/>
              </w:rPr>
              <w:t>5</w:t>
            </w:r>
            <w:r>
              <w:rPr>
                <w:rFonts w:hint="eastAsia"/>
                <w:color w:val="auto"/>
                <w:sz w:val="24"/>
                <w:szCs w:val="24"/>
                <w:highlight w:val="none"/>
                <w:u w:val="none"/>
                <w:lang w:eastAsia="zh-CN"/>
              </w:rPr>
              <w:t>）</w:t>
            </w:r>
            <w:r>
              <w:rPr>
                <w:rFonts w:hint="eastAsia"/>
                <w:color w:val="auto"/>
                <w:sz w:val="24"/>
                <w:szCs w:val="24"/>
                <w:highlight w:val="none"/>
                <w:u w:val="none"/>
                <w:lang w:val="en-US" w:eastAsia="zh-CN"/>
              </w:rPr>
              <w:t>废紫外灯管</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highlight w:val="none"/>
                <w:u w:val="none"/>
                <w:lang w:eastAsia="zh-CN"/>
              </w:rPr>
            </w:pPr>
            <w:r>
              <w:rPr>
                <w:rFonts w:hint="eastAsia"/>
                <w:color w:val="auto"/>
                <w:sz w:val="24"/>
                <w:szCs w:val="24"/>
                <w:highlight w:val="none"/>
                <w:u w:val="none"/>
                <w:lang w:val="en-US" w:eastAsia="zh-CN"/>
              </w:rPr>
              <w:t>本项目污水流过紫外消毒设备，紫外光线通过改变细菌病毒和其他微生物细胞的遗传物质（DNA），使其不再繁殖而达到消毒的效果。废紫外灯管为危险废物，类别为HW29含汞废物，废物代码：900-023-29。收集后暂存危废暂存间，定期委托有资质单位进行安全处置</w:t>
            </w:r>
            <w:r>
              <w:rPr>
                <w:rFonts w:hint="eastAsia"/>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highlight w:val="none"/>
                <w:u w:val="none"/>
                <w:lang w:eastAsia="zh-CN"/>
              </w:rPr>
            </w:pPr>
            <w:r>
              <w:rPr>
                <w:rFonts w:hint="eastAsia"/>
                <w:color w:val="auto"/>
                <w:sz w:val="24"/>
                <w:szCs w:val="24"/>
                <w:highlight w:val="none"/>
                <w:u w:val="none"/>
                <w:lang w:eastAsia="zh-CN"/>
              </w:rPr>
              <w:t>本项目固体废物环境影响分析根据《建设项目危险废物环境影响评价指南》中相关内容进行分析：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highlight w:val="none"/>
                <w:u w:val="none"/>
                <w:lang w:eastAsia="zh-CN"/>
              </w:rPr>
            </w:pPr>
            <w:r>
              <w:rPr>
                <w:rFonts w:hint="eastAsia"/>
                <w:color w:val="auto"/>
                <w:sz w:val="24"/>
                <w:szCs w:val="24"/>
                <w:highlight w:val="none"/>
                <w:u w:val="none"/>
                <w:lang w:eastAsia="zh-CN"/>
              </w:rPr>
              <w:t>①危险废物贮存场所（设施）环境影响分析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highlight w:val="none"/>
                <w:u w:val="none"/>
                <w:lang w:eastAsia="zh-CN"/>
              </w:rPr>
            </w:pPr>
            <w:r>
              <w:rPr>
                <w:rFonts w:hint="eastAsia"/>
                <w:color w:val="auto"/>
                <w:sz w:val="24"/>
                <w:szCs w:val="24"/>
                <w:highlight w:val="none"/>
                <w:u w:val="none"/>
                <w:lang w:eastAsia="zh-CN"/>
              </w:rPr>
              <w:t>项目危险暂存区拟设置在固废暂存间内，项目危险废物暂存区建设应符合《危险废物贮存污染控制标准》（GB18596-2001）及其修改单中的相关要求，具备防风、防雨、防晒、防渗漏措施，要求危险废物用专用容器收集并置于暂存区内，贮放期间封闭危险废物暂存区，危险废物收集容器及时加盖。在正常情况下，危险废物贮存期间不会对环境空气、地表水、地下水、土壤及环境敏感保护目标造成影响。非正常情况下，容器破裂，地面防腐防渗层失效，导致危险废物污染地下水、土壤，对其造成不良影响。建设单位应加强管理，设置专员负责危险废物的管理，定期检查，避免危险废物渗漏对环境造成不良影响。</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highlight w:val="none"/>
                <w:u w:val="none"/>
                <w:lang w:eastAsia="zh-CN"/>
              </w:rPr>
            </w:pPr>
            <w:r>
              <w:rPr>
                <w:rFonts w:hint="eastAsia"/>
                <w:color w:val="auto"/>
                <w:sz w:val="24"/>
                <w:szCs w:val="24"/>
                <w:highlight w:val="none"/>
                <w:u w:val="none"/>
                <w:lang w:eastAsia="zh-CN"/>
              </w:rPr>
              <w:t>②运输过程的环境影响分析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highlight w:val="none"/>
                <w:u w:val="none"/>
                <w:lang w:eastAsia="zh-CN"/>
              </w:rPr>
            </w:pPr>
            <w:r>
              <w:rPr>
                <w:rFonts w:hint="eastAsia"/>
                <w:color w:val="auto"/>
                <w:sz w:val="24"/>
                <w:szCs w:val="24"/>
                <w:highlight w:val="none"/>
                <w:u w:val="none"/>
                <w:lang w:eastAsia="zh-CN"/>
              </w:rPr>
              <w:t>本项目危险废物暂存区位于厂房内，废灯管从废水处理区收集使用专用的容器及时存放入危废区，不会发生散落、泄露等情况。</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highlight w:val="none"/>
                <w:u w:val="none"/>
                <w:lang w:eastAsia="zh-CN"/>
              </w:rPr>
            </w:pPr>
            <w:r>
              <w:rPr>
                <w:rFonts w:hint="eastAsia"/>
                <w:color w:val="auto"/>
                <w:sz w:val="24"/>
                <w:szCs w:val="24"/>
                <w:highlight w:val="none"/>
                <w:u w:val="none"/>
                <w:lang w:eastAsia="zh-CN"/>
              </w:rPr>
              <w:t>危险废物厂外转运应委托有危险废物处理资质的单位负责，危险废物由专用容器收集，专车运输。运输过程按照国家有关规定制定危险废物管理计划，并向所在地县级以上地方人民政府环境保护行政主管部门申报危险废物类型、产生量、处理处置方法等有关资料，运输过程不会对环境造成影响。</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highlight w:val="none"/>
                <w:u w:val="none"/>
                <w:lang w:eastAsia="zh-CN"/>
              </w:rPr>
            </w:pPr>
            <w:r>
              <w:rPr>
                <w:rFonts w:hint="eastAsia"/>
                <w:color w:val="auto"/>
                <w:sz w:val="24"/>
                <w:szCs w:val="24"/>
                <w:highlight w:val="none"/>
                <w:u w:val="none"/>
                <w:lang w:eastAsia="zh-CN"/>
              </w:rPr>
              <w:t>③委托处置过程的环境影响分析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highlight w:val="none"/>
                <w:u w:val="none"/>
                <w:lang w:eastAsia="zh-CN"/>
              </w:rPr>
            </w:pPr>
            <w:r>
              <w:rPr>
                <w:rFonts w:hint="eastAsia"/>
                <w:color w:val="auto"/>
                <w:sz w:val="24"/>
                <w:szCs w:val="24"/>
                <w:highlight w:val="none"/>
                <w:u w:val="none"/>
                <w:lang w:eastAsia="zh-CN"/>
              </w:rPr>
              <w:t>针对项目产生的废灯管，企业须与具有废灯管处理能力的危险废物处置单位签订相关协议，根据建设项目周边有资质的危险废物处置单位的分布情况、处置能力、资质类别等。</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highlight w:val="none"/>
                <w:u w:val="none"/>
                <w:lang w:eastAsia="zh-CN"/>
              </w:rPr>
            </w:pPr>
            <w:r>
              <w:rPr>
                <w:rFonts w:hint="eastAsia"/>
                <w:color w:val="auto"/>
                <w:sz w:val="24"/>
                <w:szCs w:val="24"/>
                <w:highlight w:val="none"/>
                <w:u w:val="none"/>
                <w:lang w:eastAsia="zh-CN"/>
              </w:rPr>
              <w:t>根据《国家危险废物名录》（2016）的归类方法，生产过程中产生的废灯管、等，按《废弃危险化学品污染环境防治办法》、《危险废物污染防治技术政策》、《危险废物转移联单管理方法》等国家和地方关于危险固废管理进行分类堆放、分类处置。建设单位对其各类危废分类暂存，贴上危险标识，符合《危险废物贮存污染控制标准》（GB18597-2001，2013修改单）的要求。同时，建设单位按《中华人民共和国固体废物污染环境防治法》的规定向当地环境保护局如实申报本项目危险废物的产生量、采取的处置措施及去向，本项目对产生的固体废物特别是危险废物进行全过程严格管理，符合环保管理的相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highlight w:val="none"/>
                <w:u w:val="none"/>
                <w:lang w:eastAsia="zh-CN"/>
              </w:rPr>
            </w:pPr>
            <w:r>
              <w:rPr>
                <w:rFonts w:hint="eastAsia"/>
                <w:color w:val="auto"/>
                <w:sz w:val="24"/>
                <w:szCs w:val="24"/>
                <w:highlight w:val="none"/>
                <w:u w:val="none"/>
                <w:lang w:eastAsia="zh-CN"/>
              </w:rPr>
              <w:t>在废灯管交由具有相关处置能力的其它有危废处置资质的单位进行处置后，项目产生的危废对周边环境影响较小。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highlight w:val="none"/>
                <w:u w:val="none"/>
              </w:rPr>
            </w:pPr>
            <w:r>
              <w:rPr>
                <w:rFonts w:hint="eastAsia"/>
                <w:color w:val="auto"/>
                <w:sz w:val="24"/>
                <w:szCs w:val="24"/>
                <w:highlight w:val="none"/>
                <w:u w:val="none"/>
                <w:lang w:eastAsia="zh-CN"/>
              </w:rPr>
              <w:t>综上，</w:t>
            </w:r>
            <w:r>
              <w:rPr>
                <w:rFonts w:hint="eastAsia" w:ascii="宋体" w:hAnsi="宋体" w:eastAsia="宋体" w:cs="Times New Roman"/>
                <w:color w:val="auto"/>
                <w:sz w:val="24"/>
                <w:szCs w:val="24"/>
                <w:highlight w:val="none"/>
                <w:u w:val="none"/>
                <w:lang w:eastAsia="zh-CN"/>
              </w:rPr>
              <w:t>本项目运营后产生的固体废物全部能得到妥善处理不外排，对周围环境无明显不良影响。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color w:val="auto"/>
                <w:sz w:val="24"/>
                <w:szCs w:val="24"/>
              </w:rPr>
            </w:pPr>
            <w:r>
              <w:rPr>
                <w:rFonts w:hint="eastAsia"/>
                <w:b/>
                <w:bCs/>
                <w:color w:val="auto"/>
                <w:sz w:val="24"/>
                <w:szCs w:val="24"/>
              </w:rPr>
              <w:t>7.2.7 生态环境</w:t>
            </w:r>
            <w:r>
              <w:rPr>
                <w:b/>
                <w:bCs/>
                <w:color w:val="auto"/>
                <w:sz w:val="24"/>
                <w:szCs w:val="24"/>
              </w:rPr>
              <w:t>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w:t>
            </w:r>
            <w:r>
              <w:rPr>
                <w:color w:val="auto"/>
                <w:sz w:val="24"/>
                <w:szCs w:val="24"/>
              </w:rPr>
              <w:t>1</w:t>
            </w:r>
            <w:r>
              <w:rPr>
                <w:rFonts w:hint="eastAsia"/>
                <w:color w:val="auto"/>
                <w:sz w:val="24"/>
                <w:szCs w:val="24"/>
              </w:rPr>
              <w:t>）对陆生生态系统的影响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 xml:space="preserve">本项目为新建项目，用地内现在为农田、绿地，无珍稀濒危及保护动植物，无基本农田。 </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项目建设后原有的自然植被将被清除，而以各类建筑、道路用地、绿化用地等取代，土地利用功能发生了变化，所在地块由自然生态系统逐步转化为受人类 影响紧密的城市生态系统，项目占地面积不大，所在区块土地功能的改变对区域生态环境的影响不明显。受影响的生物种类在周边地区是极为常见的，且分布也较为散落，这些繁殖和散布力很强的生物种类的损失不会造成很大的生态影响，同时，随着工程的建设，厂区绿化工程也将同时开工建设，在污水处理厂区周围合理培植乔木、灌木、草坪相结合的绿化带，并形成较密的树林，重新建立起有序的陆地生态系统，有利于改善建设区域的生态环境。</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w:t>
            </w:r>
            <w:r>
              <w:rPr>
                <w:color w:val="auto"/>
                <w:sz w:val="24"/>
                <w:szCs w:val="24"/>
              </w:rPr>
              <w:t>2</w:t>
            </w:r>
            <w:r>
              <w:rPr>
                <w:rFonts w:hint="eastAsia"/>
                <w:color w:val="auto"/>
                <w:sz w:val="24"/>
                <w:szCs w:val="24"/>
              </w:rPr>
              <w:t>）对水生生态的影响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项目实施后，服务范围内生活污水将由溢流或散排到有序的治理，并达标排放，在纳污水体排口污染带以外的区域，水体中受纳的污染物总量大大降低，水的浑浊度降低，溶解氧增加，水质会有所改善，有利于水生生物的生长和维持生态平衡，水体中浮游生物种群将发生相应的变化，生物多样性和数量将会在一定程度上有所丰富。总体来看，本项目建成后</w:t>
            </w:r>
            <w:r>
              <w:rPr>
                <w:rFonts w:hint="eastAsia"/>
                <w:color w:val="auto"/>
                <w:sz w:val="24"/>
                <w:szCs w:val="24"/>
                <w:lang w:eastAsia="zh-CN"/>
              </w:rPr>
              <w:t>邵水河</w:t>
            </w:r>
            <w:r>
              <w:rPr>
                <w:rFonts w:hint="eastAsia"/>
                <w:color w:val="auto"/>
                <w:sz w:val="24"/>
                <w:szCs w:val="24"/>
              </w:rPr>
              <w:t>的水生态会向良性循环发展。</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b/>
                <w:bCs/>
                <w:color w:val="auto"/>
                <w:sz w:val="24"/>
                <w:szCs w:val="24"/>
                <w:u w:val="none"/>
              </w:rPr>
            </w:pPr>
            <w:r>
              <w:rPr>
                <w:rFonts w:hint="eastAsia"/>
                <w:b/>
                <w:bCs/>
                <w:color w:val="auto"/>
                <w:sz w:val="24"/>
                <w:szCs w:val="24"/>
                <w:u w:val="none"/>
              </w:rPr>
              <w:t>7.2.8 外环境对本项目的影响分析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rPr>
            </w:pPr>
            <w:r>
              <w:rPr>
                <w:rFonts w:hint="eastAsia"/>
                <w:color w:val="auto"/>
                <w:sz w:val="24"/>
                <w:szCs w:val="24"/>
                <w:u w:val="none"/>
              </w:rPr>
              <w:t>针对本项目所属行业的特性以及所处位置，将本项目作为敏感点考虑外环境对本项目的影响分析。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u w:val="none"/>
                <w:lang w:eastAsia="zh-CN"/>
              </w:rPr>
            </w:pPr>
            <w:r>
              <w:rPr>
                <w:rFonts w:hint="eastAsia"/>
                <w:color w:val="auto"/>
                <w:sz w:val="24"/>
                <w:szCs w:val="24"/>
                <w:u w:val="none"/>
              </w:rPr>
              <w:t>主要考虑纳污范围内尚存在一些工业企业，本项目属于生活污水处理厂，只针对</w:t>
            </w:r>
            <w:r>
              <w:rPr>
                <w:rFonts w:hint="eastAsia"/>
                <w:color w:val="auto"/>
                <w:sz w:val="24"/>
                <w:szCs w:val="24"/>
                <w:u w:val="none"/>
                <w:lang w:eastAsia="zh-CN"/>
              </w:rPr>
              <w:t>渡头桥镇</w:t>
            </w:r>
            <w:r>
              <w:rPr>
                <w:rFonts w:hint="eastAsia"/>
                <w:color w:val="auto"/>
                <w:sz w:val="24"/>
                <w:szCs w:val="24"/>
                <w:u w:val="none"/>
              </w:rPr>
              <w:t>居民生活污水，不具备对工业废水中特征因子的处理能力。若其他工业企业的废水未达到本项目纳管水质标准或者超额水量排入本项目纳污管，将使得本项目超负荷运转，排放水质不达标，对</w:t>
            </w:r>
            <w:r>
              <w:rPr>
                <w:rFonts w:hint="eastAsia"/>
                <w:color w:val="auto"/>
                <w:sz w:val="24"/>
                <w:szCs w:val="24"/>
                <w:u w:val="none"/>
                <w:lang w:eastAsia="zh-CN"/>
              </w:rPr>
              <w:t>邵水河</w:t>
            </w:r>
            <w:r>
              <w:rPr>
                <w:rFonts w:hint="eastAsia"/>
                <w:color w:val="auto"/>
                <w:sz w:val="24"/>
                <w:szCs w:val="24"/>
                <w:u w:val="none"/>
              </w:rPr>
              <w:t>水质造成影响。</w:t>
            </w:r>
            <w:r>
              <w:rPr>
                <w:rFonts w:hint="eastAsia"/>
                <w:color w:val="auto"/>
                <w:sz w:val="24"/>
                <w:szCs w:val="24"/>
                <w:u w:val="none"/>
                <w:lang w:eastAsia="zh-CN"/>
              </w:rPr>
              <w:t>因此本项目不得接入工业废水或进水水质超过本项目标准的废水。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bCs/>
                <w:color w:val="auto"/>
                <w:sz w:val="24"/>
                <w:szCs w:val="24"/>
              </w:rPr>
            </w:pPr>
            <w:r>
              <w:rPr>
                <w:rFonts w:hint="eastAsia"/>
                <w:b/>
                <w:bCs/>
                <w:color w:val="auto"/>
                <w:kern w:val="24"/>
                <w:sz w:val="28"/>
                <w:szCs w:val="28"/>
              </w:rPr>
              <w:t>7.3环境管理与环境监测</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b/>
                <w:bCs/>
                <w:color w:val="auto"/>
                <w:sz w:val="24"/>
                <w:szCs w:val="24"/>
              </w:rPr>
            </w:pPr>
            <w:r>
              <w:rPr>
                <w:rFonts w:hint="eastAsia"/>
                <w:b/>
                <w:bCs/>
                <w:color w:val="auto"/>
                <w:sz w:val="24"/>
                <w:szCs w:val="24"/>
              </w:rPr>
              <w:t>7.3.1环境管理</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施工期环境管理</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施工期环保管理的中心工作是：在抓好环保设施施工建设的同时，防止和控制施工活动对环境可能造成的污染或破坏，具体如下：</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1）制定工程建设中的污染防治措施、环保管理措施和实施办法，督促和检查施工过程中环保措施的执行情况，一旦发现漏洞应及时有效解决。</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2）贯彻落实建设项目的竣工验收，严格按照设计要求和批复的环境影响评价要求，保障环保设施的建设，使工程环保项目达到预期效果。</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3）加强施工过程中的污染源管理，合理安排施工机械的运行及作业时间，最大限度地减少施工作业产生的扬尘、噪声对环境的影响。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rPr>
            </w:pPr>
            <w:r>
              <w:rPr>
                <w:rFonts w:hint="eastAsia"/>
                <w:color w:val="auto"/>
                <w:sz w:val="24"/>
                <w:szCs w:val="24"/>
              </w:rPr>
              <w:t>4）对施工过程中产生的弃土、废料、废水等进行统一处置，防止对环境造成不利影响。</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rPr>
            </w:pPr>
            <w:r>
              <w:rPr>
                <w:rFonts w:hint="eastAsia"/>
                <w:color w:val="auto"/>
                <w:sz w:val="24"/>
                <w:szCs w:val="24"/>
              </w:rPr>
              <w:t>5）参与施工运输作业的管理，防止运输过程中弃土沿途洒落，影响周围环境卫生及产生二次扬尘。</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）运营期环保管理</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rPr>
            </w:pPr>
            <w:r>
              <w:rPr>
                <w:rFonts w:hint="eastAsia"/>
                <w:color w:val="auto"/>
                <w:sz w:val="24"/>
                <w:szCs w:val="24"/>
                <w:u w:val="none"/>
              </w:rPr>
              <w:t>1）设定环保机构和配备环保人员</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rPr>
            </w:pPr>
            <w:r>
              <w:rPr>
                <w:rFonts w:hint="eastAsia"/>
                <w:color w:val="auto"/>
                <w:sz w:val="24"/>
                <w:szCs w:val="24"/>
                <w:u w:val="none"/>
              </w:rPr>
              <w:t>设立专门的环境保护机构，并配备专职环保人员，负责该项目的环境管理及对外的环保协调工作，负责落实项目的各项污染防治措施以及污染防治措施的管理。</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rPr>
            </w:pPr>
            <w:r>
              <w:rPr>
                <w:rFonts w:hint="eastAsia"/>
                <w:color w:val="auto"/>
                <w:sz w:val="24"/>
                <w:szCs w:val="24"/>
                <w:u w:val="none"/>
              </w:rPr>
              <w:t>2）排污口规范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4"/>
                <w:szCs w:val="24"/>
                <w:u w:val="none"/>
                <w:lang w:val="en-US" w:eastAsia="zh-CN"/>
              </w:rPr>
            </w:pPr>
            <w:r>
              <w:rPr>
                <w:rFonts w:hint="eastAsia"/>
                <w:color w:val="auto"/>
                <w:sz w:val="24"/>
                <w:szCs w:val="24"/>
                <w:u w:val="none"/>
              </w:rPr>
              <w:t>根据原国家环保总局《关于开展排污口规范化整治工作的通知》（环发〔1999〕24号）的要求：一切新建、改建的排污单位以及限期治理的排污单位，必须在建设污染治理设施的同时，建设规范化排污口。</w:t>
            </w:r>
            <w:r>
              <w:rPr>
                <w:rFonts w:hint="eastAsia"/>
                <w:color w:val="auto"/>
                <w:sz w:val="24"/>
                <w:szCs w:val="24"/>
                <w:u w:val="none"/>
                <w:lang w:val="en-US" w:eastAsia="zh-CN"/>
              </w:rPr>
              <w:t>由于本工程属于城镇生活污水处理厂，按照规定必须安装pH、CODcr 、NH</w:t>
            </w:r>
            <w:r>
              <w:rPr>
                <w:rFonts w:hint="eastAsia"/>
                <w:color w:val="auto"/>
                <w:sz w:val="24"/>
                <w:szCs w:val="24"/>
                <w:u w:val="none"/>
                <w:vertAlign w:val="subscript"/>
                <w:lang w:val="en-US" w:eastAsia="zh-CN"/>
              </w:rPr>
              <w:t>3</w:t>
            </w:r>
            <w:r>
              <w:rPr>
                <w:rFonts w:hint="eastAsia"/>
                <w:color w:val="auto"/>
                <w:sz w:val="24"/>
                <w:szCs w:val="24"/>
                <w:u w:val="none"/>
                <w:lang w:val="en-US" w:eastAsia="zh-CN"/>
              </w:rPr>
              <w:t xml:space="preserve">-N、TP、TN、流量在线监测装置，监控设施安装在厂内总排放口，环境保护图形标牌竖立在厂外总排放口，环境保护图形标牌必须按照国家标准《环境保护图形标志》（GB15562.1-1995）的规定设置，设置位置应距污染物排放口（源）或采样点较近且醒目处，并能长久保留；废水总排放口、废水处理设施的进出水口均应设置具备采样和流量测定条件的采样口，其中总排放口的采样口应设在厂内或厂界外10米内。应使用《中华人民共和国规范化排放口登记证》并按要求认真填写。登记证与标志牌配套使用，由环保部门签发给有关排污单位。排放口规范化整治后，安装的自动监控系统的设备、仪器、仪表，必须由省、市两级环境监察监督部门管理。系统中所使用的仪器、仪表应定期经当地质量技术监督部门校验。系统的运行、维护、维修应委托有相应资质的单位进行。 </w:t>
            </w:r>
          </w:p>
          <w:p>
            <w:pPr>
              <w:pageBreakBefore w:val="0"/>
              <w:widowControl w:val="0"/>
              <w:kinsoku/>
              <w:wordWrap/>
              <w:overflowPunct/>
              <w:topLinePunct w:val="0"/>
              <w:autoSpaceDE/>
              <w:autoSpaceDN/>
              <w:bidi w:val="0"/>
              <w:adjustRightInd w:val="0"/>
              <w:snapToGrid w:val="0"/>
              <w:spacing w:line="360" w:lineRule="auto"/>
              <w:ind w:firstLine="462" w:firstLineChars="200"/>
              <w:textAlignment w:val="auto"/>
              <w:rPr>
                <w:b/>
                <w:bCs/>
                <w:color w:val="auto"/>
                <w:sz w:val="24"/>
                <w:szCs w:val="24"/>
                <w:u w:val="none"/>
              </w:rPr>
            </w:pPr>
            <w:r>
              <w:rPr>
                <w:rFonts w:hint="eastAsia"/>
                <w:b/>
                <w:bCs/>
                <w:color w:val="auto"/>
                <w:sz w:val="24"/>
                <w:szCs w:val="24"/>
                <w:u w:val="none"/>
                <w:lang w:val="en-US" w:eastAsia="zh-CN"/>
              </w:rPr>
              <w:t>7.3.2</w:t>
            </w:r>
            <w:r>
              <w:rPr>
                <w:rFonts w:hint="eastAsia"/>
                <w:b/>
                <w:bCs/>
                <w:color w:val="auto"/>
                <w:sz w:val="24"/>
                <w:szCs w:val="24"/>
                <w:u w:val="none"/>
              </w:rPr>
              <w:t>环境监测</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u w:val="none"/>
              </w:rPr>
            </w:pPr>
            <w:r>
              <w:rPr>
                <w:rFonts w:hint="eastAsia"/>
                <w:color w:val="auto"/>
                <w:sz w:val="24"/>
                <w:szCs w:val="24"/>
                <w:u w:val="none"/>
              </w:rPr>
              <w:t>环境监测是环境管理必不可少的科学手段，通过有效的环境监测，可及时了解项目区的环境质量状况。本项目的环境监测分施工期和营运期进行，可委托</w:t>
            </w:r>
            <w:r>
              <w:rPr>
                <w:rFonts w:hint="eastAsia"/>
                <w:color w:val="auto"/>
                <w:sz w:val="24"/>
                <w:szCs w:val="24"/>
                <w:u w:val="none"/>
                <w:lang w:eastAsia="zh-CN"/>
              </w:rPr>
              <w:t>第三方</w:t>
            </w:r>
            <w:r>
              <w:rPr>
                <w:rFonts w:hint="eastAsia"/>
                <w:color w:val="auto"/>
                <w:sz w:val="24"/>
                <w:szCs w:val="24"/>
                <w:u w:val="none"/>
              </w:rPr>
              <w:t>有资质的环境监测单位</w:t>
            </w:r>
            <w:r>
              <w:rPr>
                <w:rFonts w:hint="eastAsia"/>
                <w:color w:val="auto"/>
                <w:sz w:val="24"/>
                <w:szCs w:val="24"/>
                <w:u w:val="none"/>
                <w:lang w:eastAsia="zh-CN"/>
              </w:rPr>
              <w:t>执行</w:t>
            </w:r>
            <w:r>
              <w:rPr>
                <w:rFonts w:hint="eastAsia"/>
                <w:color w:val="auto"/>
                <w:sz w:val="24"/>
                <w:szCs w:val="24"/>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szCs w:val="24"/>
                <w:u w:val="none"/>
                <w:lang w:val="en-US" w:eastAsia="zh-CN"/>
              </w:rPr>
            </w:pPr>
            <w:r>
              <w:rPr>
                <w:rFonts w:hint="eastAsia"/>
                <w:color w:val="auto"/>
                <w:sz w:val="24"/>
                <w:szCs w:val="24"/>
                <w:u w:val="none"/>
                <w:lang w:val="en-US" w:eastAsia="zh-CN"/>
              </w:rPr>
              <w:t>根据《排污许可证申请与核发技术规范 水处理（试行）》中规定的自行监测频次，详见表7-28。</w:t>
            </w:r>
          </w:p>
          <w:p>
            <w:pPr>
              <w:pStyle w:val="7"/>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olor w:val="auto"/>
                <w:sz w:val="21"/>
                <w:u w:val="none"/>
              </w:rPr>
            </w:pPr>
            <w:r>
              <w:rPr>
                <w:rFonts w:ascii="Times New Roman" w:hAnsi="Times New Roman"/>
                <w:color w:val="auto"/>
                <w:sz w:val="21"/>
                <w:u w:val="none"/>
              </w:rPr>
              <w:t>表</w:t>
            </w:r>
            <w:r>
              <w:rPr>
                <w:rFonts w:hint="eastAsia"/>
                <w:color w:val="auto"/>
                <w:sz w:val="21"/>
                <w:u w:val="none"/>
                <w:lang w:val="en-US" w:eastAsia="zh-CN"/>
              </w:rPr>
              <w:t xml:space="preserve">7-28   </w:t>
            </w:r>
            <w:r>
              <w:rPr>
                <w:rFonts w:ascii="Times New Roman" w:hAnsi="Times New Roman"/>
                <w:color w:val="auto"/>
                <w:sz w:val="21"/>
                <w:u w:val="none"/>
              </w:rPr>
              <w:t>环境监测内容一览表</w:t>
            </w:r>
          </w:p>
          <w:tbl>
            <w:tblPr>
              <w:tblStyle w:val="27"/>
              <w:tblW w:w="89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1"/>
              <w:gridCol w:w="777"/>
              <w:gridCol w:w="1558"/>
              <w:gridCol w:w="2180"/>
              <w:gridCol w:w="1539"/>
              <w:gridCol w:w="21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1498" w:type="dxa"/>
                  <w:gridSpan w:val="2"/>
                  <w:noWrap w:val="0"/>
                  <w:vAlign w:val="center"/>
                </w:tcPr>
                <w:p>
                  <w:pPr>
                    <w:widowControl/>
                    <w:jc w:val="center"/>
                    <w:rPr>
                      <w:b w:val="0"/>
                      <w:bCs/>
                      <w:color w:val="auto"/>
                      <w:kern w:val="0"/>
                      <w:sz w:val="21"/>
                      <w:szCs w:val="21"/>
                      <w:u w:val="none"/>
                    </w:rPr>
                  </w:pPr>
                  <w:r>
                    <w:rPr>
                      <w:b w:val="0"/>
                      <w:bCs/>
                      <w:color w:val="auto"/>
                      <w:kern w:val="0"/>
                      <w:sz w:val="21"/>
                      <w:szCs w:val="21"/>
                      <w:u w:val="none"/>
                    </w:rPr>
                    <w:t>项目</w:t>
                  </w:r>
                </w:p>
              </w:tc>
              <w:tc>
                <w:tcPr>
                  <w:tcW w:w="1558" w:type="dxa"/>
                  <w:noWrap w:val="0"/>
                  <w:vAlign w:val="center"/>
                </w:tcPr>
                <w:p>
                  <w:pPr>
                    <w:widowControl/>
                    <w:jc w:val="center"/>
                    <w:rPr>
                      <w:b w:val="0"/>
                      <w:bCs/>
                      <w:color w:val="auto"/>
                      <w:kern w:val="0"/>
                      <w:sz w:val="21"/>
                      <w:szCs w:val="21"/>
                      <w:u w:val="none"/>
                    </w:rPr>
                  </w:pPr>
                  <w:r>
                    <w:rPr>
                      <w:b w:val="0"/>
                      <w:bCs/>
                      <w:color w:val="auto"/>
                      <w:kern w:val="0"/>
                      <w:sz w:val="21"/>
                      <w:szCs w:val="21"/>
                      <w:u w:val="none"/>
                    </w:rPr>
                    <w:t>监测点位</w:t>
                  </w:r>
                </w:p>
              </w:tc>
              <w:tc>
                <w:tcPr>
                  <w:tcW w:w="2180" w:type="dxa"/>
                  <w:noWrap w:val="0"/>
                  <w:vAlign w:val="center"/>
                </w:tcPr>
                <w:p>
                  <w:pPr>
                    <w:widowControl/>
                    <w:jc w:val="center"/>
                    <w:rPr>
                      <w:b w:val="0"/>
                      <w:bCs/>
                      <w:color w:val="auto"/>
                      <w:kern w:val="0"/>
                      <w:sz w:val="21"/>
                      <w:szCs w:val="21"/>
                      <w:u w:val="none"/>
                    </w:rPr>
                  </w:pPr>
                  <w:r>
                    <w:rPr>
                      <w:b w:val="0"/>
                      <w:bCs/>
                      <w:color w:val="auto"/>
                      <w:kern w:val="0"/>
                      <w:sz w:val="21"/>
                      <w:szCs w:val="21"/>
                      <w:u w:val="none"/>
                    </w:rPr>
                    <w:t>监测因子</w:t>
                  </w:r>
                </w:p>
              </w:tc>
              <w:tc>
                <w:tcPr>
                  <w:tcW w:w="1539" w:type="dxa"/>
                  <w:noWrap w:val="0"/>
                  <w:vAlign w:val="center"/>
                </w:tcPr>
                <w:p>
                  <w:pPr>
                    <w:widowControl/>
                    <w:jc w:val="center"/>
                    <w:rPr>
                      <w:b w:val="0"/>
                      <w:bCs/>
                      <w:color w:val="auto"/>
                      <w:kern w:val="0"/>
                      <w:sz w:val="21"/>
                      <w:szCs w:val="21"/>
                      <w:u w:val="none"/>
                    </w:rPr>
                  </w:pPr>
                  <w:r>
                    <w:rPr>
                      <w:b w:val="0"/>
                      <w:bCs/>
                      <w:color w:val="auto"/>
                      <w:kern w:val="0"/>
                      <w:sz w:val="21"/>
                      <w:szCs w:val="21"/>
                      <w:u w:val="none"/>
                    </w:rPr>
                    <w:t>监测频次</w:t>
                  </w:r>
                </w:p>
              </w:tc>
              <w:tc>
                <w:tcPr>
                  <w:tcW w:w="2175" w:type="dxa"/>
                  <w:noWrap w:val="0"/>
                  <w:vAlign w:val="center"/>
                </w:tcPr>
                <w:p>
                  <w:pPr>
                    <w:widowControl/>
                    <w:jc w:val="center"/>
                    <w:rPr>
                      <w:rFonts w:hint="eastAsia" w:eastAsia="宋体"/>
                      <w:b w:val="0"/>
                      <w:bCs/>
                      <w:color w:val="auto"/>
                      <w:kern w:val="0"/>
                      <w:sz w:val="21"/>
                      <w:szCs w:val="21"/>
                      <w:u w:val="none"/>
                      <w:lang w:eastAsia="zh-CN"/>
                    </w:rPr>
                  </w:pPr>
                  <w:r>
                    <w:rPr>
                      <w:rFonts w:hint="eastAsia"/>
                      <w:b w:val="0"/>
                      <w:bCs/>
                      <w:color w:val="auto"/>
                      <w:kern w:val="0"/>
                      <w:sz w:val="21"/>
                      <w:szCs w:val="21"/>
                      <w:u w:val="none"/>
                      <w:lang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721" w:type="dxa"/>
                  <w:vMerge w:val="restart"/>
                  <w:noWrap w:val="0"/>
                  <w:vAlign w:val="center"/>
                </w:tcPr>
                <w:p>
                  <w:pPr>
                    <w:widowControl/>
                    <w:jc w:val="center"/>
                    <w:rPr>
                      <w:b w:val="0"/>
                      <w:bCs/>
                      <w:color w:val="auto"/>
                      <w:kern w:val="0"/>
                      <w:sz w:val="21"/>
                      <w:szCs w:val="21"/>
                      <w:u w:val="none"/>
                    </w:rPr>
                  </w:pPr>
                  <w:r>
                    <w:rPr>
                      <w:b w:val="0"/>
                      <w:bCs/>
                      <w:color w:val="auto"/>
                      <w:kern w:val="0"/>
                      <w:sz w:val="21"/>
                      <w:szCs w:val="21"/>
                      <w:u w:val="none"/>
                    </w:rPr>
                    <w:t>污染源计划监测</w:t>
                  </w:r>
                </w:p>
              </w:tc>
              <w:tc>
                <w:tcPr>
                  <w:tcW w:w="777" w:type="dxa"/>
                  <w:vMerge w:val="restart"/>
                  <w:noWrap w:val="0"/>
                  <w:vAlign w:val="center"/>
                </w:tcPr>
                <w:p>
                  <w:pPr>
                    <w:widowControl/>
                    <w:jc w:val="center"/>
                    <w:rPr>
                      <w:b w:val="0"/>
                      <w:bCs/>
                      <w:color w:val="auto"/>
                      <w:kern w:val="0"/>
                      <w:sz w:val="21"/>
                      <w:szCs w:val="21"/>
                      <w:u w:val="none"/>
                    </w:rPr>
                  </w:pPr>
                  <w:r>
                    <w:rPr>
                      <w:b w:val="0"/>
                      <w:bCs/>
                      <w:color w:val="auto"/>
                      <w:kern w:val="0"/>
                      <w:sz w:val="21"/>
                      <w:szCs w:val="21"/>
                      <w:u w:val="none"/>
                    </w:rPr>
                    <w:t>废气</w:t>
                  </w:r>
                </w:p>
              </w:tc>
              <w:tc>
                <w:tcPr>
                  <w:tcW w:w="1558" w:type="dxa"/>
                  <w:vMerge w:val="restart"/>
                  <w:noWrap w:val="0"/>
                  <w:vAlign w:val="center"/>
                </w:tcPr>
                <w:p>
                  <w:pPr>
                    <w:widowControl/>
                    <w:jc w:val="center"/>
                    <w:rPr>
                      <w:b w:val="0"/>
                      <w:bCs/>
                      <w:color w:val="auto"/>
                      <w:kern w:val="0"/>
                      <w:sz w:val="21"/>
                      <w:szCs w:val="21"/>
                      <w:u w:val="none"/>
                    </w:rPr>
                  </w:pPr>
                  <w:r>
                    <w:rPr>
                      <w:b w:val="0"/>
                      <w:bCs/>
                      <w:color w:val="auto"/>
                      <w:kern w:val="0"/>
                      <w:sz w:val="21"/>
                      <w:szCs w:val="21"/>
                      <w:u w:val="none"/>
                    </w:rPr>
                    <w:t>厂界（点位：上风向1个、下风向2个）</w:t>
                  </w:r>
                </w:p>
              </w:tc>
              <w:tc>
                <w:tcPr>
                  <w:tcW w:w="2180" w:type="dxa"/>
                  <w:noWrap w:val="0"/>
                  <w:vAlign w:val="center"/>
                </w:tcPr>
                <w:p>
                  <w:pPr>
                    <w:widowControl/>
                    <w:jc w:val="center"/>
                    <w:rPr>
                      <w:rFonts w:hint="eastAsia" w:eastAsia="宋体"/>
                      <w:b w:val="0"/>
                      <w:bCs/>
                      <w:color w:val="auto"/>
                      <w:kern w:val="0"/>
                      <w:sz w:val="21"/>
                      <w:szCs w:val="21"/>
                      <w:u w:val="none"/>
                      <w:vertAlign w:val="baseline"/>
                      <w:lang w:val="en-US" w:eastAsia="zh-CN"/>
                    </w:rPr>
                  </w:pPr>
                  <w:r>
                    <w:rPr>
                      <w:rFonts w:hint="eastAsia"/>
                      <w:b w:val="0"/>
                      <w:bCs/>
                      <w:color w:val="auto"/>
                      <w:kern w:val="0"/>
                      <w:sz w:val="21"/>
                      <w:szCs w:val="21"/>
                      <w:u w:val="none"/>
                    </w:rPr>
                    <w:t>NH</w:t>
                  </w:r>
                  <w:r>
                    <w:rPr>
                      <w:rFonts w:hint="eastAsia"/>
                      <w:b w:val="0"/>
                      <w:bCs/>
                      <w:color w:val="auto"/>
                      <w:kern w:val="0"/>
                      <w:sz w:val="21"/>
                      <w:szCs w:val="21"/>
                      <w:u w:val="none"/>
                      <w:vertAlign w:val="subscript"/>
                    </w:rPr>
                    <w:t>3</w:t>
                  </w:r>
                  <w:r>
                    <w:rPr>
                      <w:rFonts w:hint="eastAsia"/>
                      <w:b w:val="0"/>
                      <w:bCs/>
                      <w:color w:val="auto"/>
                      <w:kern w:val="0"/>
                      <w:sz w:val="21"/>
                      <w:szCs w:val="21"/>
                      <w:u w:val="none"/>
                    </w:rPr>
                    <w:t>、H</w:t>
                  </w:r>
                  <w:r>
                    <w:rPr>
                      <w:rFonts w:hint="eastAsia"/>
                      <w:b w:val="0"/>
                      <w:bCs/>
                      <w:color w:val="auto"/>
                      <w:kern w:val="0"/>
                      <w:sz w:val="21"/>
                      <w:szCs w:val="21"/>
                      <w:u w:val="none"/>
                      <w:vertAlign w:val="subscript"/>
                    </w:rPr>
                    <w:t>2</w:t>
                  </w:r>
                  <w:r>
                    <w:rPr>
                      <w:rFonts w:hint="eastAsia"/>
                      <w:b w:val="0"/>
                      <w:bCs/>
                      <w:color w:val="auto"/>
                      <w:kern w:val="0"/>
                      <w:sz w:val="21"/>
                      <w:szCs w:val="21"/>
                      <w:u w:val="none"/>
                    </w:rPr>
                    <w:t>S</w:t>
                  </w:r>
                  <w:r>
                    <w:rPr>
                      <w:rFonts w:hint="eastAsia"/>
                      <w:b w:val="0"/>
                      <w:bCs/>
                      <w:color w:val="auto"/>
                      <w:kern w:val="0"/>
                      <w:sz w:val="21"/>
                      <w:szCs w:val="21"/>
                      <w:u w:val="none"/>
                      <w:lang w:eastAsia="zh-CN"/>
                    </w:rPr>
                    <w:t>、臭气浓度</w:t>
                  </w:r>
                </w:p>
              </w:tc>
              <w:tc>
                <w:tcPr>
                  <w:tcW w:w="1539" w:type="dxa"/>
                  <w:noWrap w:val="0"/>
                  <w:vAlign w:val="center"/>
                </w:tcPr>
                <w:p>
                  <w:pPr>
                    <w:widowControl/>
                    <w:jc w:val="center"/>
                    <w:rPr>
                      <w:b w:val="0"/>
                      <w:bCs/>
                      <w:color w:val="auto"/>
                      <w:kern w:val="0"/>
                      <w:sz w:val="21"/>
                      <w:szCs w:val="21"/>
                      <w:u w:val="none"/>
                    </w:rPr>
                  </w:pPr>
                  <w:r>
                    <w:rPr>
                      <w:b w:val="0"/>
                      <w:bCs/>
                      <w:color w:val="auto"/>
                      <w:kern w:val="0"/>
                      <w:sz w:val="21"/>
                      <w:szCs w:val="21"/>
                      <w:u w:val="none"/>
                    </w:rPr>
                    <w:t>半年一次</w:t>
                  </w:r>
                </w:p>
              </w:tc>
              <w:tc>
                <w:tcPr>
                  <w:tcW w:w="2175" w:type="dxa"/>
                  <w:vMerge w:val="restart"/>
                  <w:noWrap w:val="0"/>
                  <w:vAlign w:val="center"/>
                </w:tcPr>
                <w:p>
                  <w:pPr>
                    <w:widowControl/>
                    <w:jc w:val="center"/>
                    <w:rPr>
                      <w:rFonts w:hint="eastAsia" w:eastAsia="宋体"/>
                      <w:b w:val="0"/>
                      <w:bCs/>
                      <w:color w:val="auto"/>
                      <w:kern w:val="0"/>
                      <w:sz w:val="21"/>
                      <w:szCs w:val="21"/>
                      <w:u w:val="none"/>
                      <w:lang w:eastAsia="zh-CN"/>
                    </w:rPr>
                  </w:pPr>
                  <w:r>
                    <w:rPr>
                      <w:b w:val="0"/>
                      <w:bCs/>
                      <w:color w:val="auto"/>
                      <w:sz w:val="21"/>
                      <w:szCs w:val="21"/>
                      <w:u w:val="none"/>
                    </w:rPr>
                    <w:t>《城</w:t>
                  </w:r>
                  <w:r>
                    <w:rPr>
                      <w:rFonts w:ascii="Times New Roman" w:hAnsi="Times New Roman" w:eastAsia="宋体" w:cs="Times New Roman"/>
                      <w:b w:val="0"/>
                      <w:bCs/>
                      <w:color w:val="auto"/>
                      <w:sz w:val="21"/>
                      <w:szCs w:val="21"/>
                      <w:u w:val="none"/>
                    </w:rPr>
                    <w:t>镇污水处理厂污染物排放标准》（GB18</w:t>
                  </w:r>
                  <w:r>
                    <w:rPr>
                      <w:rFonts w:hint="eastAsia" w:ascii="Times New Roman" w:hAnsi="Times New Roman" w:eastAsia="宋体" w:cs="Times New Roman"/>
                      <w:b w:val="0"/>
                      <w:bCs/>
                      <w:color w:val="auto"/>
                      <w:sz w:val="21"/>
                      <w:szCs w:val="21"/>
                      <w:u w:val="none"/>
                    </w:rPr>
                    <w:t>9</w:t>
                  </w:r>
                  <w:r>
                    <w:rPr>
                      <w:rFonts w:ascii="Times New Roman" w:hAnsi="Times New Roman" w:eastAsia="宋体" w:cs="Times New Roman"/>
                      <w:b w:val="0"/>
                      <w:bCs/>
                      <w:color w:val="auto"/>
                      <w:sz w:val="21"/>
                      <w:szCs w:val="21"/>
                      <w:u w:val="none"/>
                    </w:rPr>
                    <w:t>18-2002）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21" w:type="dxa"/>
                  <w:vMerge w:val="continue"/>
                  <w:noWrap w:val="0"/>
                  <w:vAlign w:val="center"/>
                </w:tcPr>
                <w:p>
                  <w:pPr>
                    <w:widowControl/>
                    <w:jc w:val="center"/>
                    <w:rPr>
                      <w:b w:val="0"/>
                      <w:bCs/>
                      <w:color w:val="auto"/>
                      <w:kern w:val="0"/>
                      <w:sz w:val="21"/>
                      <w:szCs w:val="21"/>
                      <w:u w:val="none"/>
                    </w:rPr>
                  </w:pPr>
                </w:p>
              </w:tc>
              <w:tc>
                <w:tcPr>
                  <w:tcW w:w="777" w:type="dxa"/>
                  <w:vMerge w:val="continue"/>
                  <w:noWrap w:val="0"/>
                  <w:vAlign w:val="center"/>
                </w:tcPr>
                <w:p>
                  <w:pPr>
                    <w:widowControl/>
                    <w:jc w:val="center"/>
                    <w:rPr>
                      <w:b w:val="0"/>
                      <w:bCs/>
                      <w:color w:val="auto"/>
                      <w:kern w:val="0"/>
                      <w:sz w:val="21"/>
                      <w:szCs w:val="21"/>
                      <w:u w:val="none"/>
                    </w:rPr>
                  </w:pPr>
                </w:p>
              </w:tc>
              <w:tc>
                <w:tcPr>
                  <w:tcW w:w="1558" w:type="dxa"/>
                  <w:vMerge w:val="continue"/>
                  <w:noWrap w:val="0"/>
                  <w:vAlign w:val="center"/>
                </w:tcPr>
                <w:p>
                  <w:pPr>
                    <w:widowControl/>
                    <w:jc w:val="center"/>
                    <w:rPr>
                      <w:b w:val="0"/>
                      <w:bCs/>
                      <w:color w:val="auto"/>
                      <w:kern w:val="0"/>
                      <w:sz w:val="21"/>
                      <w:szCs w:val="21"/>
                      <w:u w:val="none"/>
                    </w:rPr>
                  </w:pPr>
                </w:p>
              </w:tc>
              <w:tc>
                <w:tcPr>
                  <w:tcW w:w="2180" w:type="dxa"/>
                  <w:noWrap w:val="0"/>
                  <w:vAlign w:val="center"/>
                </w:tcPr>
                <w:p>
                  <w:pPr>
                    <w:widowControl/>
                    <w:jc w:val="center"/>
                    <w:rPr>
                      <w:rFonts w:hint="eastAsia" w:eastAsia="宋体"/>
                      <w:b w:val="0"/>
                      <w:bCs/>
                      <w:color w:val="FF0000"/>
                      <w:kern w:val="0"/>
                      <w:sz w:val="21"/>
                      <w:szCs w:val="21"/>
                      <w:u w:val="wave"/>
                      <w:lang w:eastAsia="zh-CN"/>
                    </w:rPr>
                  </w:pPr>
                  <w:r>
                    <w:rPr>
                      <w:rFonts w:hint="eastAsia"/>
                      <w:b w:val="0"/>
                      <w:bCs/>
                      <w:color w:val="FF0000"/>
                      <w:kern w:val="0"/>
                      <w:sz w:val="21"/>
                      <w:szCs w:val="21"/>
                      <w:u w:val="wave"/>
                      <w:lang w:eastAsia="zh-CN"/>
                    </w:rPr>
                    <w:t>甲烷</w:t>
                  </w:r>
                </w:p>
              </w:tc>
              <w:tc>
                <w:tcPr>
                  <w:tcW w:w="1539" w:type="dxa"/>
                  <w:noWrap w:val="0"/>
                  <w:vAlign w:val="center"/>
                </w:tcPr>
                <w:p>
                  <w:pPr>
                    <w:widowControl/>
                    <w:jc w:val="center"/>
                    <w:rPr>
                      <w:rFonts w:hint="eastAsia" w:eastAsia="宋体"/>
                      <w:b w:val="0"/>
                      <w:bCs/>
                      <w:color w:val="FF0000"/>
                      <w:kern w:val="0"/>
                      <w:sz w:val="21"/>
                      <w:szCs w:val="21"/>
                      <w:u w:val="wave"/>
                      <w:lang w:eastAsia="zh-CN"/>
                    </w:rPr>
                  </w:pPr>
                  <w:r>
                    <w:rPr>
                      <w:rFonts w:hint="eastAsia"/>
                      <w:b w:val="0"/>
                      <w:bCs/>
                      <w:color w:val="FF0000"/>
                      <w:kern w:val="0"/>
                      <w:sz w:val="21"/>
                      <w:szCs w:val="21"/>
                      <w:u w:val="wave"/>
                      <w:lang w:eastAsia="zh-CN"/>
                    </w:rPr>
                    <w:t>一年一次</w:t>
                  </w:r>
                </w:p>
              </w:tc>
              <w:tc>
                <w:tcPr>
                  <w:tcW w:w="2175" w:type="dxa"/>
                  <w:vMerge w:val="continue"/>
                  <w:noWrap w:val="0"/>
                  <w:vAlign w:val="center"/>
                </w:tcPr>
                <w:p>
                  <w:pPr>
                    <w:widowControl/>
                    <w:jc w:val="center"/>
                    <w:rPr>
                      <w:b w:val="0"/>
                      <w:bCs/>
                      <w:color w:val="auto"/>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721" w:type="dxa"/>
                  <w:vMerge w:val="continue"/>
                  <w:noWrap w:val="0"/>
                  <w:vAlign w:val="center"/>
                </w:tcPr>
                <w:p>
                  <w:pPr>
                    <w:widowControl/>
                    <w:jc w:val="center"/>
                    <w:rPr>
                      <w:b w:val="0"/>
                      <w:bCs/>
                      <w:color w:val="auto"/>
                      <w:kern w:val="0"/>
                      <w:sz w:val="21"/>
                      <w:szCs w:val="21"/>
                      <w:u w:val="none"/>
                    </w:rPr>
                  </w:pPr>
                </w:p>
              </w:tc>
              <w:tc>
                <w:tcPr>
                  <w:tcW w:w="777" w:type="dxa"/>
                  <w:vMerge w:val="restart"/>
                  <w:noWrap w:val="0"/>
                  <w:vAlign w:val="center"/>
                </w:tcPr>
                <w:p>
                  <w:pPr>
                    <w:widowControl/>
                    <w:jc w:val="center"/>
                    <w:rPr>
                      <w:rFonts w:hint="eastAsia" w:eastAsia="宋体"/>
                      <w:b w:val="0"/>
                      <w:bCs/>
                      <w:color w:val="FF0000"/>
                      <w:kern w:val="0"/>
                      <w:sz w:val="21"/>
                      <w:szCs w:val="21"/>
                      <w:u w:val="wave"/>
                      <w:lang w:eastAsia="zh-CN"/>
                    </w:rPr>
                  </w:pPr>
                  <w:r>
                    <w:rPr>
                      <w:rFonts w:hint="eastAsia"/>
                      <w:b w:val="0"/>
                      <w:bCs/>
                      <w:color w:val="FF0000"/>
                      <w:kern w:val="0"/>
                      <w:sz w:val="21"/>
                      <w:szCs w:val="21"/>
                      <w:u w:val="wave"/>
                      <w:lang w:eastAsia="zh-CN"/>
                    </w:rPr>
                    <w:t>废水</w:t>
                  </w:r>
                </w:p>
              </w:tc>
              <w:tc>
                <w:tcPr>
                  <w:tcW w:w="1558" w:type="dxa"/>
                  <w:vMerge w:val="restart"/>
                  <w:noWrap w:val="0"/>
                  <w:vAlign w:val="center"/>
                </w:tcPr>
                <w:p>
                  <w:pPr>
                    <w:widowControl/>
                    <w:jc w:val="center"/>
                    <w:rPr>
                      <w:rFonts w:hint="eastAsia" w:eastAsia="宋体"/>
                      <w:b w:val="0"/>
                      <w:bCs/>
                      <w:color w:val="FF0000"/>
                      <w:kern w:val="0"/>
                      <w:sz w:val="21"/>
                      <w:szCs w:val="21"/>
                      <w:u w:val="wave"/>
                      <w:lang w:eastAsia="zh-CN"/>
                    </w:rPr>
                  </w:pPr>
                  <w:r>
                    <w:rPr>
                      <w:rFonts w:hint="eastAsia"/>
                      <w:b w:val="0"/>
                      <w:bCs/>
                      <w:color w:val="FF0000"/>
                      <w:kern w:val="0"/>
                      <w:sz w:val="21"/>
                      <w:szCs w:val="21"/>
                      <w:u w:val="wave"/>
                      <w:lang w:eastAsia="zh-CN"/>
                    </w:rPr>
                    <w:t>进水总管</w:t>
                  </w:r>
                </w:p>
              </w:tc>
              <w:tc>
                <w:tcPr>
                  <w:tcW w:w="2180" w:type="dxa"/>
                  <w:tcBorders>
                    <w:bottom w:val="single" w:color="auto" w:sz="4" w:space="0"/>
                  </w:tcBorders>
                  <w:noWrap w:val="0"/>
                  <w:vAlign w:val="center"/>
                </w:tcPr>
                <w:p>
                  <w:pPr>
                    <w:widowControl/>
                    <w:jc w:val="center"/>
                    <w:rPr>
                      <w:rFonts w:hint="default" w:eastAsia="宋体"/>
                      <w:b w:val="0"/>
                      <w:bCs/>
                      <w:color w:val="FF0000"/>
                      <w:kern w:val="0"/>
                      <w:sz w:val="21"/>
                      <w:szCs w:val="21"/>
                      <w:u w:val="wave"/>
                      <w:lang w:val="en-US" w:eastAsia="zh-CN"/>
                    </w:rPr>
                  </w:pPr>
                  <w:r>
                    <w:rPr>
                      <w:rFonts w:hint="eastAsia"/>
                      <w:color w:val="FF0000"/>
                      <w:kern w:val="24"/>
                      <w:sz w:val="21"/>
                      <w:szCs w:val="21"/>
                      <w:u w:val="wave"/>
                      <w:lang w:val="en-US" w:eastAsia="zh-CN"/>
                    </w:rPr>
                    <w:t>流量</w:t>
                  </w:r>
                  <w:r>
                    <w:rPr>
                      <w:color w:val="FF0000"/>
                      <w:kern w:val="24"/>
                      <w:sz w:val="21"/>
                      <w:szCs w:val="21"/>
                      <w:u w:val="wave"/>
                    </w:rPr>
                    <w:t>、COD</w:t>
                  </w:r>
                  <w:r>
                    <w:rPr>
                      <w:rFonts w:hint="eastAsia"/>
                      <w:color w:val="FF0000"/>
                      <w:kern w:val="24"/>
                      <w:sz w:val="21"/>
                      <w:szCs w:val="21"/>
                      <w:u w:val="wave"/>
                    </w:rPr>
                    <w:t>cr</w:t>
                  </w:r>
                  <w:r>
                    <w:rPr>
                      <w:color w:val="FF0000"/>
                      <w:kern w:val="24"/>
                      <w:sz w:val="21"/>
                      <w:szCs w:val="21"/>
                      <w:u w:val="wave"/>
                    </w:rPr>
                    <w:t>、NH</w:t>
                  </w:r>
                  <w:r>
                    <w:rPr>
                      <w:color w:val="FF0000"/>
                      <w:kern w:val="24"/>
                      <w:sz w:val="21"/>
                      <w:szCs w:val="21"/>
                      <w:u w:val="wave"/>
                      <w:vertAlign w:val="subscript"/>
                    </w:rPr>
                    <w:t>3</w:t>
                  </w:r>
                  <w:r>
                    <w:rPr>
                      <w:color w:val="FF0000"/>
                      <w:kern w:val="24"/>
                      <w:sz w:val="21"/>
                      <w:szCs w:val="21"/>
                      <w:u w:val="wave"/>
                    </w:rPr>
                    <w:t>-N</w:t>
                  </w:r>
                </w:p>
              </w:tc>
              <w:tc>
                <w:tcPr>
                  <w:tcW w:w="1539" w:type="dxa"/>
                  <w:tcBorders>
                    <w:bottom w:val="single" w:color="auto" w:sz="4" w:space="0"/>
                  </w:tcBorders>
                  <w:noWrap w:val="0"/>
                  <w:vAlign w:val="center"/>
                </w:tcPr>
                <w:p>
                  <w:pPr>
                    <w:widowControl/>
                    <w:jc w:val="center"/>
                    <w:rPr>
                      <w:rFonts w:hint="eastAsia" w:eastAsia="宋体"/>
                      <w:b w:val="0"/>
                      <w:bCs/>
                      <w:color w:val="FF0000"/>
                      <w:kern w:val="0"/>
                      <w:sz w:val="21"/>
                      <w:szCs w:val="21"/>
                      <w:u w:val="wave"/>
                      <w:lang w:eastAsia="zh-CN"/>
                    </w:rPr>
                  </w:pPr>
                  <w:r>
                    <w:rPr>
                      <w:rFonts w:hint="eastAsia" w:ascii="宋体" w:cs="宋体"/>
                      <w:color w:val="FF0000"/>
                      <w:kern w:val="0"/>
                      <w:szCs w:val="21"/>
                      <w:u w:val="wave"/>
                      <w:lang w:eastAsia="zh-CN"/>
                    </w:rPr>
                    <w:t>在线监测（自动</w:t>
                  </w:r>
                  <w:r>
                    <w:rPr>
                      <w:rFonts w:hint="eastAsia" w:ascii="宋体" w:cs="宋体"/>
                      <w:color w:val="FF0000"/>
                      <w:kern w:val="0"/>
                      <w:szCs w:val="21"/>
                      <w:u w:val="wave"/>
                    </w:rPr>
                    <w:t>监测</w:t>
                  </w:r>
                  <w:r>
                    <w:rPr>
                      <w:rFonts w:hint="eastAsia" w:ascii="宋体" w:cs="宋体"/>
                      <w:color w:val="FF0000"/>
                      <w:kern w:val="0"/>
                      <w:szCs w:val="21"/>
                      <w:u w:val="wave"/>
                      <w:lang w:eastAsia="zh-CN"/>
                    </w:rPr>
                    <w:t>）</w:t>
                  </w:r>
                </w:p>
              </w:tc>
              <w:tc>
                <w:tcPr>
                  <w:tcW w:w="2175" w:type="dxa"/>
                  <w:vMerge w:val="restart"/>
                  <w:noWrap w:val="0"/>
                  <w:vAlign w:val="center"/>
                </w:tcPr>
                <w:p>
                  <w:pPr>
                    <w:widowControl/>
                    <w:jc w:val="center"/>
                    <w:rPr>
                      <w:rFonts w:hint="eastAsia" w:eastAsia="宋体"/>
                      <w:b w:val="0"/>
                      <w:bCs/>
                      <w:color w:val="FF0000"/>
                      <w:kern w:val="0"/>
                      <w:sz w:val="21"/>
                      <w:szCs w:val="21"/>
                      <w:u w:val="wave"/>
                      <w:lang w:val="en-US" w:eastAsia="zh-CN"/>
                    </w:rPr>
                  </w:pPr>
                  <w:r>
                    <w:rPr>
                      <w:rFonts w:hint="eastAsia"/>
                      <w:b w:val="0"/>
                      <w:bCs/>
                      <w:color w:val="FF0000"/>
                      <w:kern w:val="0"/>
                      <w:sz w:val="21"/>
                      <w:szCs w:val="21"/>
                      <w:u w:val="wave"/>
                      <w:lang w:val="en-US" w:eastAsia="zh-CN"/>
                    </w:rPr>
                    <w:t>满足进水水质要求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721" w:type="dxa"/>
                  <w:vMerge w:val="continue"/>
                  <w:noWrap w:val="0"/>
                  <w:vAlign w:val="center"/>
                </w:tcPr>
                <w:p>
                  <w:pPr>
                    <w:widowControl/>
                    <w:jc w:val="center"/>
                    <w:rPr>
                      <w:b w:val="0"/>
                      <w:bCs/>
                      <w:color w:val="auto"/>
                      <w:kern w:val="0"/>
                      <w:sz w:val="21"/>
                      <w:szCs w:val="21"/>
                      <w:u w:val="none"/>
                    </w:rPr>
                  </w:pPr>
                </w:p>
              </w:tc>
              <w:tc>
                <w:tcPr>
                  <w:tcW w:w="777" w:type="dxa"/>
                  <w:vMerge w:val="continue"/>
                  <w:noWrap w:val="0"/>
                  <w:vAlign w:val="center"/>
                </w:tcPr>
                <w:p>
                  <w:pPr>
                    <w:widowControl/>
                    <w:jc w:val="center"/>
                    <w:rPr>
                      <w:rFonts w:hint="eastAsia"/>
                      <w:b w:val="0"/>
                      <w:bCs/>
                      <w:color w:val="FF0000"/>
                      <w:kern w:val="0"/>
                      <w:sz w:val="21"/>
                      <w:szCs w:val="21"/>
                      <w:u w:val="wave"/>
                      <w:lang w:eastAsia="zh-CN"/>
                    </w:rPr>
                  </w:pPr>
                </w:p>
              </w:tc>
              <w:tc>
                <w:tcPr>
                  <w:tcW w:w="1558" w:type="dxa"/>
                  <w:vMerge w:val="continue"/>
                  <w:noWrap w:val="0"/>
                  <w:vAlign w:val="center"/>
                </w:tcPr>
                <w:p>
                  <w:pPr>
                    <w:widowControl/>
                    <w:jc w:val="center"/>
                    <w:rPr>
                      <w:rFonts w:hint="eastAsia"/>
                      <w:b w:val="0"/>
                      <w:bCs/>
                      <w:color w:val="FF0000"/>
                      <w:kern w:val="0"/>
                      <w:sz w:val="21"/>
                      <w:szCs w:val="21"/>
                      <w:u w:val="wave"/>
                      <w:lang w:eastAsia="zh-CN"/>
                    </w:rPr>
                  </w:pPr>
                </w:p>
              </w:tc>
              <w:tc>
                <w:tcPr>
                  <w:tcW w:w="2180" w:type="dxa"/>
                  <w:tcBorders>
                    <w:top w:val="single" w:color="auto" w:sz="4" w:space="0"/>
                  </w:tcBorders>
                  <w:noWrap w:val="0"/>
                  <w:vAlign w:val="center"/>
                </w:tcPr>
                <w:p>
                  <w:pPr>
                    <w:widowControl/>
                    <w:jc w:val="center"/>
                    <w:rPr>
                      <w:rFonts w:hint="default"/>
                      <w:color w:val="FF0000"/>
                      <w:kern w:val="24"/>
                      <w:sz w:val="21"/>
                      <w:szCs w:val="21"/>
                      <w:u w:val="wave"/>
                      <w:lang w:val="en-US" w:eastAsia="zh-CN"/>
                    </w:rPr>
                  </w:pPr>
                  <w:r>
                    <w:rPr>
                      <w:rFonts w:hint="eastAsia"/>
                      <w:color w:val="FF0000"/>
                      <w:kern w:val="24"/>
                      <w:sz w:val="21"/>
                      <w:szCs w:val="21"/>
                      <w:u w:val="wave"/>
                      <w:lang w:val="en-US" w:eastAsia="zh-CN"/>
                    </w:rPr>
                    <w:t>TP、TN</w:t>
                  </w:r>
                </w:p>
              </w:tc>
              <w:tc>
                <w:tcPr>
                  <w:tcW w:w="1539" w:type="dxa"/>
                  <w:tcBorders>
                    <w:top w:val="single" w:color="auto" w:sz="4" w:space="0"/>
                  </w:tcBorders>
                  <w:noWrap w:val="0"/>
                  <w:vAlign w:val="center"/>
                </w:tcPr>
                <w:p>
                  <w:pPr>
                    <w:widowControl/>
                    <w:jc w:val="center"/>
                    <w:rPr>
                      <w:rFonts w:hint="eastAsia" w:ascii="宋体" w:cs="宋体"/>
                      <w:color w:val="FF0000"/>
                      <w:kern w:val="0"/>
                      <w:szCs w:val="21"/>
                      <w:u w:val="wave"/>
                      <w:lang w:eastAsia="zh-CN"/>
                    </w:rPr>
                  </w:pPr>
                  <w:r>
                    <w:rPr>
                      <w:rFonts w:hint="eastAsia" w:ascii="宋体" w:cs="宋体"/>
                      <w:color w:val="FF0000"/>
                      <w:kern w:val="0"/>
                      <w:szCs w:val="21"/>
                      <w:u w:val="wave"/>
                      <w:lang w:eastAsia="zh-CN"/>
                    </w:rPr>
                    <w:t>每日监测</w:t>
                  </w:r>
                </w:p>
              </w:tc>
              <w:tc>
                <w:tcPr>
                  <w:tcW w:w="2175" w:type="dxa"/>
                  <w:vMerge w:val="continue"/>
                  <w:noWrap w:val="0"/>
                  <w:vAlign w:val="center"/>
                </w:tcPr>
                <w:p>
                  <w:pPr>
                    <w:widowControl/>
                    <w:jc w:val="center"/>
                    <w:rPr>
                      <w:rFonts w:hint="eastAsia"/>
                      <w:b w:val="0"/>
                      <w:bCs/>
                      <w:color w:val="FF0000"/>
                      <w:kern w:val="0"/>
                      <w:sz w:val="21"/>
                      <w:szCs w:val="21"/>
                      <w:u w:val="wav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721" w:type="dxa"/>
                  <w:vMerge w:val="continue"/>
                  <w:noWrap w:val="0"/>
                  <w:vAlign w:val="center"/>
                </w:tcPr>
                <w:p>
                  <w:pPr>
                    <w:widowControl/>
                    <w:jc w:val="center"/>
                    <w:rPr>
                      <w:b w:val="0"/>
                      <w:bCs/>
                      <w:color w:val="auto"/>
                      <w:kern w:val="0"/>
                      <w:sz w:val="21"/>
                      <w:szCs w:val="21"/>
                      <w:u w:val="none"/>
                    </w:rPr>
                  </w:pPr>
                </w:p>
              </w:tc>
              <w:tc>
                <w:tcPr>
                  <w:tcW w:w="777" w:type="dxa"/>
                  <w:vMerge w:val="continue"/>
                  <w:noWrap w:val="0"/>
                  <w:vAlign w:val="center"/>
                </w:tcPr>
                <w:p>
                  <w:pPr>
                    <w:widowControl/>
                    <w:jc w:val="center"/>
                    <w:rPr>
                      <w:rFonts w:hint="eastAsia"/>
                      <w:b w:val="0"/>
                      <w:bCs/>
                      <w:color w:val="FF0000"/>
                      <w:kern w:val="0"/>
                      <w:sz w:val="21"/>
                      <w:szCs w:val="21"/>
                      <w:u w:val="wave"/>
                      <w:lang w:eastAsia="zh-CN"/>
                    </w:rPr>
                  </w:pPr>
                </w:p>
              </w:tc>
              <w:tc>
                <w:tcPr>
                  <w:tcW w:w="1558" w:type="dxa"/>
                  <w:vMerge w:val="restart"/>
                  <w:noWrap w:val="0"/>
                  <w:vAlign w:val="center"/>
                </w:tcPr>
                <w:p>
                  <w:pPr>
                    <w:widowControl/>
                    <w:jc w:val="center"/>
                    <w:rPr>
                      <w:rFonts w:hint="eastAsia" w:ascii="宋体" w:eastAsia="宋体" w:cs="宋体"/>
                      <w:color w:val="FF0000"/>
                      <w:kern w:val="0"/>
                      <w:szCs w:val="21"/>
                      <w:u w:val="wave"/>
                      <w:lang w:eastAsia="zh-CN"/>
                    </w:rPr>
                  </w:pPr>
                  <w:r>
                    <w:rPr>
                      <w:rFonts w:hint="eastAsia" w:ascii="宋体" w:cs="宋体"/>
                      <w:color w:val="FF0000"/>
                      <w:kern w:val="0"/>
                      <w:szCs w:val="21"/>
                      <w:u w:val="wave"/>
                      <w:lang w:eastAsia="zh-CN"/>
                    </w:rPr>
                    <w:t>废水总排口</w:t>
                  </w:r>
                </w:p>
              </w:tc>
              <w:tc>
                <w:tcPr>
                  <w:tcW w:w="2180" w:type="dxa"/>
                  <w:tcBorders>
                    <w:bottom w:val="single" w:color="auto" w:sz="4" w:space="0"/>
                  </w:tcBorders>
                  <w:noWrap w:val="0"/>
                  <w:vAlign w:val="center"/>
                </w:tcPr>
                <w:p>
                  <w:pPr>
                    <w:widowControl/>
                    <w:jc w:val="center"/>
                    <w:rPr>
                      <w:rFonts w:hint="eastAsia" w:eastAsia="宋体"/>
                      <w:color w:val="FF0000"/>
                      <w:kern w:val="24"/>
                      <w:sz w:val="21"/>
                      <w:szCs w:val="21"/>
                      <w:u w:val="wave"/>
                      <w:lang w:val="en-US" w:eastAsia="zh-CN"/>
                    </w:rPr>
                  </w:pPr>
                  <w:r>
                    <w:rPr>
                      <w:rFonts w:hint="eastAsia"/>
                      <w:color w:val="FF0000"/>
                      <w:kern w:val="24"/>
                      <w:sz w:val="21"/>
                      <w:szCs w:val="21"/>
                      <w:u w:val="wave"/>
                      <w:lang w:val="en-US" w:eastAsia="zh-CN"/>
                    </w:rPr>
                    <w:t>流量、pH值、水温、</w:t>
                  </w:r>
                  <w:r>
                    <w:rPr>
                      <w:color w:val="FF0000"/>
                      <w:kern w:val="24"/>
                      <w:sz w:val="21"/>
                      <w:szCs w:val="21"/>
                      <w:u w:val="wave"/>
                    </w:rPr>
                    <w:t>COD</w:t>
                  </w:r>
                  <w:r>
                    <w:rPr>
                      <w:rFonts w:hint="eastAsia"/>
                      <w:color w:val="FF0000"/>
                      <w:kern w:val="24"/>
                      <w:sz w:val="21"/>
                      <w:szCs w:val="21"/>
                      <w:u w:val="wave"/>
                    </w:rPr>
                    <w:t>cr</w:t>
                  </w:r>
                  <w:r>
                    <w:rPr>
                      <w:color w:val="FF0000"/>
                      <w:kern w:val="24"/>
                      <w:sz w:val="21"/>
                      <w:szCs w:val="21"/>
                      <w:u w:val="wave"/>
                    </w:rPr>
                    <w:t>、NH</w:t>
                  </w:r>
                  <w:r>
                    <w:rPr>
                      <w:color w:val="FF0000"/>
                      <w:kern w:val="24"/>
                      <w:sz w:val="21"/>
                      <w:szCs w:val="21"/>
                      <w:u w:val="wave"/>
                      <w:vertAlign w:val="subscript"/>
                    </w:rPr>
                    <w:t>3</w:t>
                  </w:r>
                  <w:r>
                    <w:rPr>
                      <w:color w:val="FF0000"/>
                      <w:kern w:val="24"/>
                      <w:sz w:val="21"/>
                      <w:szCs w:val="21"/>
                      <w:u w:val="wave"/>
                    </w:rPr>
                    <w:t>-N</w:t>
                  </w:r>
                  <w:r>
                    <w:rPr>
                      <w:rFonts w:hint="eastAsia"/>
                      <w:color w:val="FF0000"/>
                      <w:kern w:val="24"/>
                      <w:sz w:val="21"/>
                      <w:szCs w:val="21"/>
                      <w:u w:val="wave"/>
                      <w:lang w:eastAsia="zh-CN"/>
                    </w:rPr>
                    <w:t>、</w:t>
                  </w:r>
                  <w:r>
                    <w:rPr>
                      <w:rFonts w:hint="eastAsia"/>
                      <w:color w:val="FF0000"/>
                      <w:kern w:val="24"/>
                      <w:sz w:val="21"/>
                      <w:szCs w:val="21"/>
                      <w:u w:val="wave"/>
                      <w:lang w:val="en-US" w:eastAsia="zh-CN"/>
                    </w:rPr>
                    <w:t>TP、TN</w:t>
                  </w:r>
                </w:p>
              </w:tc>
              <w:tc>
                <w:tcPr>
                  <w:tcW w:w="1539" w:type="dxa"/>
                  <w:tcBorders>
                    <w:bottom w:val="single" w:color="auto" w:sz="4" w:space="0"/>
                  </w:tcBorders>
                  <w:noWrap w:val="0"/>
                  <w:vAlign w:val="center"/>
                </w:tcPr>
                <w:p>
                  <w:pPr>
                    <w:widowControl/>
                    <w:jc w:val="center"/>
                    <w:rPr>
                      <w:rFonts w:hint="eastAsia" w:ascii="宋体" w:cs="宋体"/>
                      <w:color w:val="FF0000"/>
                      <w:kern w:val="0"/>
                      <w:szCs w:val="21"/>
                      <w:u w:val="wave"/>
                      <w:lang w:eastAsia="zh-CN"/>
                    </w:rPr>
                  </w:pPr>
                  <w:r>
                    <w:rPr>
                      <w:rFonts w:hint="eastAsia" w:ascii="宋体" w:cs="宋体"/>
                      <w:color w:val="FF0000"/>
                      <w:kern w:val="0"/>
                      <w:szCs w:val="21"/>
                      <w:u w:val="wave"/>
                      <w:lang w:eastAsia="zh-CN"/>
                    </w:rPr>
                    <w:t>在线监测（自动</w:t>
                  </w:r>
                  <w:r>
                    <w:rPr>
                      <w:rFonts w:hint="eastAsia" w:ascii="宋体" w:cs="宋体"/>
                      <w:color w:val="FF0000"/>
                      <w:kern w:val="0"/>
                      <w:szCs w:val="21"/>
                      <w:u w:val="wave"/>
                    </w:rPr>
                    <w:t>监测</w:t>
                  </w:r>
                  <w:r>
                    <w:rPr>
                      <w:rFonts w:hint="eastAsia" w:ascii="宋体" w:cs="宋体"/>
                      <w:color w:val="FF0000"/>
                      <w:kern w:val="0"/>
                      <w:szCs w:val="21"/>
                      <w:u w:val="wave"/>
                      <w:lang w:eastAsia="zh-CN"/>
                    </w:rPr>
                    <w:t>）</w:t>
                  </w:r>
                </w:p>
              </w:tc>
              <w:tc>
                <w:tcPr>
                  <w:tcW w:w="2175" w:type="dxa"/>
                  <w:vMerge w:val="restart"/>
                  <w:noWrap w:val="0"/>
                  <w:vAlign w:val="center"/>
                </w:tcPr>
                <w:p>
                  <w:pPr>
                    <w:widowControl/>
                    <w:jc w:val="center"/>
                    <w:rPr>
                      <w:rFonts w:hint="eastAsia"/>
                      <w:b w:val="0"/>
                      <w:bCs/>
                      <w:color w:val="FF0000"/>
                      <w:kern w:val="0"/>
                      <w:sz w:val="21"/>
                      <w:szCs w:val="21"/>
                      <w:u w:val="wave"/>
                    </w:rPr>
                  </w:pPr>
                  <w:r>
                    <w:rPr>
                      <w:rFonts w:hint="eastAsia"/>
                      <w:b w:val="0"/>
                      <w:bCs/>
                      <w:color w:val="FF0000"/>
                      <w:kern w:val="0"/>
                      <w:sz w:val="21"/>
                      <w:szCs w:val="21"/>
                      <w:u w:val="wave"/>
                    </w:rPr>
                    <w:t>《城镇污水处理厂污染物排放标准》（</w:t>
                  </w:r>
                  <w:r>
                    <w:rPr>
                      <w:b w:val="0"/>
                      <w:bCs/>
                      <w:color w:val="FF0000"/>
                      <w:kern w:val="0"/>
                      <w:sz w:val="21"/>
                      <w:szCs w:val="21"/>
                      <w:u w:val="wave"/>
                    </w:rPr>
                    <w:t>GB18918-2002</w:t>
                  </w:r>
                  <w:r>
                    <w:rPr>
                      <w:rFonts w:hint="eastAsia"/>
                      <w:b w:val="0"/>
                      <w:bCs/>
                      <w:color w:val="FF0000"/>
                      <w:kern w:val="0"/>
                      <w:sz w:val="21"/>
                      <w:szCs w:val="21"/>
                      <w:u w:val="wave"/>
                    </w:rPr>
                    <w:t>）一级</w:t>
                  </w:r>
                  <w:r>
                    <w:rPr>
                      <w:rFonts w:hint="eastAsia"/>
                      <w:b w:val="0"/>
                      <w:bCs/>
                      <w:color w:val="FF0000"/>
                      <w:kern w:val="0"/>
                      <w:sz w:val="21"/>
                      <w:szCs w:val="21"/>
                      <w:u w:val="wave"/>
                      <w:lang w:val="en-US" w:eastAsia="zh-CN"/>
                    </w:rPr>
                    <w:t>B</w:t>
                  </w:r>
                  <w:r>
                    <w:rPr>
                      <w:rFonts w:hint="eastAsia"/>
                      <w:b w:val="0"/>
                      <w:bCs/>
                      <w:color w:val="FF0000"/>
                      <w:kern w:val="0"/>
                      <w:sz w:val="21"/>
                      <w:szCs w:val="21"/>
                      <w:u w:val="wave"/>
                    </w:rPr>
                    <w:t>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721" w:type="dxa"/>
                  <w:vMerge w:val="continue"/>
                  <w:noWrap w:val="0"/>
                  <w:vAlign w:val="center"/>
                </w:tcPr>
                <w:p>
                  <w:pPr>
                    <w:widowControl/>
                    <w:jc w:val="center"/>
                    <w:rPr>
                      <w:b w:val="0"/>
                      <w:bCs/>
                      <w:color w:val="auto"/>
                      <w:kern w:val="0"/>
                      <w:sz w:val="21"/>
                      <w:szCs w:val="21"/>
                      <w:u w:val="none"/>
                    </w:rPr>
                  </w:pPr>
                </w:p>
              </w:tc>
              <w:tc>
                <w:tcPr>
                  <w:tcW w:w="777" w:type="dxa"/>
                  <w:vMerge w:val="continue"/>
                  <w:noWrap w:val="0"/>
                  <w:vAlign w:val="center"/>
                </w:tcPr>
                <w:p>
                  <w:pPr>
                    <w:widowControl/>
                    <w:jc w:val="center"/>
                    <w:rPr>
                      <w:rFonts w:hint="eastAsia"/>
                      <w:b w:val="0"/>
                      <w:bCs/>
                      <w:color w:val="FF0000"/>
                      <w:kern w:val="0"/>
                      <w:sz w:val="21"/>
                      <w:szCs w:val="21"/>
                      <w:u w:val="wave"/>
                      <w:lang w:eastAsia="zh-CN"/>
                    </w:rPr>
                  </w:pPr>
                </w:p>
              </w:tc>
              <w:tc>
                <w:tcPr>
                  <w:tcW w:w="1558" w:type="dxa"/>
                  <w:vMerge w:val="continue"/>
                  <w:noWrap w:val="0"/>
                  <w:vAlign w:val="center"/>
                </w:tcPr>
                <w:p>
                  <w:pPr>
                    <w:widowControl/>
                    <w:jc w:val="center"/>
                    <w:rPr>
                      <w:rFonts w:hint="eastAsia" w:ascii="宋体" w:cs="宋体"/>
                      <w:color w:val="FF0000"/>
                      <w:kern w:val="0"/>
                      <w:szCs w:val="21"/>
                      <w:u w:val="wave"/>
                      <w:lang w:eastAsia="zh-CN"/>
                    </w:rPr>
                  </w:pPr>
                </w:p>
              </w:tc>
              <w:tc>
                <w:tcPr>
                  <w:tcW w:w="2180" w:type="dxa"/>
                  <w:tcBorders>
                    <w:top w:val="single" w:color="auto" w:sz="4" w:space="0"/>
                    <w:bottom w:val="single" w:color="auto" w:sz="4" w:space="0"/>
                  </w:tcBorders>
                  <w:noWrap w:val="0"/>
                  <w:vAlign w:val="center"/>
                </w:tcPr>
                <w:p>
                  <w:pPr>
                    <w:widowControl/>
                    <w:jc w:val="center"/>
                    <w:rPr>
                      <w:rFonts w:hint="default"/>
                      <w:color w:val="FF0000"/>
                      <w:kern w:val="24"/>
                      <w:sz w:val="21"/>
                      <w:szCs w:val="21"/>
                      <w:u w:val="wave"/>
                      <w:vertAlign w:val="subscript"/>
                      <w:lang w:val="en-US" w:eastAsia="zh-CN"/>
                    </w:rPr>
                  </w:pPr>
                  <w:r>
                    <w:rPr>
                      <w:rFonts w:hint="eastAsia"/>
                      <w:color w:val="FF0000"/>
                      <w:kern w:val="24"/>
                      <w:sz w:val="21"/>
                      <w:szCs w:val="21"/>
                      <w:u w:val="wave"/>
                      <w:lang w:val="en-US" w:eastAsia="zh-CN"/>
                    </w:rPr>
                    <w:t>SS、色度、BOD</w:t>
                  </w:r>
                  <w:r>
                    <w:rPr>
                      <w:rFonts w:hint="eastAsia"/>
                      <w:color w:val="FF0000"/>
                      <w:kern w:val="24"/>
                      <w:sz w:val="21"/>
                      <w:szCs w:val="21"/>
                      <w:u w:val="wave"/>
                      <w:vertAlign w:val="subscript"/>
                      <w:lang w:val="en-US" w:eastAsia="zh-CN"/>
                    </w:rPr>
                    <w:t>5</w:t>
                  </w:r>
                  <w:r>
                    <w:rPr>
                      <w:rFonts w:hint="eastAsia"/>
                      <w:color w:val="FF0000"/>
                      <w:kern w:val="24"/>
                      <w:sz w:val="21"/>
                      <w:szCs w:val="21"/>
                      <w:u w:val="wave"/>
                      <w:lang w:val="en-US" w:eastAsia="zh-CN"/>
                    </w:rPr>
                    <w:t>、动植物油、石油类、阴离子表面活性剂、粪大肠菌群</w:t>
                  </w:r>
                </w:p>
              </w:tc>
              <w:tc>
                <w:tcPr>
                  <w:tcW w:w="1539" w:type="dxa"/>
                  <w:tcBorders>
                    <w:top w:val="single" w:color="auto" w:sz="4" w:space="0"/>
                    <w:bottom w:val="single" w:color="auto" w:sz="4" w:space="0"/>
                  </w:tcBorders>
                  <w:noWrap w:val="0"/>
                  <w:vAlign w:val="center"/>
                </w:tcPr>
                <w:p>
                  <w:pPr>
                    <w:widowControl/>
                    <w:jc w:val="center"/>
                    <w:rPr>
                      <w:rFonts w:hint="default" w:ascii="宋体" w:cs="宋体"/>
                      <w:color w:val="FF0000"/>
                      <w:kern w:val="0"/>
                      <w:szCs w:val="21"/>
                      <w:u w:val="wave"/>
                      <w:lang w:val="en-US" w:eastAsia="zh-CN"/>
                    </w:rPr>
                  </w:pPr>
                  <w:r>
                    <w:rPr>
                      <w:rFonts w:hint="eastAsia" w:ascii="宋体" w:cs="宋体"/>
                      <w:color w:val="FF0000"/>
                      <w:kern w:val="0"/>
                      <w:szCs w:val="21"/>
                      <w:u w:val="wave"/>
                      <w:lang w:eastAsia="zh-CN"/>
                    </w:rPr>
                    <w:t>每季度一</w:t>
                  </w:r>
                  <w:r>
                    <w:rPr>
                      <w:rFonts w:hint="eastAsia" w:ascii="宋体" w:cs="宋体"/>
                      <w:color w:val="FF0000"/>
                      <w:kern w:val="0"/>
                      <w:szCs w:val="21"/>
                      <w:u w:val="wave"/>
                      <w:lang w:val="en-US" w:eastAsia="zh-CN"/>
                    </w:rPr>
                    <w:t>次</w:t>
                  </w:r>
                </w:p>
              </w:tc>
              <w:tc>
                <w:tcPr>
                  <w:tcW w:w="2175" w:type="dxa"/>
                  <w:vMerge w:val="continue"/>
                  <w:noWrap w:val="0"/>
                  <w:vAlign w:val="center"/>
                </w:tcPr>
                <w:p>
                  <w:pPr>
                    <w:widowControl/>
                    <w:jc w:val="center"/>
                    <w:rPr>
                      <w:rFonts w:hint="eastAsia"/>
                      <w:b w:val="0"/>
                      <w:bCs/>
                      <w:color w:val="FF0000"/>
                      <w:kern w:val="0"/>
                      <w:sz w:val="21"/>
                      <w:szCs w:val="21"/>
                      <w:u w:val="wav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721" w:type="dxa"/>
                  <w:vMerge w:val="continue"/>
                  <w:noWrap w:val="0"/>
                  <w:vAlign w:val="center"/>
                </w:tcPr>
                <w:p>
                  <w:pPr>
                    <w:widowControl/>
                    <w:jc w:val="center"/>
                    <w:rPr>
                      <w:b w:val="0"/>
                      <w:bCs/>
                      <w:color w:val="auto"/>
                      <w:kern w:val="0"/>
                      <w:sz w:val="21"/>
                      <w:szCs w:val="21"/>
                      <w:u w:val="none"/>
                    </w:rPr>
                  </w:pPr>
                </w:p>
              </w:tc>
              <w:tc>
                <w:tcPr>
                  <w:tcW w:w="777" w:type="dxa"/>
                  <w:vMerge w:val="continue"/>
                  <w:noWrap w:val="0"/>
                  <w:vAlign w:val="center"/>
                </w:tcPr>
                <w:p>
                  <w:pPr>
                    <w:widowControl/>
                    <w:jc w:val="center"/>
                    <w:rPr>
                      <w:rFonts w:hint="eastAsia"/>
                      <w:b w:val="0"/>
                      <w:bCs/>
                      <w:color w:val="FF0000"/>
                      <w:kern w:val="0"/>
                      <w:sz w:val="21"/>
                      <w:szCs w:val="21"/>
                      <w:u w:val="wave"/>
                      <w:lang w:eastAsia="zh-CN"/>
                    </w:rPr>
                  </w:pPr>
                </w:p>
              </w:tc>
              <w:tc>
                <w:tcPr>
                  <w:tcW w:w="1558" w:type="dxa"/>
                  <w:vMerge w:val="continue"/>
                  <w:noWrap w:val="0"/>
                  <w:vAlign w:val="center"/>
                </w:tcPr>
                <w:p>
                  <w:pPr>
                    <w:widowControl/>
                    <w:jc w:val="center"/>
                    <w:rPr>
                      <w:rFonts w:hint="eastAsia" w:ascii="宋体" w:cs="宋体"/>
                      <w:color w:val="FF0000"/>
                      <w:kern w:val="0"/>
                      <w:szCs w:val="21"/>
                      <w:u w:val="wave"/>
                      <w:lang w:eastAsia="zh-CN"/>
                    </w:rPr>
                  </w:pPr>
                </w:p>
              </w:tc>
              <w:tc>
                <w:tcPr>
                  <w:tcW w:w="2180" w:type="dxa"/>
                  <w:tcBorders>
                    <w:top w:val="single" w:color="auto" w:sz="4" w:space="0"/>
                    <w:bottom w:val="single" w:color="auto" w:sz="4" w:space="0"/>
                  </w:tcBorders>
                  <w:noWrap w:val="0"/>
                  <w:vAlign w:val="center"/>
                </w:tcPr>
                <w:p>
                  <w:pPr>
                    <w:widowControl/>
                    <w:jc w:val="center"/>
                    <w:rPr>
                      <w:rFonts w:hint="eastAsia"/>
                      <w:color w:val="FF0000"/>
                      <w:kern w:val="24"/>
                      <w:sz w:val="21"/>
                      <w:szCs w:val="21"/>
                      <w:u w:val="wave"/>
                      <w:lang w:val="en-US" w:eastAsia="zh-CN"/>
                    </w:rPr>
                  </w:pPr>
                  <w:r>
                    <w:rPr>
                      <w:rFonts w:hint="eastAsia"/>
                      <w:color w:val="FF0000"/>
                      <w:kern w:val="24"/>
                      <w:sz w:val="21"/>
                      <w:szCs w:val="21"/>
                      <w:u w:val="wave"/>
                      <w:lang w:val="en-US" w:eastAsia="zh-CN"/>
                    </w:rPr>
                    <w:t>总镉、总铬、总汞、总铅、总砷、六价铬、烷基汞、GB 18918的表3中纳入许可的指标</w:t>
                  </w:r>
                </w:p>
              </w:tc>
              <w:tc>
                <w:tcPr>
                  <w:tcW w:w="1539" w:type="dxa"/>
                  <w:tcBorders>
                    <w:top w:val="single" w:color="auto" w:sz="4" w:space="0"/>
                    <w:bottom w:val="single" w:color="auto" w:sz="4" w:space="0"/>
                  </w:tcBorders>
                  <w:noWrap w:val="0"/>
                  <w:vAlign w:val="center"/>
                </w:tcPr>
                <w:p>
                  <w:pPr>
                    <w:widowControl/>
                    <w:jc w:val="center"/>
                    <w:rPr>
                      <w:rFonts w:hint="eastAsia" w:ascii="宋体" w:cs="宋体"/>
                      <w:color w:val="FF0000"/>
                      <w:kern w:val="0"/>
                      <w:szCs w:val="21"/>
                      <w:u w:val="wave"/>
                      <w:lang w:eastAsia="zh-CN"/>
                    </w:rPr>
                  </w:pPr>
                  <w:r>
                    <w:rPr>
                      <w:rFonts w:hint="eastAsia" w:ascii="宋体" w:cs="宋体"/>
                      <w:color w:val="FF0000"/>
                      <w:kern w:val="0"/>
                      <w:szCs w:val="21"/>
                      <w:u w:val="wave"/>
                      <w:lang w:eastAsia="zh-CN"/>
                    </w:rPr>
                    <w:t>半年一次</w:t>
                  </w:r>
                </w:p>
              </w:tc>
              <w:tc>
                <w:tcPr>
                  <w:tcW w:w="2175" w:type="dxa"/>
                  <w:vMerge w:val="continue"/>
                  <w:noWrap w:val="0"/>
                  <w:vAlign w:val="center"/>
                </w:tcPr>
                <w:p>
                  <w:pPr>
                    <w:widowControl/>
                    <w:jc w:val="center"/>
                    <w:rPr>
                      <w:rFonts w:hint="eastAsia"/>
                      <w:b w:val="0"/>
                      <w:bCs/>
                      <w:color w:val="FF0000"/>
                      <w:kern w:val="0"/>
                      <w:sz w:val="21"/>
                      <w:szCs w:val="21"/>
                      <w:u w:val="wav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721" w:type="dxa"/>
                  <w:vMerge w:val="continue"/>
                  <w:noWrap w:val="0"/>
                  <w:vAlign w:val="center"/>
                </w:tcPr>
                <w:p>
                  <w:pPr>
                    <w:widowControl/>
                    <w:jc w:val="center"/>
                    <w:rPr>
                      <w:b w:val="0"/>
                      <w:bCs/>
                      <w:color w:val="auto"/>
                      <w:kern w:val="0"/>
                      <w:sz w:val="21"/>
                      <w:szCs w:val="21"/>
                      <w:u w:val="none"/>
                    </w:rPr>
                  </w:pPr>
                </w:p>
              </w:tc>
              <w:tc>
                <w:tcPr>
                  <w:tcW w:w="777" w:type="dxa"/>
                  <w:noWrap w:val="0"/>
                  <w:vAlign w:val="center"/>
                </w:tcPr>
                <w:p>
                  <w:pPr>
                    <w:widowControl/>
                    <w:jc w:val="center"/>
                    <w:rPr>
                      <w:b w:val="0"/>
                      <w:bCs/>
                      <w:color w:val="auto"/>
                      <w:kern w:val="0"/>
                      <w:sz w:val="21"/>
                      <w:szCs w:val="21"/>
                      <w:u w:val="none"/>
                    </w:rPr>
                  </w:pPr>
                  <w:r>
                    <w:rPr>
                      <w:b w:val="0"/>
                      <w:bCs/>
                      <w:color w:val="auto"/>
                      <w:kern w:val="0"/>
                      <w:sz w:val="21"/>
                      <w:szCs w:val="21"/>
                      <w:u w:val="none"/>
                    </w:rPr>
                    <w:t>噪声</w:t>
                  </w:r>
                </w:p>
              </w:tc>
              <w:tc>
                <w:tcPr>
                  <w:tcW w:w="1558" w:type="dxa"/>
                  <w:noWrap w:val="0"/>
                  <w:vAlign w:val="center"/>
                </w:tcPr>
                <w:p>
                  <w:pPr>
                    <w:widowControl/>
                    <w:jc w:val="center"/>
                    <w:rPr>
                      <w:rFonts w:hint="eastAsia" w:eastAsia="宋体"/>
                      <w:b w:val="0"/>
                      <w:bCs/>
                      <w:color w:val="auto"/>
                      <w:kern w:val="0"/>
                      <w:sz w:val="21"/>
                      <w:szCs w:val="21"/>
                      <w:u w:val="none"/>
                      <w:lang w:eastAsia="zh-CN"/>
                    </w:rPr>
                  </w:pPr>
                  <w:r>
                    <w:rPr>
                      <w:rFonts w:hint="eastAsia"/>
                      <w:b w:val="0"/>
                      <w:bCs/>
                      <w:color w:val="auto"/>
                      <w:kern w:val="0"/>
                      <w:sz w:val="21"/>
                      <w:szCs w:val="21"/>
                      <w:u w:val="none"/>
                      <w:lang w:eastAsia="zh-CN"/>
                    </w:rPr>
                    <w:t>厂界四周</w:t>
                  </w:r>
                </w:p>
              </w:tc>
              <w:tc>
                <w:tcPr>
                  <w:tcW w:w="2180" w:type="dxa"/>
                  <w:noWrap w:val="0"/>
                  <w:vAlign w:val="center"/>
                </w:tcPr>
                <w:p>
                  <w:pPr>
                    <w:widowControl/>
                    <w:jc w:val="center"/>
                    <w:rPr>
                      <w:b w:val="0"/>
                      <w:bCs/>
                      <w:color w:val="auto"/>
                      <w:kern w:val="0"/>
                      <w:sz w:val="21"/>
                      <w:szCs w:val="21"/>
                      <w:u w:val="none"/>
                    </w:rPr>
                  </w:pPr>
                  <w:r>
                    <w:rPr>
                      <w:b w:val="0"/>
                      <w:bCs/>
                      <w:color w:val="auto"/>
                      <w:kern w:val="0"/>
                      <w:sz w:val="21"/>
                      <w:szCs w:val="21"/>
                      <w:u w:val="none"/>
                    </w:rPr>
                    <w:t>等效A声级</w:t>
                  </w:r>
                </w:p>
              </w:tc>
              <w:tc>
                <w:tcPr>
                  <w:tcW w:w="1539" w:type="dxa"/>
                  <w:noWrap w:val="0"/>
                  <w:vAlign w:val="center"/>
                </w:tcPr>
                <w:p>
                  <w:pPr>
                    <w:widowControl/>
                    <w:jc w:val="center"/>
                    <w:rPr>
                      <w:b w:val="0"/>
                      <w:bCs/>
                      <w:color w:val="auto"/>
                      <w:kern w:val="0"/>
                      <w:sz w:val="21"/>
                      <w:szCs w:val="21"/>
                      <w:u w:val="none"/>
                    </w:rPr>
                  </w:pPr>
                  <w:r>
                    <w:rPr>
                      <w:color w:val="auto"/>
                      <w:kern w:val="24"/>
                      <w:sz w:val="21"/>
                      <w:szCs w:val="21"/>
                      <w:u w:val="none"/>
                    </w:rPr>
                    <w:t>1次/季</w:t>
                  </w:r>
                  <w:r>
                    <w:rPr>
                      <w:b w:val="0"/>
                      <w:bCs/>
                      <w:color w:val="auto"/>
                      <w:kern w:val="0"/>
                      <w:sz w:val="21"/>
                      <w:szCs w:val="21"/>
                      <w:u w:val="none"/>
                    </w:rPr>
                    <w:t>，监测</w:t>
                  </w:r>
                  <w:r>
                    <w:rPr>
                      <w:rFonts w:hint="eastAsia"/>
                      <w:b w:val="0"/>
                      <w:bCs/>
                      <w:color w:val="auto"/>
                      <w:kern w:val="0"/>
                      <w:sz w:val="21"/>
                      <w:szCs w:val="21"/>
                      <w:u w:val="none"/>
                    </w:rPr>
                    <w:t>2</w:t>
                  </w:r>
                  <w:r>
                    <w:rPr>
                      <w:b w:val="0"/>
                      <w:bCs/>
                      <w:color w:val="auto"/>
                      <w:kern w:val="0"/>
                      <w:sz w:val="21"/>
                      <w:szCs w:val="21"/>
                      <w:u w:val="none"/>
                    </w:rPr>
                    <w:t>天，每天昼夜各</w:t>
                  </w:r>
                  <w:r>
                    <w:rPr>
                      <w:rFonts w:hint="eastAsia"/>
                      <w:b w:val="0"/>
                      <w:bCs/>
                      <w:color w:val="auto"/>
                      <w:kern w:val="0"/>
                      <w:sz w:val="21"/>
                      <w:szCs w:val="21"/>
                      <w:u w:val="none"/>
                    </w:rPr>
                    <w:t>1</w:t>
                  </w:r>
                  <w:r>
                    <w:rPr>
                      <w:b w:val="0"/>
                      <w:bCs/>
                      <w:color w:val="auto"/>
                      <w:kern w:val="0"/>
                      <w:sz w:val="21"/>
                      <w:szCs w:val="21"/>
                      <w:u w:val="none"/>
                    </w:rPr>
                    <w:t>次</w:t>
                  </w:r>
                </w:p>
              </w:tc>
              <w:tc>
                <w:tcPr>
                  <w:tcW w:w="2175" w:type="dxa"/>
                  <w:noWrap w:val="0"/>
                  <w:vAlign w:val="center"/>
                </w:tcPr>
                <w:p>
                  <w:pPr>
                    <w:widowControl/>
                    <w:jc w:val="center"/>
                    <w:rPr>
                      <w:b w:val="0"/>
                      <w:bCs/>
                      <w:color w:val="auto"/>
                      <w:kern w:val="0"/>
                      <w:sz w:val="21"/>
                      <w:szCs w:val="21"/>
                      <w:u w:val="none"/>
                    </w:rPr>
                  </w:pPr>
                  <w:r>
                    <w:rPr>
                      <w:b w:val="0"/>
                      <w:bCs/>
                      <w:color w:val="auto"/>
                      <w:kern w:val="0"/>
                      <w:sz w:val="21"/>
                      <w:szCs w:val="21"/>
                      <w:u w:val="none"/>
                    </w:rPr>
                    <w:t>《工业企业厂界环境噪声排放标准》（GB12348-2008）中2类标准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721" w:type="dxa"/>
                  <w:vMerge w:val="restart"/>
                  <w:noWrap w:val="0"/>
                  <w:vAlign w:val="center"/>
                </w:tcPr>
                <w:p>
                  <w:pPr>
                    <w:widowControl/>
                    <w:jc w:val="center"/>
                    <w:rPr>
                      <w:b w:val="0"/>
                      <w:bCs/>
                      <w:color w:val="auto"/>
                      <w:kern w:val="0"/>
                      <w:sz w:val="21"/>
                      <w:szCs w:val="21"/>
                      <w:u w:val="none"/>
                    </w:rPr>
                  </w:pPr>
                  <w:r>
                    <w:rPr>
                      <w:b w:val="0"/>
                      <w:bCs/>
                      <w:color w:val="auto"/>
                      <w:kern w:val="0"/>
                      <w:sz w:val="21"/>
                      <w:szCs w:val="21"/>
                      <w:u w:val="none"/>
                    </w:rPr>
                    <w:t>环境质量监测计划</w:t>
                  </w:r>
                </w:p>
              </w:tc>
              <w:tc>
                <w:tcPr>
                  <w:tcW w:w="777" w:type="dxa"/>
                  <w:noWrap w:val="0"/>
                  <w:vAlign w:val="center"/>
                </w:tcPr>
                <w:p>
                  <w:pPr>
                    <w:widowControl/>
                    <w:jc w:val="center"/>
                    <w:rPr>
                      <w:b w:val="0"/>
                      <w:bCs/>
                      <w:color w:val="auto"/>
                      <w:kern w:val="0"/>
                      <w:sz w:val="21"/>
                      <w:szCs w:val="21"/>
                      <w:u w:val="none"/>
                    </w:rPr>
                  </w:pPr>
                  <w:r>
                    <w:rPr>
                      <w:b w:val="0"/>
                      <w:bCs/>
                      <w:color w:val="auto"/>
                      <w:kern w:val="0"/>
                      <w:sz w:val="21"/>
                      <w:szCs w:val="21"/>
                      <w:u w:val="none"/>
                    </w:rPr>
                    <w:t>大气环境</w:t>
                  </w:r>
                </w:p>
              </w:tc>
              <w:tc>
                <w:tcPr>
                  <w:tcW w:w="1558" w:type="dxa"/>
                  <w:noWrap w:val="0"/>
                  <w:vAlign w:val="center"/>
                </w:tcPr>
                <w:p>
                  <w:pPr>
                    <w:widowControl/>
                    <w:jc w:val="center"/>
                    <w:rPr>
                      <w:b w:val="0"/>
                      <w:bCs/>
                      <w:color w:val="auto"/>
                      <w:kern w:val="0"/>
                      <w:sz w:val="21"/>
                      <w:szCs w:val="21"/>
                      <w:u w:val="none"/>
                    </w:rPr>
                  </w:pPr>
                  <w:r>
                    <w:rPr>
                      <w:b w:val="0"/>
                      <w:bCs/>
                      <w:color w:val="auto"/>
                      <w:kern w:val="0"/>
                      <w:sz w:val="21"/>
                      <w:szCs w:val="21"/>
                      <w:u w:val="none"/>
                    </w:rPr>
                    <w:t>厂区内、厂区上</w:t>
                  </w:r>
                  <w:r>
                    <w:rPr>
                      <w:rFonts w:hint="eastAsia"/>
                      <w:b w:val="0"/>
                      <w:bCs/>
                      <w:color w:val="auto"/>
                      <w:kern w:val="0"/>
                      <w:sz w:val="21"/>
                      <w:szCs w:val="21"/>
                      <w:u w:val="none"/>
                      <w:lang w:eastAsia="zh-CN"/>
                    </w:rPr>
                    <w:t>、</w:t>
                  </w:r>
                  <w:r>
                    <w:rPr>
                      <w:b w:val="0"/>
                      <w:bCs/>
                      <w:color w:val="auto"/>
                      <w:kern w:val="0"/>
                      <w:sz w:val="21"/>
                      <w:szCs w:val="21"/>
                      <w:u w:val="none"/>
                    </w:rPr>
                    <w:t>下风向居民点</w:t>
                  </w:r>
                </w:p>
              </w:tc>
              <w:tc>
                <w:tcPr>
                  <w:tcW w:w="2180" w:type="dxa"/>
                  <w:noWrap w:val="0"/>
                  <w:vAlign w:val="center"/>
                </w:tcPr>
                <w:p>
                  <w:pPr>
                    <w:widowControl/>
                    <w:jc w:val="center"/>
                    <w:rPr>
                      <w:rFonts w:hint="eastAsia" w:eastAsia="宋体"/>
                      <w:b w:val="0"/>
                      <w:bCs/>
                      <w:color w:val="auto"/>
                      <w:kern w:val="0"/>
                      <w:sz w:val="21"/>
                      <w:szCs w:val="21"/>
                      <w:u w:val="none"/>
                      <w:lang w:eastAsia="zh-CN"/>
                    </w:rPr>
                  </w:pPr>
                  <w:r>
                    <w:rPr>
                      <w:b w:val="0"/>
                      <w:bCs/>
                      <w:color w:val="auto"/>
                      <w:kern w:val="0"/>
                      <w:sz w:val="21"/>
                      <w:szCs w:val="21"/>
                      <w:u w:val="none"/>
                    </w:rPr>
                    <w:t>NH</w:t>
                  </w:r>
                  <w:r>
                    <w:rPr>
                      <w:b w:val="0"/>
                      <w:bCs/>
                      <w:color w:val="auto"/>
                      <w:kern w:val="0"/>
                      <w:sz w:val="21"/>
                      <w:szCs w:val="21"/>
                      <w:u w:val="none"/>
                      <w:vertAlign w:val="subscript"/>
                    </w:rPr>
                    <w:t>3</w:t>
                  </w:r>
                  <w:r>
                    <w:rPr>
                      <w:b w:val="0"/>
                      <w:bCs/>
                      <w:color w:val="auto"/>
                      <w:kern w:val="0"/>
                      <w:sz w:val="21"/>
                      <w:szCs w:val="21"/>
                      <w:u w:val="none"/>
                    </w:rPr>
                    <w:t>、H</w:t>
                  </w:r>
                  <w:r>
                    <w:rPr>
                      <w:b w:val="0"/>
                      <w:bCs/>
                      <w:color w:val="auto"/>
                      <w:kern w:val="0"/>
                      <w:sz w:val="21"/>
                      <w:szCs w:val="21"/>
                      <w:u w:val="none"/>
                      <w:vertAlign w:val="subscript"/>
                    </w:rPr>
                    <w:t>2</w:t>
                  </w:r>
                  <w:r>
                    <w:rPr>
                      <w:b w:val="0"/>
                      <w:bCs/>
                      <w:color w:val="auto"/>
                      <w:kern w:val="0"/>
                      <w:sz w:val="21"/>
                      <w:szCs w:val="21"/>
                      <w:u w:val="none"/>
                    </w:rPr>
                    <w:t>S</w:t>
                  </w:r>
                </w:p>
              </w:tc>
              <w:tc>
                <w:tcPr>
                  <w:tcW w:w="1539" w:type="dxa"/>
                  <w:noWrap w:val="0"/>
                  <w:vAlign w:val="center"/>
                </w:tcPr>
                <w:p>
                  <w:pPr>
                    <w:widowControl/>
                    <w:jc w:val="center"/>
                    <w:rPr>
                      <w:b w:val="0"/>
                      <w:bCs/>
                      <w:color w:val="auto"/>
                      <w:kern w:val="0"/>
                      <w:sz w:val="21"/>
                      <w:szCs w:val="21"/>
                      <w:u w:val="none"/>
                    </w:rPr>
                  </w:pPr>
                  <w:r>
                    <w:rPr>
                      <w:b w:val="0"/>
                      <w:bCs/>
                      <w:color w:val="auto"/>
                      <w:kern w:val="0"/>
                      <w:sz w:val="21"/>
                      <w:szCs w:val="21"/>
                      <w:u w:val="none"/>
                    </w:rPr>
                    <w:t>每年1次，连续2天，每天1次</w:t>
                  </w:r>
                </w:p>
              </w:tc>
              <w:tc>
                <w:tcPr>
                  <w:tcW w:w="2175" w:type="dxa"/>
                  <w:noWrap w:val="0"/>
                  <w:vAlign w:val="center"/>
                </w:tcPr>
                <w:p>
                  <w:pPr>
                    <w:widowControl/>
                    <w:jc w:val="center"/>
                    <w:rPr>
                      <w:b w:val="0"/>
                      <w:bCs/>
                      <w:color w:val="auto"/>
                      <w:kern w:val="0"/>
                      <w:sz w:val="21"/>
                      <w:szCs w:val="21"/>
                      <w:u w:val="none"/>
                    </w:rPr>
                  </w:pPr>
                  <w:r>
                    <w:rPr>
                      <w:rFonts w:ascii="Times New Roman" w:hAnsi="Times New Roman"/>
                      <w:bCs/>
                      <w:color w:val="auto"/>
                      <w:szCs w:val="21"/>
                      <w:u w:val="none"/>
                    </w:rPr>
                    <w:t>《环境影响评价技术导则 大气环境》（HJ 2.2-2018）附录表D.1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721" w:type="dxa"/>
                  <w:vMerge w:val="continue"/>
                  <w:noWrap w:val="0"/>
                  <w:vAlign w:val="center"/>
                </w:tcPr>
                <w:p>
                  <w:pPr>
                    <w:widowControl/>
                    <w:jc w:val="center"/>
                    <w:rPr>
                      <w:b w:val="0"/>
                      <w:bCs/>
                      <w:color w:val="auto"/>
                      <w:kern w:val="0"/>
                      <w:sz w:val="21"/>
                      <w:szCs w:val="21"/>
                      <w:u w:val="none"/>
                    </w:rPr>
                  </w:pPr>
                </w:p>
              </w:tc>
              <w:tc>
                <w:tcPr>
                  <w:tcW w:w="777" w:type="dxa"/>
                  <w:noWrap w:val="0"/>
                  <w:vAlign w:val="center"/>
                </w:tcPr>
                <w:p>
                  <w:pPr>
                    <w:widowControl/>
                    <w:jc w:val="center"/>
                    <w:rPr>
                      <w:b w:val="0"/>
                      <w:bCs/>
                      <w:color w:val="auto"/>
                      <w:kern w:val="0"/>
                      <w:sz w:val="21"/>
                      <w:szCs w:val="21"/>
                      <w:u w:val="none"/>
                    </w:rPr>
                  </w:pPr>
                  <w:r>
                    <w:rPr>
                      <w:b w:val="0"/>
                      <w:bCs/>
                      <w:color w:val="auto"/>
                      <w:kern w:val="0"/>
                      <w:sz w:val="21"/>
                      <w:szCs w:val="21"/>
                      <w:u w:val="none"/>
                    </w:rPr>
                    <w:t>地表水</w:t>
                  </w:r>
                </w:p>
              </w:tc>
              <w:tc>
                <w:tcPr>
                  <w:tcW w:w="1558" w:type="dxa"/>
                  <w:noWrap w:val="0"/>
                  <w:vAlign w:val="center"/>
                </w:tcPr>
                <w:p>
                  <w:pPr>
                    <w:widowControl/>
                    <w:jc w:val="center"/>
                    <w:rPr>
                      <w:rFonts w:hint="default" w:eastAsia="宋体"/>
                      <w:b w:val="0"/>
                      <w:bCs/>
                      <w:color w:val="auto"/>
                      <w:kern w:val="0"/>
                      <w:sz w:val="21"/>
                      <w:szCs w:val="21"/>
                      <w:u w:val="none"/>
                      <w:lang w:val="en-US" w:eastAsia="zh-CN"/>
                    </w:rPr>
                  </w:pPr>
                  <w:r>
                    <w:rPr>
                      <w:rFonts w:hint="eastAsia"/>
                      <w:b w:val="0"/>
                      <w:bCs/>
                      <w:color w:val="auto"/>
                      <w:kern w:val="0"/>
                      <w:sz w:val="21"/>
                      <w:szCs w:val="21"/>
                      <w:u w:val="none"/>
                      <w:lang w:eastAsia="zh-CN"/>
                    </w:rPr>
                    <w:t>邵水，排污口上游</w:t>
                  </w:r>
                  <w:r>
                    <w:rPr>
                      <w:rFonts w:hint="eastAsia"/>
                      <w:b w:val="0"/>
                      <w:bCs/>
                      <w:color w:val="auto"/>
                      <w:kern w:val="0"/>
                      <w:sz w:val="21"/>
                      <w:szCs w:val="21"/>
                      <w:u w:val="none"/>
                      <w:lang w:val="en-US" w:eastAsia="zh-CN"/>
                    </w:rPr>
                    <w:t>500m处，下游1000m处</w:t>
                  </w:r>
                </w:p>
              </w:tc>
              <w:tc>
                <w:tcPr>
                  <w:tcW w:w="2180" w:type="dxa"/>
                  <w:noWrap w:val="0"/>
                  <w:vAlign w:val="center"/>
                </w:tcPr>
                <w:p>
                  <w:pPr>
                    <w:widowControl/>
                    <w:jc w:val="center"/>
                    <w:rPr>
                      <w:b w:val="0"/>
                      <w:bCs/>
                      <w:color w:val="auto"/>
                      <w:kern w:val="0"/>
                      <w:sz w:val="21"/>
                      <w:szCs w:val="21"/>
                      <w:u w:val="none"/>
                    </w:rPr>
                  </w:pPr>
                  <w:r>
                    <w:rPr>
                      <w:rFonts w:hint="eastAsia"/>
                      <w:color w:val="auto"/>
                      <w:kern w:val="24"/>
                      <w:sz w:val="21"/>
                      <w:szCs w:val="21"/>
                      <w:u w:val="none"/>
                      <w:lang w:val="en-US" w:eastAsia="zh-CN"/>
                    </w:rPr>
                    <w:t>PH</w:t>
                  </w:r>
                  <w:r>
                    <w:rPr>
                      <w:rFonts w:hint="eastAsia"/>
                      <w:color w:val="auto"/>
                      <w:kern w:val="24"/>
                      <w:sz w:val="21"/>
                      <w:szCs w:val="21"/>
                      <w:u w:val="none"/>
                    </w:rPr>
                    <w:t>、</w:t>
                  </w:r>
                  <w:r>
                    <w:rPr>
                      <w:color w:val="auto"/>
                      <w:kern w:val="24"/>
                      <w:sz w:val="21"/>
                      <w:szCs w:val="21"/>
                      <w:u w:val="none"/>
                    </w:rPr>
                    <w:t>COD</w:t>
                  </w:r>
                  <w:r>
                    <w:rPr>
                      <w:rFonts w:hint="eastAsia"/>
                      <w:color w:val="auto"/>
                      <w:kern w:val="24"/>
                      <w:sz w:val="21"/>
                      <w:szCs w:val="21"/>
                      <w:u w:val="none"/>
                    </w:rPr>
                    <w:t>cr</w:t>
                  </w:r>
                  <w:r>
                    <w:rPr>
                      <w:color w:val="auto"/>
                      <w:kern w:val="24"/>
                      <w:sz w:val="21"/>
                      <w:szCs w:val="21"/>
                      <w:u w:val="none"/>
                    </w:rPr>
                    <w:t>、NH</w:t>
                  </w:r>
                  <w:r>
                    <w:rPr>
                      <w:color w:val="auto"/>
                      <w:kern w:val="24"/>
                      <w:sz w:val="21"/>
                      <w:szCs w:val="21"/>
                      <w:u w:val="none"/>
                      <w:vertAlign w:val="subscript"/>
                    </w:rPr>
                    <w:t>3</w:t>
                  </w:r>
                  <w:r>
                    <w:rPr>
                      <w:color w:val="auto"/>
                      <w:kern w:val="24"/>
                      <w:sz w:val="21"/>
                      <w:szCs w:val="21"/>
                      <w:u w:val="none"/>
                    </w:rPr>
                    <w:t>-N、TN、TP</w:t>
                  </w:r>
                </w:p>
              </w:tc>
              <w:tc>
                <w:tcPr>
                  <w:tcW w:w="1539" w:type="dxa"/>
                  <w:noWrap w:val="0"/>
                  <w:vAlign w:val="center"/>
                </w:tcPr>
                <w:p>
                  <w:pPr>
                    <w:widowControl/>
                    <w:jc w:val="center"/>
                    <w:rPr>
                      <w:b w:val="0"/>
                      <w:bCs/>
                      <w:color w:val="auto"/>
                      <w:kern w:val="0"/>
                      <w:sz w:val="21"/>
                      <w:szCs w:val="21"/>
                      <w:u w:val="none"/>
                    </w:rPr>
                  </w:pPr>
                  <w:r>
                    <w:rPr>
                      <w:color w:val="auto"/>
                      <w:kern w:val="24"/>
                      <w:sz w:val="21"/>
                      <w:szCs w:val="21"/>
                      <w:u w:val="none"/>
                    </w:rPr>
                    <w:t>1次/季</w:t>
                  </w:r>
                  <w:r>
                    <w:rPr>
                      <w:b w:val="0"/>
                      <w:bCs/>
                      <w:color w:val="auto"/>
                      <w:kern w:val="0"/>
                      <w:sz w:val="21"/>
                      <w:szCs w:val="21"/>
                      <w:u w:val="none"/>
                    </w:rPr>
                    <w:t>，每次2天，每天</w:t>
                  </w:r>
                  <w:r>
                    <w:rPr>
                      <w:rFonts w:hint="eastAsia"/>
                      <w:b w:val="0"/>
                      <w:bCs/>
                      <w:color w:val="auto"/>
                      <w:kern w:val="0"/>
                      <w:sz w:val="21"/>
                      <w:szCs w:val="21"/>
                      <w:u w:val="none"/>
                    </w:rPr>
                    <w:t>采样1次</w:t>
                  </w:r>
                </w:p>
              </w:tc>
              <w:tc>
                <w:tcPr>
                  <w:tcW w:w="2175" w:type="dxa"/>
                  <w:noWrap w:val="0"/>
                  <w:vAlign w:val="center"/>
                </w:tcPr>
                <w:p>
                  <w:pPr>
                    <w:widowControl/>
                    <w:jc w:val="center"/>
                    <w:rPr>
                      <w:b w:val="0"/>
                      <w:bCs/>
                      <w:color w:val="auto"/>
                      <w:kern w:val="0"/>
                      <w:sz w:val="21"/>
                      <w:szCs w:val="21"/>
                      <w:u w:val="none"/>
                    </w:rPr>
                  </w:pPr>
                  <w:r>
                    <w:rPr>
                      <w:color w:val="auto"/>
                      <w:u w:val="none"/>
                    </w:rPr>
                    <w:t>《地表水环境质量标准》（GB3838-2002）Ⅲ类标准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721" w:type="dxa"/>
                  <w:vMerge w:val="continue"/>
                  <w:noWrap w:val="0"/>
                  <w:vAlign w:val="center"/>
                </w:tcPr>
                <w:p>
                  <w:pPr>
                    <w:widowControl/>
                    <w:jc w:val="center"/>
                    <w:rPr>
                      <w:b w:val="0"/>
                      <w:bCs/>
                      <w:color w:val="auto"/>
                      <w:kern w:val="0"/>
                      <w:sz w:val="21"/>
                      <w:szCs w:val="21"/>
                      <w:u w:val="none"/>
                    </w:rPr>
                  </w:pPr>
                </w:p>
              </w:tc>
              <w:tc>
                <w:tcPr>
                  <w:tcW w:w="777" w:type="dxa"/>
                  <w:noWrap w:val="0"/>
                  <w:vAlign w:val="center"/>
                </w:tcPr>
                <w:p>
                  <w:pPr>
                    <w:widowControl/>
                    <w:jc w:val="center"/>
                    <w:rPr>
                      <w:b w:val="0"/>
                      <w:bCs/>
                      <w:color w:val="auto"/>
                      <w:kern w:val="0"/>
                      <w:sz w:val="21"/>
                      <w:szCs w:val="21"/>
                      <w:u w:val="none"/>
                    </w:rPr>
                  </w:pPr>
                  <w:r>
                    <w:rPr>
                      <w:b w:val="0"/>
                      <w:bCs/>
                      <w:color w:val="auto"/>
                      <w:kern w:val="0"/>
                      <w:sz w:val="21"/>
                      <w:szCs w:val="21"/>
                      <w:u w:val="none"/>
                    </w:rPr>
                    <w:t>地下水</w:t>
                  </w:r>
                </w:p>
              </w:tc>
              <w:tc>
                <w:tcPr>
                  <w:tcW w:w="1558" w:type="dxa"/>
                  <w:noWrap w:val="0"/>
                  <w:vAlign w:val="center"/>
                </w:tcPr>
                <w:p>
                  <w:pPr>
                    <w:keepNext w:val="0"/>
                    <w:keepLines w:val="0"/>
                    <w:widowControl/>
                    <w:suppressLineNumbers w:val="0"/>
                    <w:jc w:val="center"/>
                    <w:rPr>
                      <w:b w:val="0"/>
                      <w:bCs/>
                      <w:color w:val="auto"/>
                      <w:kern w:val="0"/>
                      <w:sz w:val="21"/>
                      <w:szCs w:val="21"/>
                      <w:u w:val="none"/>
                    </w:rPr>
                  </w:pPr>
                  <w:r>
                    <w:rPr>
                      <w:rFonts w:hint="eastAsia" w:ascii="宋体" w:hAnsi="宋体" w:eastAsia="宋体" w:cs="宋体"/>
                      <w:b w:val="0"/>
                      <w:bCs/>
                      <w:color w:val="auto"/>
                      <w:kern w:val="0"/>
                      <w:sz w:val="21"/>
                      <w:szCs w:val="21"/>
                      <w:u w:val="none"/>
                      <w:lang w:val="en-US" w:eastAsia="zh-CN" w:bidi="ar"/>
                    </w:rPr>
                    <w:t>地下水侧下游</w:t>
                  </w:r>
                </w:p>
              </w:tc>
              <w:tc>
                <w:tcPr>
                  <w:tcW w:w="2180" w:type="dxa"/>
                  <w:noWrap w:val="0"/>
                  <w:vAlign w:val="center"/>
                </w:tcPr>
                <w:p>
                  <w:pPr>
                    <w:widowControl/>
                    <w:jc w:val="center"/>
                    <w:rPr>
                      <w:b w:val="0"/>
                      <w:bCs/>
                      <w:color w:val="auto"/>
                      <w:kern w:val="0"/>
                      <w:sz w:val="21"/>
                      <w:szCs w:val="21"/>
                      <w:u w:val="none"/>
                    </w:rPr>
                  </w:pPr>
                  <w:r>
                    <w:rPr>
                      <w:rFonts w:hint="default" w:ascii="Times New Roman" w:hAnsi="Times New Roman" w:cs="Times New Roman"/>
                      <w:color w:val="auto"/>
                      <w:kern w:val="44"/>
                      <w:szCs w:val="21"/>
                      <w:u w:val="none"/>
                      <w:lang w:eastAsia="zh-CN"/>
                    </w:rPr>
                    <w:t>pH、氨氮、耗氧量、硝酸盐、硫酸盐、总硬度、总大肠菌群</w:t>
                  </w:r>
                </w:p>
              </w:tc>
              <w:tc>
                <w:tcPr>
                  <w:tcW w:w="1539" w:type="dxa"/>
                  <w:noWrap w:val="0"/>
                  <w:vAlign w:val="center"/>
                </w:tcPr>
                <w:p>
                  <w:pPr>
                    <w:autoSpaceDE w:val="0"/>
                    <w:autoSpaceDN w:val="0"/>
                    <w:adjustRightInd w:val="0"/>
                    <w:jc w:val="center"/>
                    <w:rPr>
                      <w:rFonts w:ascii="宋体" w:hAnsi="Calibri" w:cs="宋体"/>
                      <w:b w:val="0"/>
                      <w:bCs/>
                      <w:color w:val="auto"/>
                      <w:kern w:val="0"/>
                      <w:sz w:val="21"/>
                      <w:szCs w:val="21"/>
                      <w:u w:val="none"/>
                    </w:rPr>
                  </w:pPr>
                  <w:r>
                    <w:rPr>
                      <w:rFonts w:hint="eastAsia"/>
                      <w:b w:val="0"/>
                      <w:bCs/>
                      <w:color w:val="auto"/>
                      <w:kern w:val="0"/>
                      <w:sz w:val="21"/>
                      <w:szCs w:val="21"/>
                      <w:u w:val="none"/>
                      <w:lang w:val="en-US" w:eastAsia="zh-CN"/>
                    </w:rPr>
                    <w:t>1</w:t>
                  </w:r>
                  <w:r>
                    <w:rPr>
                      <w:b w:val="0"/>
                      <w:bCs/>
                      <w:color w:val="auto"/>
                      <w:kern w:val="0"/>
                      <w:sz w:val="21"/>
                      <w:szCs w:val="21"/>
                      <w:u w:val="none"/>
                    </w:rPr>
                    <w:t>年1次，每次2天，每天</w:t>
                  </w:r>
                  <w:r>
                    <w:rPr>
                      <w:rFonts w:hint="eastAsia"/>
                      <w:b w:val="0"/>
                      <w:bCs/>
                      <w:color w:val="auto"/>
                      <w:kern w:val="0"/>
                      <w:sz w:val="21"/>
                      <w:szCs w:val="21"/>
                      <w:u w:val="none"/>
                    </w:rPr>
                    <w:t>采样1次</w:t>
                  </w:r>
                </w:p>
              </w:tc>
              <w:tc>
                <w:tcPr>
                  <w:tcW w:w="2175" w:type="dxa"/>
                  <w:noWrap w:val="0"/>
                  <w:vAlign w:val="center"/>
                </w:tcPr>
                <w:p>
                  <w:pPr>
                    <w:autoSpaceDE w:val="0"/>
                    <w:autoSpaceDN w:val="0"/>
                    <w:adjustRightInd w:val="0"/>
                    <w:jc w:val="center"/>
                    <w:rPr>
                      <w:b w:val="0"/>
                      <w:bCs/>
                      <w:color w:val="auto"/>
                      <w:kern w:val="0"/>
                      <w:sz w:val="21"/>
                      <w:szCs w:val="21"/>
                      <w:u w:val="none"/>
                    </w:rPr>
                  </w:pPr>
                  <w:r>
                    <w:rPr>
                      <w:rFonts w:hint="eastAsia"/>
                      <w:b w:val="0"/>
                      <w:bCs/>
                      <w:color w:val="auto"/>
                      <w:kern w:val="0"/>
                      <w:sz w:val="21"/>
                      <w:szCs w:val="21"/>
                      <w:u w:val="none"/>
                      <w:lang w:eastAsia="zh-CN"/>
                    </w:rPr>
                    <w:t>《</w:t>
                  </w:r>
                  <w:r>
                    <w:rPr>
                      <w:b w:val="0"/>
                      <w:bCs/>
                      <w:color w:val="auto"/>
                      <w:kern w:val="0"/>
                      <w:sz w:val="21"/>
                      <w:szCs w:val="21"/>
                      <w:u w:val="none"/>
                    </w:rPr>
                    <w:t>地下水质量标准》（GB/T14848-2017）中Ⅲ类标准</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bCs/>
                <w:color w:val="auto"/>
                <w:kern w:val="24"/>
                <w:sz w:val="28"/>
                <w:szCs w:val="28"/>
              </w:rPr>
            </w:pPr>
            <w:r>
              <w:rPr>
                <w:rFonts w:hint="eastAsia"/>
                <w:b/>
                <w:bCs/>
                <w:color w:val="auto"/>
                <w:kern w:val="24"/>
                <w:sz w:val="28"/>
                <w:szCs w:val="28"/>
              </w:rPr>
              <w:t>7.4环境风险分析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b/>
                <w:bCs/>
                <w:color w:val="auto"/>
                <w:sz w:val="24"/>
              </w:rPr>
            </w:pPr>
            <w:r>
              <w:rPr>
                <w:rFonts w:hint="eastAsia"/>
                <w:color w:val="auto"/>
                <w:sz w:val="24"/>
              </w:rPr>
              <w:t>按照《建设项目环境风险评价技术导则》（</w:t>
            </w:r>
            <w:r>
              <w:rPr>
                <w:color w:val="auto"/>
                <w:sz w:val="24"/>
              </w:rPr>
              <w:t>HT169-2018</w:t>
            </w:r>
            <w:r>
              <w:rPr>
                <w:rFonts w:hint="eastAsia"/>
                <w:color w:val="auto"/>
                <w:sz w:val="24"/>
              </w:rPr>
              <w:t>）的要求，环境风险评价应以突发性事故导致的危险物质环境急性损害防控为目标，对建设项目的环境风险进行分析、预测和评估，提出环境风险预防、控制、减缓措施，明确环境风险监控及应急要求，为建设项目环境风险防控提空科学依据。</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s="Times New Roman"/>
                <w:b/>
                <w:bCs/>
                <w:color w:val="auto"/>
                <w:sz w:val="24"/>
                <w:szCs w:val="24"/>
                <w:u w:val="none"/>
                <w:lang w:val="en-US" w:eastAsia="zh-CN"/>
              </w:rPr>
            </w:pPr>
            <w:r>
              <w:rPr>
                <w:rFonts w:hint="eastAsia" w:cs="Times New Roman"/>
                <w:b/>
                <w:bCs/>
                <w:color w:val="auto"/>
                <w:sz w:val="24"/>
                <w:szCs w:val="24"/>
                <w:u w:val="none"/>
                <w:lang w:val="en-US" w:eastAsia="zh-CN"/>
              </w:rPr>
              <w:t>7.4.1风险调查</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olor w:val="auto"/>
                <w:sz w:val="24"/>
                <w:u w:val="none"/>
              </w:rPr>
            </w:pPr>
            <w:r>
              <w:rPr>
                <w:rFonts w:hint="eastAsia"/>
                <w:color w:val="auto"/>
                <w:sz w:val="24"/>
                <w:u w:val="none"/>
              </w:rPr>
              <w:t>根据《建设项目环境风险评价技术导则》 HJ/T169-2018），本项目原料不属于也不含有（HJ/T169-2018）附录B.列示的有毒物质、易燃物质、爆炸性物质和活性化学物质等危险物质，项目使用的原材料不属于危险化学品。根据项目概况，本项目主要环境风险是废水处理设施故障</w:t>
            </w:r>
            <w:r>
              <w:rPr>
                <w:rFonts w:hint="eastAsia"/>
                <w:color w:val="auto"/>
                <w:sz w:val="24"/>
                <w:u w:val="none"/>
                <w:lang w:eastAsia="zh-CN"/>
              </w:rPr>
              <w:t>及管线泄露</w:t>
            </w:r>
            <w:r>
              <w:rPr>
                <w:rFonts w:hint="eastAsia"/>
                <w:color w:val="auto"/>
                <w:sz w:val="24"/>
                <w:u w:val="none"/>
              </w:rPr>
              <w:t>导致排放风险。</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cs="Times New Roman"/>
                <w:color w:val="auto"/>
                <w:sz w:val="24"/>
                <w:szCs w:val="24"/>
                <w:u w:val="none"/>
                <w:lang w:val="en-US" w:eastAsia="zh-CN"/>
              </w:rPr>
            </w:pPr>
            <w:r>
              <w:rPr>
                <w:rFonts w:hint="eastAsia" w:cs="Times New Roman"/>
                <w:color w:val="auto"/>
                <w:sz w:val="24"/>
                <w:szCs w:val="24"/>
                <w:u w:val="none"/>
                <w:lang w:val="en-US" w:eastAsia="zh-CN"/>
              </w:rPr>
              <w:t>环境敏感目标主要为周边居民及学校等敏感点，项目环境风险敏感目标分布情况详见表3-10。</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cs="Times New Roman"/>
                <w:b/>
                <w:bCs/>
                <w:color w:val="auto"/>
                <w:sz w:val="24"/>
                <w:szCs w:val="24"/>
                <w:u w:val="none"/>
                <w:lang w:val="en-US" w:eastAsia="zh-CN"/>
              </w:rPr>
            </w:pPr>
            <w:r>
              <w:rPr>
                <w:rFonts w:hint="eastAsia" w:cs="Times New Roman"/>
                <w:b/>
                <w:bCs/>
                <w:color w:val="auto"/>
                <w:sz w:val="24"/>
                <w:szCs w:val="24"/>
                <w:u w:val="none"/>
                <w:lang w:val="en-US" w:eastAsia="zh-CN"/>
              </w:rPr>
              <w:t>7.4.2</w:t>
            </w:r>
            <w:r>
              <w:rPr>
                <w:rFonts w:hint="default" w:ascii="Times New Roman" w:hAnsi="Times New Roman" w:cs="Times New Roman"/>
                <w:b/>
                <w:bCs/>
                <w:color w:val="auto"/>
                <w:sz w:val="24"/>
                <w:szCs w:val="24"/>
                <w:u w:val="none"/>
                <w:lang w:val="en-US" w:eastAsia="zh-CN"/>
              </w:rPr>
              <w:t>风险潜势初判</w:t>
            </w:r>
          </w:p>
          <w:p>
            <w:pPr>
              <w:pStyle w:val="77"/>
              <w:autoSpaceDE w:val="0"/>
              <w:autoSpaceDN w:val="0"/>
              <w:adjustRightInd w:val="0"/>
              <w:snapToGrid w:val="0"/>
              <w:spacing w:line="360" w:lineRule="auto"/>
              <w:ind w:firstLine="480"/>
              <w:rPr>
                <w:rFonts w:hint="default"/>
                <w:color w:val="auto"/>
                <w:kern w:val="2"/>
                <w:szCs w:val="24"/>
                <w:u w:val="none"/>
              </w:rPr>
            </w:pPr>
            <w:r>
              <w:rPr>
                <w:rFonts w:hint="default"/>
                <w:color w:val="auto"/>
                <w:kern w:val="2"/>
                <w:szCs w:val="24"/>
                <w:u w:val="none"/>
              </w:rPr>
              <w:t>根据《建设项目环境风险评价技术导则》（HJ/T169－2018）附录 C，Q按下式进行计算：</w:t>
            </w:r>
          </w:p>
          <w:p>
            <w:pPr>
              <w:pStyle w:val="77"/>
              <w:autoSpaceDE w:val="0"/>
              <w:autoSpaceDN w:val="0"/>
              <w:adjustRightInd w:val="0"/>
              <w:snapToGrid w:val="0"/>
              <w:spacing w:line="360" w:lineRule="auto"/>
              <w:ind w:firstLine="480"/>
              <w:rPr>
                <w:rFonts w:hint="default" w:ascii="Times New Roman"/>
                <w:color w:val="auto"/>
                <w:kern w:val="2"/>
                <w:szCs w:val="24"/>
                <w:highlight w:val="none"/>
                <w:u w:val="none"/>
              </w:rPr>
            </w:pPr>
            <w:r>
              <w:rPr>
                <w:rFonts w:hint="default" w:ascii="Times New Roman" w:hAnsi="Times New Roman" w:cs="Times New Roman"/>
                <w:color w:val="auto"/>
                <w:u w:val="none"/>
              </w:rPr>
              <w:drawing>
                <wp:inline distT="0" distB="0" distL="114300" distR="114300">
                  <wp:extent cx="1752600" cy="504825"/>
                  <wp:effectExtent l="0" t="0" r="0" b="952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35"/>
                          <a:stretch>
                            <a:fillRect/>
                          </a:stretch>
                        </pic:blipFill>
                        <pic:spPr>
                          <a:xfrm>
                            <a:off x="0" y="0"/>
                            <a:ext cx="1752600" cy="504825"/>
                          </a:xfrm>
                          <a:prstGeom prst="rect">
                            <a:avLst/>
                          </a:prstGeom>
                          <a:noFill/>
                          <a:ln>
                            <a:noFill/>
                          </a:ln>
                        </pic:spPr>
                      </pic:pic>
                    </a:graphicData>
                  </a:graphic>
                </wp:inline>
              </w:drawing>
            </w:r>
          </w:p>
          <w:p>
            <w:pPr>
              <w:pStyle w:val="77"/>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default" w:ascii="Times New Roman" w:hAnsi="Times New Roman" w:cs="Times New Roman"/>
                <w:color w:val="auto"/>
                <w:u w:val="none"/>
              </w:rPr>
            </w:pPr>
            <w:r>
              <w:rPr>
                <w:rFonts w:hint="default" w:ascii="Times New Roman" w:hAnsi="Times New Roman" w:cs="Times New Roman"/>
                <w:color w:val="auto"/>
                <w:u w:val="none"/>
              </w:rPr>
              <w:t>式中：q</w:t>
            </w:r>
            <w:r>
              <w:rPr>
                <w:rFonts w:hint="default" w:ascii="Times New Roman" w:hAnsi="Times New Roman" w:cs="Times New Roman"/>
                <w:color w:val="auto"/>
                <w:u w:val="none"/>
                <w:vertAlign w:val="subscript"/>
              </w:rPr>
              <w:t>1</w:t>
            </w:r>
            <w:r>
              <w:rPr>
                <w:rFonts w:hint="default" w:ascii="Times New Roman" w:hAnsi="Times New Roman" w:cs="Times New Roman"/>
                <w:color w:val="auto"/>
                <w:u w:val="none"/>
              </w:rPr>
              <w:t>，q</w:t>
            </w:r>
            <w:r>
              <w:rPr>
                <w:rFonts w:hint="default" w:ascii="Times New Roman" w:hAnsi="Times New Roman" w:cs="Times New Roman"/>
                <w:color w:val="auto"/>
                <w:u w:val="none"/>
                <w:vertAlign w:val="subscript"/>
              </w:rPr>
              <w:t>2</w:t>
            </w:r>
            <w:r>
              <w:rPr>
                <w:rFonts w:hint="default" w:ascii="Times New Roman" w:hAnsi="Times New Roman" w:cs="Times New Roman"/>
                <w:color w:val="auto"/>
                <w:u w:val="none"/>
              </w:rPr>
              <w:t>，...，q</w:t>
            </w:r>
            <w:r>
              <w:rPr>
                <w:rFonts w:hint="default" w:ascii="Times New Roman" w:hAnsi="Times New Roman" w:cs="Times New Roman"/>
                <w:color w:val="auto"/>
                <w:u w:val="none"/>
                <w:vertAlign w:val="subscript"/>
              </w:rPr>
              <w:t>n</w:t>
            </w:r>
            <w:r>
              <w:rPr>
                <w:rFonts w:hint="default" w:ascii="Times New Roman" w:hAnsi="Times New Roman" w:cs="Times New Roman"/>
                <w:color w:val="auto"/>
                <w:u w:val="none"/>
              </w:rPr>
              <w:t>——每种危险物质的最大存在总量，t；</w:t>
            </w:r>
          </w:p>
          <w:p>
            <w:pPr>
              <w:pStyle w:val="77"/>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default" w:ascii="Times New Roman" w:hAnsi="Times New Roman" w:cs="Times New Roman"/>
                <w:color w:val="auto"/>
                <w:u w:val="none"/>
              </w:rPr>
            </w:pPr>
            <w:r>
              <w:rPr>
                <w:rFonts w:hint="default" w:ascii="Times New Roman" w:hAnsi="Times New Roman" w:cs="Times New Roman"/>
                <w:color w:val="auto"/>
                <w:u w:val="none"/>
              </w:rPr>
              <w:t xml:space="preserve">      Q</w:t>
            </w:r>
            <w:r>
              <w:rPr>
                <w:rFonts w:hint="default" w:ascii="Times New Roman" w:hAnsi="Times New Roman" w:cs="Times New Roman"/>
                <w:color w:val="auto"/>
                <w:u w:val="none"/>
                <w:vertAlign w:val="subscript"/>
              </w:rPr>
              <w:t>1</w:t>
            </w:r>
            <w:r>
              <w:rPr>
                <w:rFonts w:hint="default" w:ascii="Times New Roman" w:hAnsi="Times New Roman" w:cs="Times New Roman"/>
                <w:color w:val="auto"/>
                <w:u w:val="none"/>
              </w:rPr>
              <w:t>，Q</w:t>
            </w:r>
            <w:r>
              <w:rPr>
                <w:rFonts w:hint="default" w:ascii="Times New Roman" w:hAnsi="Times New Roman" w:cs="Times New Roman"/>
                <w:color w:val="auto"/>
                <w:u w:val="none"/>
                <w:vertAlign w:val="subscript"/>
              </w:rPr>
              <w:t>2</w:t>
            </w:r>
            <w:r>
              <w:rPr>
                <w:rFonts w:hint="default" w:ascii="Times New Roman" w:hAnsi="Times New Roman" w:cs="Times New Roman"/>
                <w:color w:val="auto"/>
                <w:u w:val="none"/>
              </w:rPr>
              <w:t>，...，Q</w:t>
            </w:r>
            <w:r>
              <w:rPr>
                <w:rFonts w:hint="default" w:ascii="Times New Roman" w:hAnsi="Times New Roman" w:cs="Times New Roman"/>
                <w:color w:val="auto"/>
                <w:u w:val="none"/>
                <w:vertAlign w:val="subscript"/>
              </w:rPr>
              <w:t>n</w:t>
            </w:r>
            <w:r>
              <w:rPr>
                <w:rFonts w:hint="default" w:ascii="Times New Roman" w:hAnsi="Times New Roman" w:cs="Times New Roman"/>
                <w:color w:val="auto"/>
                <w:u w:val="none"/>
              </w:rPr>
              <w:t>——每种危险物质的临界量，t；</w:t>
            </w:r>
          </w:p>
          <w:p>
            <w:pPr>
              <w:pStyle w:val="77"/>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default" w:ascii="Times New Roman" w:hAnsi="Times New Roman" w:cs="Times New Roman"/>
                <w:color w:val="auto"/>
                <w:u w:val="none"/>
              </w:rPr>
            </w:pPr>
            <w:r>
              <w:rPr>
                <w:rFonts w:hint="default" w:ascii="Times New Roman" w:hAnsi="Times New Roman" w:cs="Times New Roman"/>
                <w:color w:val="auto"/>
                <w:u w:val="none"/>
              </w:rPr>
              <w:t xml:space="preserve">      当Q＜1时，该项目环境风险潜式为Ⅰ；</w:t>
            </w:r>
          </w:p>
          <w:p>
            <w:pPr>
              <w:pStyle w:val="77"/>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default" w:ascii="Times New Roman" w:hAnsi="Times New Roman" w:cs="Times New Roman"/>
                <w:color w:val="auto"/>
                <w:u w:val="none"/>
              </w:rPr>
            </w:pPr>
            <w:r>
              <w:rPr>
                <w:rFonts w:hint="default" w:ascii="Times New Roman" w:hAnsi="Times New Roman" w:cs="Times New Roman"/>
                <w:color w:val="auto"/>
                <w:u w:val="none"/>
              </w:rPr>
              <w:t xml:space="preserve">      当Q≥1时，将Q值划分为：（1）1≤Q＜10；（2）10≤Q＜100；（3）Q≥100。</w:t>
            </w:r>
          </w:p>
          <w:p>
            <w:pPr>
              <w:keepNext w:val="0"/>
              <w:keepLines w:val="0"/>
              <w:pageBreakBefore w:val="0"/>
              <w:widowControl w:val="0"/>
              <w:kinsoku/>
              <w:wordWrap/>
              <w:overflowPunct/>
              <w:topLinePunct w:val="0"/>
              <w:bidi w:val="0"/>
              <w:adjustRightInd w:val="0"/>
              <w:snapToGrid w:val="0"/>
              <w:spacing w:line="360" w:lineRule="auto"/>
              <w:ind w:firstLine="462" w:firstLineChars="200"/>
              <w:textAlignment w:val="auto"/>
              <w:rPr>
                <w:rFonts w:ascii="宋体" w:hAnsi="宋体" w:cs="宋体"/>
                <w:color w:val="auto"/>
                <w:sz w:val="24"/>
                <w:u w:val="none"/>
              </w:rPr>
            </w:pPr>
            <w:r>
              <w:rPr>
                <w:rFonts w:hint="eastAsia"/>
                <w:color w:val="auto"/>
                <w:sz w:val="24"/>
                <w:u w:val="none"/>
              </w:rPr>
              <w:t>本项目生产过程中使用的原辅材料不涉及危险化学品，则Q</w:t>
            </w:r>
            <w:r>
              <w:rPr>
                <w:rFonts w:hint="eastAsia"/>
                <w:color w:val="auto"/>
                <w:sz w:val="24"/>
                <w:u w:val="none"/>
                <w:lang w:eastAsia="zh-CN"/>
              </w:rPr>
              <w:t>＜</w:t>
            </w:r>
            <w:r>
              <w:rPr>
                <w:rFonts w:hint="eastAsia"/>
                <w:snapToGrid w:val="0"/>
                <w:color w:val="auto"/>
                <w:kern w:val="0"/>
                <w:sz w:val="24"/>
                <w:u w:val="none"/>
              </w:rPr>
              <w:t>1，本项目风险潜势为</w:t>
            </w:r>
            <w:r>
              <w:rPr>
                <w:rFonts w:hint="eastAsia" w:ascii="宋体" w:hAnsi="宋体" w:cs="宋体"/>
                <w:color w:val="auto"/>
                <w:sz w:val="24"/>
                <w:u w:val="none"/>
              </w:rPr>
              <w:t>Ⅰ。</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cs="Times New Roman"/>
                <w:b/>
                <w:bCs/>
                <w:color w:val="auto"/>
                <w:sz w:val="24"/>
                <w:szCs w:val="24"/>
                <w:u w:val="none"/>
                <w:lang w:val="en-US" w:eastAsia="zh-CN"/>
              </w:rPr>
            </w:pPr>
            <w:r>
              <w:rPr>
                <w:rFonts w:hint="eastAsia" w:cs="Times New Roman"/>
                <w:b/>
                <w:bCs/>
                <w:color w:val="auto"/>
                <w:sz w:val="24"/>
                <w:szCs w:val="24"/>
                <w:u w:val="none"/>
                <w:lang w:val="en-US" w:eastAsia="zh-CN"/>
              </w:rPr>
              <w:t>7.4.3</w:t>
            </w:r>
            <w:r>
              <w:rPr>
                <w:rFonts w:hint="default" w:ascii="Times New Roman" w:hAnsi="Times New Roman" w:cs="Times New Roman"/>
                <w:b/>
                <w:bCs/>
                <w:color w:val="auto"/>
                <w:sz w:val="24"/>
                <w:szCs w:val="24"/>
                <w:u w:val="none"/>
                <w:lang w:val="en-US" w:eastAsia="zh-CN"/>
              </w:rPr>
              <w:t>评价等级</w:t>
            </w:r>
            <w:r>
              <w:rPr>
                <w:rFonts w:hint="eastAsia" w:cs="Times New Roman"/>
                <w:b/>
                <w:bCs/>
                <w:color w:val="auto"/>
                <w:sz w:val="24"/>
                <w:szCs w:val="24"/>
                <w:u w:val="none"/>
                <w:lang w:val="en-US" w:eastAsia="zh-CN"/>
              </w:rPr>
              <w:t>确定</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建设项目环境风险评价工作等级划分见表</w:t>
            </w:r>
            <w:r>
              <w:rPr>
                <w:rFonts w:hint="eastAsia" w:ascii="Times New Roman" w:hAnsi="Times New Roman" w:cs="Times New Roman"/>
                <w:color w:val="auto"/>
                <w:sz w:val="24"/>
                <w:szCs w:val="24"/>
                <w:u w:val="none"/>
                <w:lang w:val="en-US" w:eastAsia="zh-CN"/>
              </w:rPr>
              <w:t>7-29</w:t>
            </w:r>
            <w:r>
              <w:rPr>
                <w:rFonts w:hint="default" w:ascii="Times New Roman" w:hAnsi="Times New Roman" w:cs="Times New Roman"/>
                <w:color w:val="auto"/>
                <w:sz w:val="24"/>
                <w:szCs w:val="24"/>
                <w:u w:val="none"/>
                <w:lang w:val="en-US" w:eastAsia="zh-CN"/>
              </w:rPr>
              <w:t>。</w:t>
            </w:r>
          </w:p>
          <w:p>
            <w:pPr>
              <w:pStyle w:val="77"/>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480"/>
              <w:jc w:val="center"/>
              <w:textAlignment w:val="auto"/>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表</w:t>
            </w:r>
            <w:r>
              <w:rPr>
                <w:rFonts w:hint="eastAsia" w:cs="Times New Roman"/>
                <w:b/>
                <w:bCs/>
                <w:color w:val="auto"/>
                <w:sz w:val="21"/>
                <w:szCs w:val="21"/>
                <w:u w:val="none"/>
                <w:lang w:val="en-US" w:eastAsia="zh-CN"/>
              </w:rPr>
              <w:t xml:space="preserve">7-29 </w:t>
            </w:r>
            <w:r>
              <w:rPr>
                <w:rFonts w:hint="eastAsia" w:ascii="Times New Roman" w:hAnsi="Times New Roman" w:eastAsia="宋体" w:cs="Times New Roman"/>
                <w:b/>
                <w:bCs/>
                <w:color w:val="auto"/>
                <w:sz w:val="21"/>
                <w:szCs w:val="21"/>
                <w:u w:val="none"/>
                <w:lang w:val="en-US" w:eastAsia="zh-CN"/>
              </w:rPr>
              <w:t xml:space="preserve"> </w:t>
            </w:r>
            <w:r>
              <w:rPr>
                <w:rFonts w:hint="default" w:ascii="Times New Roman" w:hAnsi="Times New Roman" w:eastAsia="宋体" w:cs="Times New Roman"/>
                <w:b/>
                <w:bCs/>
                <w:color w:val="auto"/>
                <w:sz w:val="21"/>
                <w:szCs w:val="21"/>
                <w:u w:val="none"/>
                <w:lang w:val="en-US" w:eastAsia="zh-CN"/>
              </w:rPr>
              <w:t>评价工作级别划分</w:t>
            </w:r>
          </w:p>
          <w:tbl>
            <w:tblPr>
              <w:tblStyle w:val="2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845"/>
              <w:gridCol w:w="1949"/>
              <w:gridCol w:w="1649"/>
              <w:gridCol w:w="17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17" w:type="pct"/>
                  <w:tcBorders>
                    <w:tl2br w:val="nil"/>
                    <w:tr2bl w:val="nil"/>
                  </w:tcBorders>
                  <w:noWrap w:val="0"/>
                  <w:vAlign w:val="center"/>
                </w:tcPr>
                <w:p>
                  <w:pPr>
                    <w:pStyle w:val="77"/>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环境风险潜势</w:t>
                  </w:r>
                </w:p>
              </w:tc>
              <w:tc>
                <w:tcPr>
                  <w:tcW w:w="1017" w:type="pct"/>
                  <w:tcBorders>
                    <w:tl2br w:val="nil"/>
                    <w:tr2bl w:val="nil"/>
                  </w:tcBorders>
                  <w:noWrap w:val="0"/>
                  <w:vAlign w:val="center"/>
                </w:tcPr>
                <w:p>
                  <w:pPr>
                    <w:pStyle w:val="77"/>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center"/>
                    <w:textAlignment w:val="auto"/>
                    <w:rPr>
                      <w:rFonts w:hint="default" w:ascii="Times New Roman" w:hAnsi="Times New Roman" w:eastAsia="宋体" w:cs="Times New Roman"/>
                      <w:b w:val="0"/>
                      <w:bCs w:val="0"/>
                      <w:color w:val="auto"/>
                      <w:sz w:val="21"/>
                      <w:szCs w:val="21"/>
                      <w:u w:val="none"/>
                      <w:vertAlign w:val="subscript"/>
                      <w:lang w:val="en-US" w:eastAsia="zh-CN"/>
                    </w:rPr>
                  </w:pPr>
                  <w:r>
                    <w:rPr>
                      <w:rFonts w:hint="default" w:ascii="Times New Roman" w:hAnsi="Times New Roman" w:eastAsia="宋体" w:cs="Times New Roman"/>
                      <w:b w:val="0"/>
                      <w:bCs w:val="0"/>
                      <w:color w:val="auto"/>
                      <w:sz w:val="21"/>
                      <w:szCs w:val="21"/>
                      <w:u w:val="none"/>
                      <w:lang w:val="en-US" w:eastAsia="zh-CN"/>
                    </w:rPr>
                    <w:t>Ⅳ、Ⅳ</w:t>
                  </w:r>
                  <w:r>
                    <w:rPr>
                      <w:rFonts w:hint="default" w:ascii="Times New Roman" w:hAnsi="Times New Roman" w:eastAsia="宋体" w:cs="Times New Roman"/>
                      <w:b w:val="0"/>
                      <w:bCs w:val="0"/>
                      <w:color w:val="auto"/>
                      <w:sz w:val="21"/>
                      <w:szCs w:val="21"/>
                      <w:u w:val="none"/>
                      <w:vertAlign w:val="superscript"/>
                      <w:lang w:val="en-US" w:eastAsia="zh-CN"/>
                    </w:rPr>
                    <w:t>+</w:t>
                  </w:r>
                </w:p>
              </w:tc>
              <w:tc>
                <w:tcPr>
                  <w:tcW w:w="1074" w:type="pct"/>
                  <w:tcBorders>
                    <w:tl2br w:val="nil"/>
                    <w:tr2bl w:val="nil"/>
                  </w:tcBorders>
                  <w:noWrap w:val="0"/>
                  <w:vAlign w:val="center"/>
                </w:tcPr>
                <w:p>
                  <w:pPr>
                    <w:pStyle w:val="77"/>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lang w:val="en-US" w:eastAsia="zh-CN"/>
                    </w:rPr>
                    <w:t>Ⅲ</w:t>
                  </w:r>
                </w:p>
              </w:tc>
              <w:tc>
                <w:tcPr>
                  <w:tcW w:w="909" w:type="pct"/>
                  <w:tcBorders>
                    <w:tl2br w:val="nil"/>
                    <w:tr2bl w:val="nil"/>
                  </w:tcBorders>
                  <w:noWrap w:val="0"/>
                  <w:vAlign w:val="center"/>
                </w:tcPr>
                <w:p>
                  <w:pPr>
                    <w:pStyle w:val="77"/>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lang w:val="en-US" w:eastAsia="zh-CN"/>
                    </w:rPr>
                    <w:t>Ⅱ</w:t>
                  </w:r>
                </w:p>
              </w:tc>
              <w:tc>
                <w:tcPr>
                  <w:tcW w:w="980" w:type="pct"/>
                  <w:tcBorders>
                    <w:tl2br w:val="nil"/>
                    <w:tr2bl w:val="nil"/>
                  </w:tcBorders>
                  <w:noWrap w:val="0"/>
                  <w:vAlign w:val="center"/>
                </w:tcPr>
                <w:p>
                  <w:pPr>
                    <w:pStyle w:val="77"/>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lang w:val="en-US" w:eastAsia="zh-CN"/>
                    </w:rPr>
                    <w:t>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017" w:type="pct"/>
                  <w:tcBorders>
                    <w:tl2br w:val="nil"/>
                    <w:tr2bl w:val="nil"/>
                  </w:tcBorders>
                  <w:noWrap w:val="0"/>
                  <w:vAlign w:val="center"/>
                </w:tcPr>
                <w:p>
                  <w:pPr>
                    <w:pStyle w:val="77"/>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评价工作等级</w:t>
                  </w:r>
                </w:p>
              </w:tc>
              <w:tc>
                <w:tcPr>
                  <w:tcW w:w="1017" w:type="pct"/>
                  <w:tcBorders>
                    <w:tl2br w:val="nil"/>
                    <w:tr2bl w:val="nil"/>
                  </w:tcBorders>
                  <w:noWrap w:val="0"/>
                  <w:vAlign w:val="center"/>
                </w:tcPr>
                <w:p>
                  <w:pPr>
                    <w:pStyle w:val="77"/>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一</w:t>
                  </w:r>
                </w:p>
              </w:tc>
              <w:tc>
                <w:tcPr>
                  <w:tcW w:w="1074" w:type="pct"/>
                  <w:tcBorders>
                    <w:tl2br w:val="nil"/>
                    <w:tr2bl w:val="nil"/>
                  </w:tcBorders>
                  <w:noWrap w:val="0"/>
                  <w:vAlign w:val="center"/>
                </w:tcPr>
                <w:p>
                  <w:pPr>
                    <w:pStyle w:val="77"/>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二</w:t>
                  </w:r>
                </w:p>
              </w:tc>
              <w:tc>
                <w:tcPr>
                  <w:tcW w:w="909" w:type="pct"/>
                  <w:tcBorders>
                    <w:tl2br w:val="nil"/>
                    <w:tr2bl w:val="nil"/>
                  </w:tcBorders>
                  <w:noWrap w:val="0"/>
                  <w:vAlign w:val="center"/>
                </w:tcPr>
                <w:p>
                  <w:pPr>
                    <w:pStyle w:val="77"/>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三</w:t>
                  </w:r>
                </w:p>
              </w:tc>
              <w:tc>
                <w:tcPr>
                  <w:tcW w:w="980" w:type="pct"/>
                  <w:tcBorders>
                    <w:tl2br w:val="nil"/>
                    <w:tr2bl w:val="nil"/>
                  </w:tcBorders>
                  <w:noWrap w:val="0"/>
                  <w:vAlign w:val="center"/>
                </w:tcPr>
                <w:p>
                  <w:pPr>
                    <w:pStyle w:val="77"/>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center"/>
                    <w:textAlignment w:val="auto"/>
                    <w:rPr>
                      <w:rFonts w:hint="default" w:ascii="Times New Roman" w:hAnsi="Times New Roman" w:eastAsia="宋体" w:cs="Times New Roman"/>
                      <w:b w:val="0"/>
                      <w:bCs w:val="0"/>
                      <w:color w:val="auto"/>
                      <w:sz w:val="21"/>
                      <w:szCs w:val="21"/>
                      <w:u w:val="none"/>
                      <w:vertAlign w:val="superscript"/>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简单分析</w:t>
                  </w:r>
                  <w:r>
                    <w:rPr>
                      <w:rFonts w:hint="default" w:ascii="Times New Roman" w:hAnsi="Times New Roman" w:eastAsia="宋体" w:cs="Times New Roman"/>
                      <w:b w:val="0"/>
                      <w:bCs w:val="0"/>
                      <w:color w:val="auto"/>
                      <w:sz w:val="21"/>
                      <w:szCs w:val="21"/>
                      <w:u w:val="none"/>
                      <w:vertAlign w:val="superscript"/>
                      <w:lang w:val="en-US" w:eastAsia="zh-CN"/>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5"/>
                  <w:tcBorders>
                    <w:tl2br w:val="nil"/>
                    <w:tr2bl w:val="nil"/>
                  </w:tcBorders>
                  <w:noWrap w:val="0"/>
                  <w:vAlign w:val="center"/>
                </w:tcPr>
                <w:p>
                  <w:pPr>
                    <w:pStyle w:val="77"/>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superscript"/>
                      <w:lang w:val="en-US" w:eastAsia="zh-CN"/>
                    </w:rPr>
                    <w:t xml:space="preserve">a </w:t>
                  </w:r>
                  <w:r>
                    <w:rPr>
                      <w:rFonts w:hint="default" w:ascii="Times New Roman" w:hAnsi="Times New Roman" w:eastAsia="宋体" w:cs="Times New Roman"/>
                      <w:b w:val="0"/>
                      <w:bCs w:val="0"/>
                      <w:color w:val="auto"/>
                      <w:sz w:val="21"/>
                      <w:szCs w:val="21"/>
                      <w:u w:val="none"/>
                      <w:vertAlign w:val="baseline"/>
                      <w:lang w:val="en-US" w:eastAsia="zh-CN"/>
                    </w:rPr>
                    <w:t>是相对于详细评价工作内容而言，在描述危险物质、环境影响途径、环境危害后果、风险防范措施等方面给出定性的说明。</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auto"/>
                <w:kern w:val="0"/>
                <w:sz w:val="24"/>
                <w:szCs w:val="22"/>
                <w:u w:val="none"/>
                <w:lang w:val="en-US" w:eastAsia="zh-CN"/>
              </w:rPr>
            </w:pPr>
            <w:r>
              <w:rPr>
                <w:rFonts w:hint="eastAsia" w:ascii="Times New Roman" w:hAnsi="Times New Roman" w:eastAsia="宋体" w:cs="Times New Roman"/>
                <w:color w:val="auto"/>
                <w:kern w:val="0"/>
                <w:sz w:val="24"/>
                <w:szCs w:val="22"/>
                <w:u w:val="none"/>
                <w:lang w:val="en-US" w:eastAsia="zh-CN"/>
              </w:rPr>
              <w:t>根</w:t>
            </w:r>
            <w:r>
              <w:rPr>
                <w:rFonts w:hint="default" w:ascii="Times New Roman" w:hAnsi="Times New Roman" w:eastAsia="宋体" w:cs="Times New Roman"/>
                <w:color w:val="auto"/>
                <w:kern w:val="0"/>
                <w:sz w:val="24"/>
                <w:szCs w:val="22"/>
                <w:u w:val="none"/>
                <w:lang w:val="en-US" w:eastAsia="zh-CN"/>
              </w:rPr>
              <w:t>据表7-29，本项目环境风险潜势为Ⅰ，</w:t>
            </w:r>
            <w:r>
              <w:rPr>
                <w:rFonts w:hint="eastAsia" w:ascii="Times New Roman" w:hAnsi="Times New Roman" w:eastAsia="宋体" w:cs="Times New Roman"/>
                <w:color w:val="auto"/>
                <w:kern w:val="0"/>
                <w:sz w:val="24"/>
                <w:szCs w:val="22"/>
                <w:u w:val="none"/>
                <w:lang w:val="en-US" w:eastAsia="zh-CN"/>
              </w:rPr>
              <w:t>确定本项目环境风险评价等级为简单分析。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b/>
                <w:bCs/>
                <w:color w:val="auto"/>
                <w:kern w:val="0"/>
                <w:sz w:val="24"/>
                <w:szCs w:val="22"/>
                <w:u w:val="none"/>
                <w:lang w:val="en-US" w:eastAsia="zh-CN"/>
              </w:rPr>
            </w:pPr>
            <w:r>
              <w:rPr>
                <w:rFonts w:hint="eastAsia" w:ascii="Times New Roman" w:hAnsi="Times New Roman" w:eastAsia="宋体" w:cs="Times New Roman"/>
                <w:b/>
                <w:bCs/>
                <w:color w:val="auto"/>
                <w:kern w:val="0"/>
                <w:sz w:val="24"/>
                <w:szCs w:val="22"/>
                <w:u w:val="none"/>
                <w:lang w:val="en-US" w:eastAsia="zh-CN"/>
              </w:rPr>
              <w:t>7.4.4风险识别</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auto"/>
                <w:kern w:val="0"/>
                <w:sz w:val="24"/>
                <w:szCs w:val="22"/>
                <w:u w:val="none"/>
                <w:lang w:val="en-US" w:eastAsia="zh-CN"/>
              </w:rPr>
            </w:pPr>
            <w:r>
              <w:rPr>
                <w:rFonts w:hint="eastAsia" w:ascii="Times New Roman" w:hAnsi="Times New Roman" w:eastAsia="宋体" w:cs="Times New Roman"/>
                <w:color w:val="auto"/>
                <w:kern w:val="0"/>
                <w:sz w:val="24"/>
                <w:szCs w:val="22"/>
                <w:u w:val="none"/>
                <w:lang w:val="en-US" w:eastAsia="zh-CN"/>
              </w:rPr>
              <w:t>（1）风险物质识别</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auto"/>
                <w:kern w:val="0"/>
                <w:sz w:val="24"/>
                <w:szCs w:val="22"/>
                <w:u w:val="none"/>
                <w:lang w:val="en-US" w:eastAsia="zh-CN"/>
              </w:rPr>
            </w:pPr>
            <w:r>
              <w:rPr>
                <w:rFonts w:hint="default" w:ascii="Times New Roman" w:hAnsi="Times New Roman" w:eastAsia="宋体" w:cs="Times New Roman"/>
                <w:color w:val="auto"/>
                <w:kern w:val="0"/>
                <w:sz w:val="24"/>
                <w:szCs w:val="22"/>
                <w:u w:val="none"/>
                <w:lang w:val="en-US" w:eastAsia="zh-CN"/>
              </w:rPr>
              <w:t>根据《建设项目环境风险评价技术导则》（HJ/T169-2018）可知，环境风险评价的目的是分析和预测建设项目存在的潜在危险、有害因素，建设项目的建设和运行期间可能发生的突发性事件或事故（一般不包括人为破坏及自然灾害），引起有毒有害和易燃易爆等物质泄露，所造成的人身安全与环境影响和损害程度，提出合理可行的防范、应急与减缓措施，以使建设项目事故率、损失和环境影响达到可接收的水平。</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auto"/>
                <w:kern w:val="0"/>
                <w:sz w:val="24"/>
                <w:szCs w:val="22"/>
                <w:u w:val="none"/>
                <w:lang w:val="en-US" w:eastAsia="zh-CN"/>
              </w:rPr>
            </w:pPr>
            <w:r>
              <w:rPr>
                <w:rFonts w:hint="eastAsia" w:ascii="Times New Roman" w:hAnsi="Times New Roman" w:eastAsia="宋体" w:cs="Times New Roman"/>
                <w:color w:val="auto"/>
                <w:kern w:val="0"/>
                <w:sz w:val="24"/>
                <w:szCs w:val="22"/>
                <w:u w:val="none"/>
                <w:lang w:val="en-US" w:eastAsia="zh-CN"/>
              </w:rPr>
              <w:t>本项目为污水处理厂工程，根据《危险化学品重大危险源辨识》（GB18218-2018）中所列的危险化学品，本项目所使用的原辅材料均不属于危险化学品，因此，本项目的生产不属于重大危险源。</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auto"/>
                <w:kern w:val="0"/>
                <w:sz w:val="24"/>
                <w:szCs w:val="22"/>
                <w:u w:val="none"/>
                <w:lang w:val="en-US" w:eastAsia="zh-CN"/>
              </w:rPr>
            </w:pPr>
            <w:r>
              <w:rPr>
                <w:rFonts w:hint="eastAsia" w:ascii="Times New Roman" w:hAnsi="Times New Roman" w:eastAsia="宋体" w:cs="Times New Roman"/>
                <w:color w:val="auto"/>
                <w:kern w:val="0"/>
                <w:sz w:val="24"/>
                <w:szCs w:val="22"/>
                <w:u w:val="none"/>
                <w:lang w:val="en-US" w:eastAsia="zh-CN"/>
              </w:rPr>
              <w:t>（2）废水处理设施故障</w:t>
            </w:r>
            <w:r>
              <w:rPr>
                <w:rFonts w:hint="default" w:ascii="Times New Roman" w:hAnsi="Times New Roman" w:eastAsia="宋体" w:cs="Times New Roman"/>
                <w:color w:val="auto"/>
                <w:kern w:val="0"/>
                <w:sz w:val="24"/>
                <w:szCs w:val="22"/>
                <w:u w:val="none"/>
                <w:lang w:val="en-US" w:eastAsia="zh-CN"/>
              </w:rPr>
              <w:t>发生时可能产生的环境风险分析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①</w:t>
            </w:r>
            <w:r>
              <w:rPr>
                <w:rFonts w:hint="default" w:ascii="Times New Roman" w:hAnsi="Times New Roman" w:eastAsia="宋体" w:cs="Times New Roman"/>
                <w:color w:val="auto"/>
                <w:kern w:val="0"/>
                <w:sz w:val="24"/>
                <w:szCs w:val="22"/>
                <w:u w:val="none"/>
                <w:lang w:val="en-US" w:eastAsia="zh-CN"/>
              </w:rPr>
              <w:t>污水</w:t>
            </w:r>
            <w:r>
              <w:rPr>
                <w:rFonts w:hint="eastAsia" w:ascii="Times New Roman" w:hAnsi="Times New Roman" w:eastAsia="宋体" w:cs="Times New Roman"/>
                <w:color w:val="auto"/>
                <w:kern w:val="0"/>
                <w:sz w:val="24"/>
                <w:szCs w:val="22"/>
                <w:u w:val="none"/>
                <w:lang w:val="en-US" w:eastAsia="zh-CN"/>
              </w:rPr>
              <w:t>处理</w:t>
            </w:r>
            <w:r>
              <w:rPr>
                <w:rFonts w:hint="default" w:ascii="Times New Roman" w:hAnsi="Times New Roman" w:eastAsia="宋体" w:cs="Times New Roman"/>
                <w:color w:val="auto"/>
                <w:kern w:val="0"/>
                <w:sz w:val="24"/>
                <w:szCs w:val="22"/>
                <w:u w:val="none"/>
                <w:lang w:val="en-US" w:eastAsia="zh-CN"/>
              </w:rPr>
              <w:t>工程因设备故障或停电</w:t>
            </w:r>
            <w:r>
              <w:rPr>
                <w:rFonts w:hint="eastAsia" w:ascii="Times New Roman" w:hAnsi="Times New Roman" w:eastAsia="宋体" w:cs="Times New Roman"/>
                <w:color w:val="auto"/>
                <w:kern w:val="0"/>
                <w:sz w:val="24"/>
                <w:szCs w:val="22"/>
                <w:u w:val="none"/>
                <w:lang w:val="en-US" w:eastAsia="zh-CN"/>
              </w:rPr>
              <w:t>导致</w:t>
            </w:r>
            <w:r>
              <w:rPr>
                <w:rFonts w:hint="default" w:ascii="Times New Roman" w:hAnsi="Times New Roman" w:eastAsia="宋体" w:cs="Times New Roman"/>
                <w:color w:val="auto"/>
                <w:kern w:val="0"/>
                <w:sz w:val="24"/>
                <w:szCs w:val="22"/>
                <w:u w:val="none"/>
                <w:lang w:val="en-US" w:eastAsia="zh-CN"/>
              </w:rPr>
              <w:t>部分或全部</w:t>
            </w:r>
            <w:r>
              <w:rPr>
                <w:rFonts w:hint="eastAsia" w:ascii="Times New Roman" w:hAnsi="Times New Roman" w:eastAsia="宋体" w:cs="Times New Roman"/>
                <w:color w:val="auto"/>
                <w:kern w:val="0"/>
                <w:sz w:val="24"/>
                <w:szCs w:val="22"/>
                <w:u w:val="none"/>
                <w:lang w:val="en-US" w:eastAsia="zh-CN"/>
              </w:rPr>
              <w:t>污水</w:t>
            </w:r>
            <w:r>
              <w:rPr>
                <w:rFonts w:hint="default" w:ascii="Times New Roman" w:hAnsi="Times New Roman" w:eastAsia="宋体" w:cs="Times New Roman"/>
                <w:color w:val="auto"/>
                <w:kern w:val="0"/>
                <w:sz w:val="24"/>
                <w:szCs w:val="22"/>
                <w:u w:val="none"/>
                <w:lang w:val="en-US" w:eastAsia="zh-CN"/>
              </w:rPr>
              <w:t>未经处理直接排放，最大排放量为全部</w:t>
            </w:r>
            <w:r>
              <w:rPr>
                <w:rFonts w:hint="eastAsia" w:ascii="Times New Roman" w:hAnsi="Times New Roman" w:eastAsia="宋体" w:cs="Times New Roman"/>
                <w:color w:val="auto"/>
                <w:kern w:val="0"/>
                <w:sz w:val="24"/>
                <w:szCs w:val="22"/>
                <w:u w:val="none"/>
                <w:lang w:val="en-US" w:eastAsia="zh-CN"/>
              </w:rPr>
              <w:t>进</w:t>
            </w:r>
            <w:r>
              <w:rPr>
                <w:rFonts w:hint="default" w:ascii="Times New Roman" w:hAnsi="Times New Roman" w:eastAsia="宋体" w:cs="Times New Roman"/>
                <w:color w:val="auto"/>
                <w:kern w:val="0"/>
                <w:sz w:val="24"/>
                <w:szCs w:val="22"/>
                <w:u w:val="none"/>
                <w:lang w:val="en-US" w:eastAsia="zh-CN"/>
              </w:rPr>
              <w:t>数量</w:t>
            </w:r>
            <w:r>
              <w:rPr>
                <w:rFonts w:hint="eastAsia" w:ascii="Times New Roman" w:hAnsi="Times New Roman" w:eastAsia="宋体" w:cs="Times New Roman"/>
                <w:color w:val="auto"/>
                <w:kern w:val="0"/>
                <w:sz w:val="24"/>
                <w:szCs w:val="22"/>
                <w:u w:val="none"/>
                <w:lang w:val="en-US" w:eastAsia="zh-CN"/>
              </w:rPr>
              <w:t>，</w:t>
            </w:r>
            <w:r>
              <w:rPr>
                <w:rFonts w:hint="default" w:ascii="Times New Roman" w:hAnsi="Times New Roman" w:eastAsia="宋体" w:cs="Times New Roman"/>
                <w:color w:val="auto"/>
                <w:kern w:val="0"/>
                <w:sz w:val="24"/>
                <w:szCs w:val="22"/>
                <w:u w:val="none"/>
                <w:lang w:val="en-US" w:eastAsia="zh-CN"/>
              </w:rPr>
              <w:t>在此情况下，排放的污染物浓度</w:t>
            </w:r>
            <w:r>
              <w:rPr>
                <w:rFonts w:hint="eastAsia" w:ascii="Times New Roman" w:hAnsi="Times New Roman" w:eastAsia="宋体" w:cs="Times New Roman"/>
                <w:color w:val="auto"/>
                <w:kern w:val="0"/>
                <w:sz w:val="24"/>
                <w:szCs w:val="22"/>
                <w:u w:val="none"/>
                <w:lang w:val="en-US" w:eastAsia="zh-CN"/>
              </w:rPr>
              <w:t>为</w:t>
            </w:r>
            <w:r>
              <w:rPr>
                <w:rFonts w:hint="default" w:ascii="Times New Roman" w:hAnsi="Times New Roman" w:eastAsia="宋体" w:cs="Times New Roman"/>
                <w:color w:val="auto"/>
                <w:kern w:val="0"/>
                <w:sz w:val="24"/>
                <w:szCs w:val="22"/>
                <w:u w:val="none"/>
                <w:lang w:val="en-US" w:eastAsia="zh-CN"/>
              </w:rPr>
              <w:t>污水处理工程</w:t>
            </w:r>
            <w:r>
              <w:rPr>
                <w:rFonts w:hint="eastAsia" w:ascii="Times New Roman" w:hAnsi="Times New Roman" w:eastAsia="宋体" w:cs="Times New Roman"/>
                <w:color w:val="auto"/>
                <w:kern w:val="0"/>
                <w:sz w:val="24"/>
                <w:szCs w:val="22"/>
                <w:u w:val="none"/>
                <w:lang w:val="en-US" w:eastAsia="zh-CN"/>
              </w:rPr>
              <w:t>进水</w:t>
            </w:r>
            <w:r>
              <w:rPr>
                <w:rFonts w:hint="default" w:ascii="Times New Roman" w:hAnsi="Times New Roman" w:eastAsia="宋体" w:cs="Times New Roman"/>
                <w:color w:val="auto"/>
                <w:kern w:val="0"/>
                <w:sz w:val="24"/>
                <w:szCs w:val="22"/>
                <w:u w:val="none"/>
                <w:lang w:val="en-US" w:eastAsia="zh-CN"/>
              </w:rPr>
              <w:t>浓度。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lang w:val="zh-CN"/>
              </w:rPr>
              <w:t>②排水管道因</w:t>
            </w:r>
            <w:r>
              <w:rPr>
                <w:rFonts w:hint="default" w:ascii="Times New Roman" w:hAnsi="Times New Roman" w:cs="Times New Roman"/>
                <w:color w:val="auto"/>
                <w:sz w:val="24"/>
                <w:szCs w:val="24"/>
                <w:u w:val="none"/>
              </w:rPr>
              <w:t>工人操作失误、地温冷热变化、人为破坏等原因发生破裂或渗漏风险事件。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auto"/>
                <w:kern w:val="0"/>
                <w:sz w:val="24"/>
                <w:szCs w:val="22"/>
                <w:u w:val="none"/>
                <w:lang w:val="en-US" w:eastAsia="zh-CN"/>
              </w:rPr>
            </w:pPr>
            <w:r>
              <w:rPr>
                <w:rFonts w:hint="default" w:ascii="Times New Roman" w:hAnsi="Times New Roman" w:eastAsia="宋体" w:cs="Times New Roman"/>
                <w:color w:val="auto"/>
                <w:kern w:val="0"/>
                <w:sz w:val="24"/>
                <w:szCs w:val="22"/>
                <w:u w:val="none"/>
                <w:lang w:val="en-US" w:eastAsia="zh-CN"/>
              </w:rPr>
              <w:t>③当管线处于非正常运行状态，主要是指发生破裂、断裂等，将从管网中溢出污水可能对地表水或地下水环境造成污染，一旦发生事故，及时向有关部门反映，</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ascii="Times New Roman" w:hAnsi="Times New Roman" w:eastAsia="宋体" w:cs="Times New Roman"/>
                <w:b/>
                <w:bCs/>
                <w:color w:val="auto"/>
                <w:sz w:val="24"/>
                <w:szCs w:val="24"/>
                <w:u w:val="none"/>
                <w:lang w:val="en-US" w:eastAsia="zh-CN"/>
              </w:rPr>
            </w:pPr>
            <w:r>
              <w:rPr>
                <w:rFonts w:hint="eastAsia" w:ascii="Times New Roman" w:hAnsi="Times New Roman" w:cs="Times New Roman"/>
                <w:b/>
                <w:bCs/>
                <w:color w:val="auto"/>
                <w:sz w:val="24"/>
                <w:szCs w:val="24"/>
                <w:u w:val="none"/>
                <w:lang w:val="en-US" w:eastAsia="zh-CN"/>
              </w:rPr>
              <w:t>7.4.5环境风险防范措施</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①污水处理站采用双路供电，水泵设计考虑备用，机械设备采用性能可靠优质产品。</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②为使在事故状态下污水处理站能够迅速恢复正常运行，应在主要水工建筑物的容积上留有相应的缓冲能力，并配有相应的设备（如回流泵、回流管道、阀门及仪表等）。</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③选用优质设备，对污水处理站各种机械电器、仪表等设备，必须选择质量优良、事故率低、便于维修的产品。关键设备应一备一用，易损部件要有备用件，在出现事故时能及时更换。</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④</w:t>
            </w:r>
            <w:r>
              <w:rPr>
                <w:rFonts w:hint="eastAsia"/>
                <w:color w:val="auto"/>
                <w:kern w:val="0"/>
                <w:sz w:val="24"/>
                <w:szCs w:val="24"/>
                <w:u w:val="none"/>
              </w:rPr>
              <w:t>加强管理和设备维护工作，保持设备的完好率和处理的高效率。备用设备或替换下来的设备要及时检修，并定期检查，使其在需要时能及时使用，特别是确保在线检查仪正常使用，防止污水未处理直接流入河道。</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⑤严格控制处理单元的水量、水质、停留时间、负荷强度等工艺参数，确保处理效果的稳定性。配备流量、水质自动分析监控仪器，定期取样监测。操作人员及时调整，使设备处于最佳工况。如发现不正常现象，就需立即采取预防措施。</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⑥建立由污水处理站站长负责制的环境管理机构，从上到下建立起环境目标责任制，规范各部门的运行管理。对工作人员进行必要的审查，组织操作人员进行上岗前的专业培训。组织专业技术人员提前进岗，参与污水处理站施工、安装、调试和验收的全过程，为今后的正常运行管理奠定基础。</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4"/>
                <w:u w:val="none"/>
                <w:lang w:val="zh-CN"/>
              </w:rPr>
            </w:pPr>
            <w:r>
              <w:rPr>
                <w:rFonts w:hint="default" w:ascii="Times New Roman" w:hAnsi="Times New Roman" w:cs="Times New Roman"/>
                <w:color w:val="auto"/>
                <w:sz w:val="24"/>
                <w:szCs w:val="24"/>
                <w:u w:val="none"/>
              </w:rPr>
              <w:t>⑦</w:t>
            </w:r>
            <w:r>
              <w:rPr>
                <w:rFonts w:hint="eastAsia"/>
                <w:color w:val="auto"/>
                <w:kern w:val="0"/>
                <w:sz w:val="24"/>
                <w:szCs w:val="24"/>
                <w:u w:val="none"/>
              </w:rPr>
              <w:t>污水处理厂应针对可能发生事故，建立合适的事故处理程序、机制和措施。一旦发生事故，则采取相应的措施，将事故对环境的影响控制在最小或较小范围。</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4"/>
                <w:u w:val="none"/>
                <w:lang w:val="zh-CN"/>
              </w:rPr>
            </w:pPr>
            <w:r>
              <w:rPr>
                <w:rFonts w:hint="default" w:ascii="Times New Roman" w:hAnsi="Times New Roman" w:eastAsia="宋体" w:cs="Times New Roman"/>
                <w:color w:val="auto"/>
                <w:sz w:val="24"/>
                <w:szCs w:val="24"/>
                <w:u w:val="none"/>
                <w:lang w:val="zh-CN"/>
              </w:rPr>
              <w:t>⑧</w:t>
            </w:r>
            <w:r>
              <w:rPr>
                <w:rFonts w:hint="eastAsia" w:ascii="Times New Roman" w:hAnsi="Times New Roman" w:eastAsia="宋体" w:cs="Times New Roman"/>
                <w:color w:val="auto"/>
                <w:sz w:val="24"/>
                <w:szCs w:val="24"/>
                <w:u w:val="none"/>
                <w:lang w:val="zh-CN"/>
              </w:rPr>
              <w:t>建议建设单位补充建设事故水池，本次评价的事故水池容积核算主要考虑应急时间内排放的水量。应急时间包括电话通知各泵站的时间（包括切泵、停泵、换泵等缓冲时间）。</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cs="Times New Roman"/>
                <w:color w:val="auto"/>
                <w:u w:val="none"/>
              </w:rPr>
            </w:pPr>
            <w:r>
              <w:rPr>
                <w:rFonts w:hint="default" w:ascii="Times New Roman" w:hAnsi="Times New Roman" w:eastAsia="宋体" w:cs="Times New Roman"/>
                <w:color w:val="auto"/>
                <w:sz w:val="24"/>
                <w:szCs w:val="24"/>
                <w:u w:val="none"/>
                <w:lang w:val="zh-CN"/>
              </w:rPr>
              <w:t>⑨</w:t>
            </w:r>
            <w:r>
              <w:rPr>
                <w:rFonts w:hint="eastAsia"/>
                <w:color w:val="auto"/>
                <w:kern w:val="0"/>
                <w:sz w:val="24"/>
                <w:szCs w:val="24"/>
                <w:u w:val="none"/>
              </w:rPr>
              <w:t>设置进水、出水水质自动监测装置及报警装置，设置进厂、出水污水截断装置，党事故发生后，立即截断污水来源和杜绝事故排放，及时发现不良水质进入污水处理厂。对进水口出水口的的废水量、pH、CODcr、氨氮等主要污染因子进行在线监测，同时本环评建议污水处理厂在线监测系统与环保部门联网，一旦发现废水可生化性较低或总排口废水不达标立即报警，同时截断污水来源和杜绝事故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b/>
                <w:bCs/>
                <w:color w:val="auto"/>
                <w:sz w:val="24"/>
                <w:szCs w:val="24"/>
                <w:u w:val="none"/>
              </w:rPr>
            </w:pPr>
            <w:bookmarkStart w:id="11" w:name="_Toc460795752"/>
            <w:bookmarkStart w:id="12" w:name="_Toc523252868"/>
            <w:bookmarkStart w:id="13" w:name="_Toc478805760"/>
            <w:r>
              <w:rPr>
                <w:rFonts w:hint="eastAsia"/>
                <w:b/>
                <w:bCs/>
                <w:color w:val="auto"/>
                <w:sz w:val="24"/>
                <w:szCs w:val="24"/>
                <w:u w:val="none"/>
                <w:lang w:val="en-US" w:eastAsia="zh-CN"/>
              </w:rPr>
              <w:t>7.4.5</w:t>
            </w:r>
            <w:r>
              <w:rPr>
                <w:rFonts w:hint="eastAsia"/>
                <w:b/>
                <w:bCs/>
                <w:color w:val="auto"/>
                <w:sz w:val="24"/>
                <w:szCs w:val="24"/>
                <w:u w:val="none"/>
              </w:rPr>
              <w:t>应急预案</w:t>
            </w:r>
            <w:bookmarkEnd w:id="11"/>
            <w:bookmarkEnd w:id="12"/>
            <w:bookmarkEnd w:id="13"/>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lang w:val="zh-CN"/>
              </w:rPr>
            </w:pPr>
            <w:r>
              <w:rPr>
                <w:color w:val="auto"/>
                <w:sz w:val="24"/>
                <w:szCs w:val="24"/>
                <w:u w:val="none"/>
                <w:lang w:val="zh-CN"/>
              </w:rPr>
              <w:t>依据有关法律、行政法规以及《国家突发公共事件总体应急预案》，制定应急预案。</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lang w:val="zh-CN"/>
              </w:rPr>
            </w:pPr>
            <w:r>
              <w:rPr>
                <w:color w:val="auto"/>
                <w:sz w:val="24"/>
                <w:szCs w:val="24"/>
                <w:u w:val="none"/>
                <w:lang w:val="zh-CN"/>
              </w:rPr>
              <w:t>（1）制定风险事故应急预案的目的</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lang w:val="zh-CN"/>
              </w:rPr>
            </w:pPr>
            <w:r>
              <w:rPr>
                <w:color w:val="auto"/>
                <w:sz w:val="24"/>
                <w:szCs w:val="24"/>
                <w:u w:val="none"/>
                <w:lang w:val="zh-CN"/>
              </w:rPr>
              <w:t>制定风险事故应急预案的目的是为了在发生风险事故时，能以最快的速度发挥最大的效能，有序的实施救援，尽快控制事态的发展，降低事故造成的危害，减少事故造成的损失。</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lang w:val="zh-CN"/>
              </w:rPr>
            </w:pPr>
            <w:r>
              <w:rPr>
                <w:color w:val="auto"/>
                <w:sz w:val="24"/>
                <w:szCs w:val="24"/>
                <w:u w:val="none"/>
                <w:lang w:val="zh-CN"/>
              </w:rPr>
              <w:t>（2）风险事故应急预案的基本要求</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color w:val="auto"/>
                <w:sz w:val="24"/>
                <w:szCs w:val="24"/>
                <w:u w:val="none"/>
                <w:lang w:val="zh-CN"/>
              </w:rPr>
              <w:t>风险事故应急预案的基本要求包括：科学性、实用性和权威性。风险事故的应急救援工作是一项科学性很强的工作，必须开展科学分析和论证，制定严密、统一、完整的应急预案；应急预案应符合项目的客观情况，具有实用、简单、易掌握</w:t>
            </w:r>
            <w:r>
              <w:rPr>
                <w:color w:val="auto"/>
                <w:sz w:val="24"/>
                <w:szCs w:val="24"/>
                <w:lang w:val="zh-CN"/>
              </w:rPr>
              <w:t>等特性，便于实施；对事故处置过程中职责、权限、任务、工作标准、奖励与处罚等做出明确规定，使之成为企业的一项制度，确保其权威性。</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color w:val="auto"/>
                <w:sz w:val="24"/>
                <w:szCs w:val="24"/>
                <w:lang w:val="zh-CN"/>
              </w:rPr>
              <w:t>（3）风险事故处理程序</w:t>
            </w:r>
          </w:p>
          <w:p>
            <w:pPr>
              <w:keepNext w:val="0"/>
              <w:keepLines w:val="0"/>
              <w:pageBreakBefore w:val="0"/>
              <w:widowControl w:val="0"/>
              <w:kinsoku/>
              <w:wordWrap/>
              <w:overflowPunct/>
              <w:topLinePunct w:val="0"/>
              <w:autoSpaceDE/>
              <w:autoSpaceDN/>
              <w:bidi w:val="0"/>
              <w:adjustRightInd w:val="0"/>
              <w:snapToGrid w:val="0"/>
              <w:spacing w:line="360" w:lineRule="auto"/>
              <w:ind w:firstLine="402" w:firstLineChars="200"/>
              <w:textAlignment w:val="auto"/>
              <w:rPr>
                <w:color w:val="auto"/>
                <w:sz w:val="24"/>
                <w:szCs w:val="24"/>
                <w:lang w:val="zh-CN"/>
              </w:rPr>
            </w:pPr>
            <w:r>
              <w:rPr>
                <w:color w:val="auto"/>
                <w:sz w:val="21"/>
                <w:szCs w:val="21"/>
              </w:rPr>
              <w:pict>
                <v:group id="组合 30" o:spid="_x0000_s2338" o:spt="203" style="position:absolute;left:0pt;margin-left:49pt;margin-top:76.8pt;height:303.2pt;width:374.55pt;mso-wrap-distance-bottom:0pt;mso-wrap-distance-top:0pt;z-index:251832320;mso-width-relative:page;mso-height-relative:page;" coordorigin="2100,2148" coordsize="8852,7438" o:gfxdata="UEsDBAoAAAAAAIdO4kAAAAAAAAAAAAAAAAAEAAAAZHJzL1BLAwQUAAAACACHTuJAak2sgNoAAAAL&#10;AQAADwAAAGRycy9kb3ducmV2LnhtbE2PQUvDQBCF74L/YRnBm91NqpKm2RQp6qkItoL0Ns1Ok9Ds&#10;bshuk/bfO5709h7zePO9YnWxnRhpCK13GpKZAkGu8qZ1tYav3dtDBiJEdAY770jDlQKsytubAnPj&#10;J/dJ4zbWgktcyFFDE2OfSxmqhiyGme/J8e3oB4uR7VBLM+DE5baTqVLP0mLr+EODPa0bqk7bs9Xw&#10;PuH0Mk9ex83puL7ud08f35uEtL6/S9QSRKRL/AvDLz6jQ8lMB392JoiO/WPGWyKLRZqC4MQimbM4&#10;aMiUykCWhfy/ofwBUEsDBBQAAAAIAIdO4kB8tlisigkAAEhyAAAOAAAAZHJzL2Uyb0RvYy54bWzt&#10;XUuT20QQvlPFf1DpTqz3wxVvKuySQFWAVAVy19qyLZAlIWnjXU4cKAI3TlzCBY4UR05QwK9JAv+C&#10;7pnRaFaPrNfLWvuYPex6bVmWu7/u6f66p3X33vEqVp6FeRGlyUTV72iqEibTdBYli4n66ScP3vFU&#10;pSiDZBbEaRJO1JOwUO/tvf3W3XU2Do10mcazMFfgJEkxXmcTdVmW2Xg0KqbLcBUUd9IsTODFeZqv&#10;ghL+zRejWR6s4eyreGRomjNap/ksy9NpWBTw7AF9Ud0j55/Pw2n58XxehKUST1S4tpL8zsnvQ/w9&#10;2rsbjBd5kC2jKbuMYIurWAVRAh/KT3UQlIFylEetU62iaZ4W6by8M01Xo3Q+j6Yh+Q7wbXSt8W0e&#10;5ulRRr7LYrxeZFxMINqGnLY+7fSjZ49zJZpNVBPEkwQr0NHrP75++f23CjwB0llnizEc9DDPnmSP&#10;c/bEgv6HX/h4nq/wL3wV5XiiGppneBqc6gQe66bluUzG4XGpTOEAy7N9zYADpnCE6TmWo7MjpktQ&#10;FTmHzk9geVRD0+V77P2eZxv0za5lkldH9UWEROOPihKuc4RXzi90nQG+ilqExcVE+GQZZCHRTIHS&#10;qUSocxG++O31738rumNRGZKj9hMmwGJcgCyVw/WH6QzkHRyVKQFPU5YgPiJI19FsKodKirYOH4US&#10;JLITJJDlRfkwTFcKPpiocZTgZQbj4BmTSjCuDsGnk/RBFMfECOJEWU9U3zZsOPMqA0QUyYK8t0jj&#10;aIbH4TuKfHG4H+fKswAtivzgpcElnDoMkJvM6PNxgu9rqIaKAOFVjA/T2QmRDKiMaIk+ffnqAiBR&#10;xL/64fmrH3999dM3oDEiabwQ0CtCXimP300BuDqVRfYonX5eKEm6vwySRXg/z9P1MgxmACidCEJ4&#10;K/0eG+na1ly4GmI0FeYrXRuahSqB12yTfkQN+EqXTN05+Ls3qfuUik5p8gH56dLk/4uLVVSCv4+j&#10;1UQFNwE/7CPPBEl5fHgMeKrxouQp9eaw+sCDZZp/qSpr8OQA3C+OgjxUlfiDBNWCHwSun/xj2S46&#10;n1x85VB8JUimcKqJWqoKfbhf0uXiKMujxRI+iQIhSe+D2c4j5moqFBO/s1MQm10gdlCsAhJ3DGLT&#10;cskVgNkzty1BjNqQIO5ZOK0uELuDgNgzfYd6Yh/8LpiRAGITHYn0xNITd0Z/sEq3wwkSou7cE0OQ&#10;DOtCXzgB+JYgliDuBDFgow1ifxBPbFqY5QCILdskV1B7Yt02Ad8SxBLEnSB2O0BMiYjde2LDoUk8&#10;ZHgNKkS3NOmJZUy86ImJATaMj2Nkkkuyf4bg85JJrq6DVWBEYEICfCqsrXFYZeMVEdWgFwZnk4Jx&#10;GUTxe8lMKU8yYM7KPAISJoZUH6irYgUZfwgsNDyA7weM1JmkwmDMk9/SrSEssRvpVpnHUfZ+RUcw&#10;+rXWMjKEUssCX4SQQNsBWnFH/KIFyWLDgs3zahnTT6Zb2/YgTUYLdtxGOMSyUtcnKfMVpoNvigFb&#10;LabfPTfTTwz4acOAHcul4YJUMnDvIt87gP3y+sDragUWiwPbe2luyaZGC0R1YmN4OitvXdJajPx4&#10;nswgebpwjQejg4OgWNJaUHFSHKQlXXOuQ/XH4sQ5167Imm+vXW7CptFag30drBvTVqldXs2+lFKs&#10;1cUouwMxyjwFdLTeoEzW9oRYTdb2SEsG1n1bZBzEB7AUDsdjOLpJcpV6zarzR5u+1B+AygL1rStQ&#10;W51k3DCMsld5YsdpBl4iiGWXBeTJlBuRnph6Yk7GCa1CHgnihvPEru43CtQSxKgN2WXRzShbnHUU&#10;QSySyrvrd+Oe2HWNRquQBLEEMfZyd4PY5qSqCGKRPR8AxJ5hk9RSxsQIXWx4pRmK9MQ9IOb0sQhi&#10;sTiwOxDzLouOArXsspDhRL8n5vS4CGKxDDIAiJ02OyGAmCwTkp3A7RYysSOJnc2rACKIxTLPACC2&#10;2zyxAGLJTkh2AsOset+Z3VXs8MRq1gAg7oiJBRBLTyxB3ABxV7HDG6Zix2PiDp5YALH0xBLEDRB3&#10;tc97w1TsOIg7eGIJYkCuZCd62Imuip03TMWuBnGbJ5YgliDuZye6Knb+MBU7DmLPpWYk8MQSxBLE&#10;/SDuqtj5w1TsHA2qzdh+3uaJPeylxK5GU6cBu6TYOii2MHgKkypu44wKh9fs/nn+y79ffffyxV8v&#10;//xZ0f1m2Y4MmLmkCSuOD96f4LfNrhnYdI8ANkxqXf0AjsN5SYa+1HNW8KoXM9apF8w+g+LOfBXD&#10;GCmYkaPY1ZCT08cAd14fY+BB2NUHH0sG9ZBH1eYrIpTeETxXfnCL7CMSmDqHF/4altCs/V2mJVg+&#10;dkejJ29bgm7DFW5mCWQcjjSF2nQ33G4oKy+k8uJ0lQ/9YcqHBnQhEYtoTxpwYPQAMQjYmCX5vj6+&#10;7xbHNl0FRNqXyajB3dVefAd2IXaH6BzGJrCBLNTo2eV9i3v0bzGMeQmx2g0HU7DqfSbb74Yz+DBP&#10;E3Y2whlr7sPwcYf0Je6Gu/AOx+uwjxEGVjZ2mdNd4Mz7bKQ51Eo1wFXHDagkFXJIUFrriynLts4a&#10;Qzn4nAjIozYMxjDpQkntbiqAw0tE3NLE+tBG+urcOm4YoHiiOYsm1rXmqjEzuk5U+obsVs6L7W89&#10;dnhdhGtOLIpspDnR0kzYDUr0ZRsk7K31BduUwB9fB894UwY64JCmU7M6YLj4Vutfc6ADDsEmWnZd&#10;mtzUWnYMllqcEZAN7k5vjJI5nc4MGGaun1fJggE7BhuyaGlao/2fLZW6RtfQK+xwb4puYbha04BF&#10;dnkj59y5rDouM2Cp5YJv7BhqcBaMQGtqWWRON9KyYMGmbtOalm/TdknBOcNdCq7HEnyVg12k1RrL&#10;qsjwbaSvTqusNdcaZ8d8rwGBNi2p9PAcclnFO6yc684h3f1CLqfA+LIqNtBvr2SgDmBfHYbI7cYJ&#10;pmU58mxX0+yQWmyY8rkZIsH18kmFpms1eCHTM8ErX4fs50q73iYvZNAgdUteSIf2D0oMtRXGbPFs&#10;anlwl3ulFdYkhuBeSufNTsha2RwKqmsm3GMJ3agLd1vCUwphTlXeqvoP5GJ5uYPJYAZZ041ehESq&#10;3aivN0gk0wWDvxZuNBjjHZSu/1hf7CI6vUTSe5tt7XI98ABot6ZvNggGRg+aFp2ecYUJhivtcluE&#10;EJ3YeB6F9bjciox3TQhmTrncm37vNnLjPbhdIWliY7dWxPshiv+Tqkt9A8i9/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9CwAAW0NvbnRlbnRf&#10;VHlwZXNdLnhtbFBLAQIUAAoAAAAAAIdO4kAAAAAAAAAAAAAAAAAGAAAAAAAAAAAAEAAAAN8KAABf&#10;cmVscy9QSwECFAAUAAAACACHTuJAihRmPNEAAACUAQAACwAAAAAAAAABACAAAAADCwAAX3JlbHMv&#10;LnJlbHNQSwECFAAKAAAAAACHTuJAAAAAAAAAAAAAAAAABAAAAAAAAAAAABAAAAAAAAAAZHJzL1BL&#10;AQIUABQAAAAIAIdO4kBqTayA2gAAAAsBAAAPAAAAAAAAAAEAIAAAACIAAABkcnMvZG93bnJldi54&#10;bWxQSwECFAAUAAAACACHTuJAfLZYrIoJAABIcgAADgAAAAAAAAABACAAAAApAQAAZHJzL2Uyb0Rv&#10;Yy54bWxQSwUGAAAAAAYABgBZAQAAJQ0AAAAA&#10;">
                  <o:lock v:ext="edit" aspectratio="f"/>
                  <v:line id="直线 164" o:spid="_x0000_s2339" o:spt="20" style="position:absolute;left:2348;top:7605;height:0;width:511;"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path arrowok="t"/>
                    <v:fill on="f" focussize="0,0"/>
                    <v:stroke color="#000000" joinstyle="round"/>
                    <v:imagedata o:title=""/>
                    <o:lock v:ext="edit" aspectratio="f"/>
                  </v:line>
                  <v:shape id="文本框 165" o:spid="_x0000_s2340" o:spt="202" type="#_x0000_t202" style="position:absolute;left:5072;top:2148;height:531;width:2045;" fillcolor="#FFFFFF" filled="t" stroked="t" coordsize="21600,21600" o:gfxdata="UEsDBAoAAAAAAIdO4kAAAAAAAAAAAAAAAAAEAAAAZHJzL1BLAwQUAAAACACHTuJAYMAZwrwAAADb&#10;AAAADwAAAGRycy9kb3ducmV2LnhtbEWPQWsCMRSE74X+h/AKvdVEC7asRg/WghfRrtLzY/PcrG5e&#10;lk10139vBMHjMDPfMNN572pxoTZUnjUMBwoEceFNxaWG/e734xtEiMgGa8+k4UoB5rPXlylmxnf8&#10;R5c8liJBOGSowcbYZFKGwpLDMPANcfIOvnUYk2xLaVrsEtzVcqTUWDqsOC1YbGhhqTjlZ6ehQ7ux&#10;X7zHH7fe9rvjZrk8/Cut39+GagIiUh+f4Ud7ZTR8juD+Jf0AOb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AGcK8AAAA&#10;2wAAAA8AAAAAAAAAAQAgAAAAIgAAAGRycy9kb3ducmV2LnhtbFBLAQIUABQAAAAIAIdO4kAzLwWe&#10;OwAAADkAAAAQAAAAAAAAAAEAIAAAAAsBAABkcnMvc2hhcGV4bWwueG1sUEsFBgAAAAAGAAYAWwEA&#10;ALUDAAAAAA==&#10;">
                    <v:path/>
                    <v:fill on="t" color2="#FFFFFF" focussize="0,0"/>
                    <v:stroke color="#000000" miterlimit="8" joinstyle="miter"/>
                    <v:imagedata o:title=""/>
                    <o:lock v:ext="edit" aspectratio="f"/>
                    <v:textbox inset="0.5mm,1.27mm,0.5mm,1.27mm">
                      <w:txbxContent>
                        <w:p>
                          <w:pPr>
                            <w:tabs>
                              <w:tab w:val="left" w:pos="1021"/>
                            </w:tabs>
                            <w:spacing w:line="320" w:lineRule="exact"/>
                            <w:jc w:val="center"/>
                          </w:pPr>
                          <w:r>
                            <w:rPr>
                              <w:rFonts w:hint="eastAsia"/>
                              <w:spacing w:val="-8"/>
                            </w:rPr>
                            <w:t>企业应急救援中</w:t>
                          </w:r>
                          <w:r>
                            <w:rPr>
                              <w:rFonts w:hint="eastAsia"/>
                            </w:rPr>
                            <w:t>心</w:t>
                          </w:r>
                        </w:p>
                      </w:txbxContent>
                    </v:textbox>
                  </v:shape>
                  <v:shape id="文本框 166" o:spid="_x0000_s2341" o:spt="202" type="#_x0000_t202" style="position:absolute;left:5072;top:3476;height:531;width:2045;" fillcolor="#FFFFFF" filled="t" stroked="t" coordsize="21600,21600" o:gfxdata="UEsDBAoAAAAAAIdO4kAAAAAAAAAAAAAAAAAEAAAAZHJzL1BLAwQUAAAACACHTuJAD4y8Wb0AAADb&#10;AAAADwAAAGRycy9kb3ducmV2LnhtbEWPQWvCQBSE70L/w/IKvemuFbRENx6shV6KNUrPj+xLNpp9&#10;G7Jbk/57t1DocZiZb5jNdnStuFEfGs8a5jMFgrj0puFaw/n0Nn0BESKywdYzafihANv8YbLBzPiB&#10;j3QrYi0ShEOGGmyMXSZlKC05DDPfESev8r3DmGRfS9PjkOCulc9KLaXDhtOCxY52lspr8e00DGgP&#10;dsVnfHUfn+Ppctjvqy+l9dPjXK1BRBrjf/iv/W40LBbw+yX9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jLxZvQAA&#10;ANsAAAAPAAAAAAAAAAEAIAAAACIAAABkcnMvZG93bnJldi54bWxQSwECFAAUAAAACACHTuJAMy8F&#10;njsAAAA5AAAAEAAAAAAAAAABACAAAAAMAQAAZHJzL3NoYXBleG1sLnhtbFBLBQYAAAAABgAGAFsB&#10;AAC2AwAAAAA=&#10;">
                    <v:path/>
                    <v:fill on="t" color2="#FFFFFF" focussize="0,0"/>
                    <v:stroke color="#000000" miterlimit="8" joinstyle="miter"/>
                    <v:imagedata o:title=""/>
                    <o:lock v:ext="edit" aspectratio="f"/>
                    <v:textbox inset="0.5mm,1.27mm,0.5mm,1.27mm">
                      <w:txbxContent>
                        <w:p>
                          <w:pPr>
                            <w:tabs>
                              <w:tab w:val="left" w:pos="1021"/>
                            </w:tabs>
                            <w:spacing w:line="320" w:lineRule="exact"/>
                            <w:jc w:val="center"/>
                          </w:pPr>
                          <w:r>
                            <w:rPr>
                              <w:rFonts w:hint="eastAsia"/>
                            </w:rPr>
                            <w:t>现场应急指挥部</w:t>
                          </w:r>
                        </w:p>
                      </w:txbxContent>
                    </v:textbox>
                  </v:shape>
                  <v:shape id="文本框 167" o:spid="_x0000_s2342" o:spt="202" type="#_x0000_t202" style="position:absolute;left:8396;top:2945;height:531;width:2300;" fillcolor="#FFFFFF" filled="t" stroked="t" coordsize="21600,21600" o:gfxdata="UEsDBAoAAAAAAIdO4kAAAAAAAAAAAAAAAAAEAAAAZHJzL1BLAwQUAAAACACHTuJAgGUkLb0AAADb&#10;AAAADwAAAGRycy9kb3ducmV2LnhtbEWPQWsCMRSE70L/Q3iF3jTRFlu2Gz1UC16KVqXnx+btZtvN&#10;y7JJ3fXfG0HwOMzMN0y+HFwjTtSF2rOG6USBIC68qbnScDx8jt9AhIhssPFMGs4UYLl4GOWYGd/z&#10;N532sRIJwiFDDTbGNpMyFJYcholviZNX+s5hTLKrpOmwT3DXyJlSc+mw5rRgsaUPS8Xf/t9p6NFu&#10;7SsfceW+dsPhd7telz9K66fHqXoHEWmI9/CtvTEanl/g+iX9ALm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ZSQtvQAA&#10;ANsAAAAPAAAAAAAAAAEAIAAAACIAAABkcnMvZG93bnJldi54bWxQSwECFAAUAAAACACHTuJAMy8F&#10;njsAAAA5AAAAEAAAAAAAAAABACAAAAAMAQAAZHJzL3NoYXBleG1sLnhtbFBLBQYAAAAABgAGAFsB&#10;AAC2AwAAAAA=&#10;">
                    <v:path/>
                    <v:fill on="t" color2="#FFFFFF" focussize="0,0"/>
                    <v:stroke color="#000000" miterlimit="8" joinstyle="miter"/>
                    <v:imagedata o:title=""/>
                    <o:lock v:ext="edit" aspectratio="f"/>
                    <v:textbox inset="0.5mm,1.27mm,0.5mm,1.27mm">
                      <w:txbxContent>
                        <w:p>
                          <w:pPr>
                            <w:tabs>
                              <w:tab w:val="left" w:pos="1021"/>
                            </w:tabs>
                            <w:spacing w:line="320" w:lineRule="exact"/>
                            <w:jc w:val="center"/>
                          </w:pPr>
                          <w:r>
                            <w:rPr>
                              <w:rFonts w:hint="eastAsia"/>
                              <w:spacing w:val="-8"/>
                            </w:rPr>
                            <w:t>事故应急专家委员</w:t>
                          </w:r>
                          <w:r>
                            <w:rPr>
                              <w:rFonts w:hint="eastAsia"/>
                            </w:rPr>
                            <w:t>会</w:t>
                          </w:r>
                        </w:p>
                      </w:txbxContent>
                    </v:textbox>
                  </v:shape>
                  <v:shape id="文本框 168" o:spid="_x0000_s2343" o:spt="202" type="#_x0000_t202" style="position:absolute;left:8523;top:2148;height:531;width:2046;" fillcolor="#FFFFFF" filled="t" stroked="t" coordsize="21600,21600" o:gfxdata="UEsDBAoAAAAAAIdO4kAAAAAAAAAAAAAAAAAEAAAAZHJzL1BLAwQUAAAACACHTuJA7ymBtr0AAADb&#10;AAAADwAAAGRycy9kb3ducmV2LnhtbEWPQWsCMRSE70L/Q3iF3jTRUlu2Gz1UC16KVqXnx+btZtvN&#10;y7JJ3fXfG0HwOMzMN0y+HFwjTtSF2rOG6USBIC68qbnScDx8jt9AhIhssPFMGs4UYLl4GOWYGd/z&#10;N532sRIJwiFDDTbGNpMyFJYcholviZNX+s5hTLKrpOmwT3DXyJlSc+mw5rRgsaUPS8Xf/t9p6NFu&#10;7SsfceW+dsPhd7telz9K66fHqXoHEWmI9/CtvTEanl/g+iX9ALm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KYG2vQAA&#10;ANsAAAAPAAAAAAAAAAEAIAAAACIAAABkcnMvZG93bnJldi54bWxQSwECFAAUAAAACACHTuJAMy8F&#10;njsAAAA5AAAAEAAAAAAAAAABACAAAAAMAQAAZHJzL3NoYXBleG1sLnhtbFBLBQYAAAAABgAGAFsB&#10;AAC2AwAAAAA=&#10;">
                    <v:path/>
                    <v:fill on="t" color2="#FFFFFF" focussize="0,0"/>
                    <v:stroke color="#000000" miterlimit="8" joinstyle="miter"/>
                    <v:imagedata o:title=""/>
                    <o:lock v:ext="edit" aspectratio="f"/>
                    <v:textbox inset="0.5mm,1.27mm,0.5mm,1.27mm">
                      <w:txbxContent>
                        <w:p>
                          <w:pPr>
                            <w:tabs>
                              <w:tab w:val="left" w:pos="1021"/>
                            </w:tabs>
                            <w:spacing w:line="320" w:lineRule="exact"/>
                            <w:jc w:val="center"/>
                          </w:pPr>
                          <w:r>
                            <w:rPr>
                              <w:rFonts w:hint="eastAsia"/>
                              <w:spacing w:val="-8"/>
                            </w:rPr>
                            <w:t>社会应急救援中</w:t>
                          </w:r>
                          <w:r>
                            <w:rPr>
                              <w:rFonts w:hint="eastAsia"/>
                            </w:rPr>
                            <w:t>心</w:t>
                          </w:r>
                        </w:p>
                      </w:txbxContent>
                    </v:textbox>
                  </v:shape>
                  <v:shape id="文本框 169" o:spid="_x0000_s2344" o:spt="202" type="#_x0000_t202" style="position:absolute;left:3411;top:4539;height:531;width:1533;" fillcolor="#FFFFFF" filled="t" stroked="t" coordsize="21600,21600" o:gfxdata="UEsDBAoAAAAAAIdO4kAAAAAAAAAAAAAAAAAEAAAAZHJzL1BLAwQUAAAACACHTuJAH/sfwbwAAADb&#10;AAAADwAAAGRycy9kb3ducmV2LnhtbEWPQWsCMRSE7wX/Q3iCt5qoYMvWrIdqwYtoVXp+bN5utt28&#10;LJvUXf+9EQo9DjPzDbNaD64RV+pC7VnDbKpAEBfe1FxpuJw/nl9BhIhssPFMGm4UYJ2PnlaYGd/z&#10;J11PsRIJwiFDDTbGNpMyFJYchqlviZNX+s5hTLKrpOmwT3DXyLlSS+mw5rRgsaV3S8XP6ddp6NEe&#10;7AtfcOP2x+H8fdhuyy+l9WQ8U28gIg3xP/zX3hkNiyU8vqQfI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7H8G8AAAA&#10;2wAAAA8AAAAAAAAAAQAgAAAAIgAAAGRycy9kb3ducmV2LnhtbFBLAQIUABQAAAAIAIdO4kAzLwWe&#10;OwAAADkAAAAQAAAAAAAAAAEAIAAAAAsBAABkcnMvc2hhcGV4bWwueG1sUEsFBgAAAAAGAAYAWwEA&#10;ALUDAAAAAA==&#10;">
                    <v:path/>
                    <v:fill on="t" color2="#FFFFFF" focussize="0,0"/>
                    <v:stroke color="#000000" miterlimit="8" joinstyle="miter"/>
                    <v:imagedata o:title=""/>
                    <o:lock v:ext="edit" aspectratio="f"/>
                    <v:textbox inset="0.5mm,1.27mm,0.5mm,1.27mm">
                      <w:txbxContent>
                        <w:p>
                          <w:pPr>
                            <w:tabs>
                              <w:tab w:val="left" w:pos="1021"/>
                            </w:tabs>
                            <w:spacing w:line="320" w:lineRule="exact"/>
                          </w:pPr>
                          <w:r>
                            <w:rPr>
                              <w:rFonts w:hint="eastAsia"/>
                            </w:rPr>
                            <w:t>安全监督</w:t>
                          </w:r>
                        </w:p>
                      </w:txbxContent>
                    </v:textbox>
                  </v:shape>
                  <v:shape id="文本框 170" o:spid="_x0000_s2345" o:spt="202" type="#_x0000_t202" style="position:absolute;left:8268;top:5070;height:531;width:1406;" fillcolor="#FFFFFF" filled="t" stroked="t" coordsize="21600,21600" o:gfxdata="UEsDBAoAAAAAAIdO4kAAAAAAAAAAAAAAAAAEAAAAZHJzL1BLAwQUAAAACACHTuJAcLe6Wr0AAADb&#10;AAAADwAAAGRycy9kb3ducmV2LnhtbEWPQWvCQBSE7wX/w/IEb3VXhSqpGw/VghexjeL5kX3Jps2+&#10;DdmtSf99t1DocZiZb5jtbnStuFMfGs8aFnMFgrj0puFaw/Xy+rgBESKywdYzafimALt88rDFzPiB&#10;3+lexFokCIcMNdgYu0zKUFpyGOa+I05e5XuHMcm+lqbHIcFdK5dKPUmHDacFix29WCo/iy+nYUB7&#10;tmu+4t6d3sbLx/lwqG5K69l0oZ5BRBrjf/ivfTQaVmv4/ZJ+gM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t7pavQAA&#10;ANsAAAAPAAAAAAAAAAEAIAAAACIAAABkcnMvZG93bnJldi54bWxQSwECFAAUAAAACACHTuJAMy8F&#10;njsAAAA5AAAAEAAAAAAAAAABACAAAAAMAQAAZHJzL3NoYXBleG1sLnhtbFBLBQYAAAAABgAGAFsB&#10;AAC2AwAAAAA=&#10;">
                    <v:path/>
                    <v:fill on="t" color2="#FFFFFF" focussize="0,0"/>
                    <v:stroke color="#000000" miterlimit="8" joinstyle="miter"/>
                    <v:imagedata o:title=""/>
                    <o:lock v:ext="edit" aspectratio="f"/>
                    <v:textbox inset="0.5mm,1.27mm,0.5mm,1.27mm">
                      <w:txbxContent>
                        <w:p>
                          <w:pPr>
                            <w:tabs>
                              <w:tab w:val="left" w:pos="1021"/>
                            </w:tabs>
                            <w:spacing w:line="320" w:lineRule="exact"/>
                            <w:jc w:val="center"/>
                          </w:pPr>
                          <w:r>
                            <w:rPr>
                              <w:rFonts w:hint="eastAsia"/>
                            </w:rPr>
                            <w:t>生</w:t>
                          </w:r>
                          <w:r>
                            <w:t xml:space="preserve">    </w:t>
                          </w:r>
                          <w:r>
                            <w:rPr>
                              <w:rFonts w:hint="eastAsia"/>
                            </w:rPr>
                            <w:t>产</w:t>
                          </w:r>
                        </w:p>
                      </w:txbxContent>
                    </v:textbox>
                  </v:shape>
                  <v:line id="直线 171" o:spid="_x0000_s2346" o:spt="20" style="position:absolute;left:7117;top:2320;height:0;width:1406;" filled="f" stroked="t" coordsize="21600,21600" o:gfxdata="UEsDBAoAAAAAAIdO4kAAAAAAAAAAAAAAAAAEAAAAZHJzL1BLAwQUAAAACACHTuJA4YsSeLsAAADb&#10;AAAADwAAAGRycy9kb3ducmV2LnhtbEVPy2rCQBTdC/2H4Ra608kD0xIdXfRFQBBM+wGXzDVJm7mT&#10;ZkaT+vXOQnB5OO/1djKdONPgWssK4kUEgriyuuVawffXx/wFhPPIGjvLpOCfHGw3D7M15tqOfKBz&#10;6WsRQtjlqKDxvs+ldFVDBt3C9sSBO9rBoA9wqKUecAzhppNJFGXSYMuhocGeXhuqfsuTUZAV7+nz&#10;8u0zzv72l13CP/sykSelnh7jaAXC0+Tv4pu70ArSMDZ8CT9Abq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YsSeLsAAADb&#10;AAAADwAAAAAAAAABACAAAAAiAAAAZHJzL2Rvd25yZXYueG1sUEsBAhQAFAAAAAgAh07iQDMvBZ47&#10;AAAAOQAAABAAAAAAAAAAAQAgAAAACgEAAGRycy9zaGFwZXhtbC54bWxQSwUGAAAAAAYABgBbAQAA&#10;tAMAAAAA&#10;">
                    <v:path arrowok="t"/>
                    <v:fill on="f" focussize="0,0"/>
                    <v:stroke color="#000000" joinstyle="round" endarrow="block" endarrowwidth="narrow" endarrowlength="short"/>
                    <v:imagedata o:title=""/>
                    <o:lock v:ext="edit" aspectratio="f"/>
                  </v:line>
                  <v:line id="直线 172" o:spid="_x0000_s2347" o:spt="20" style="position:absolute;left:7117;top:2511;flip:x;height:0;width:1406;" filled="f" stroked="t" coordsize="21600,21600" o:gfxdata="UEsDBAoAAAAAAIdO4kAAAAAAAAAAAAAAAAAEAAAAZHJzL1BLAwQUAAAACACHTuJAHkfVrr4AAADb&#10;AAAADwAAAGRycy9kb3ducmV2LnhtbEWPQWvCQBSE7wX/w/KE3uomCkVT1xwqiiANmKh4fGRfk9Ds&#10;25jdGvvvu0Khx2FmvmGW6d204ka9aywriCcRCOLS6oYrBcdi8zIH4TyyxtYyKfghB+lq9LTERNuB&#10;D3TLfSUChF2CCmrvu0RKV9Zk0E1sRxy8T9sb9EH2ldQ9DgFuWjmNoldpsOGwUGNH7zWVX/m3UbD/&#10;mJ8v6yHL8qLYZ7y4bga3PSn1PI6jNxCe7v4//NfeaQWzBTy+hB8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kfVrr4A&#10;AADbAAAADwAAAAAAAAABACAAAAAiAAAAZHJzL2Rvd25yZXYueG1sUEsBAhQAFAAAAAgAh07iQDMv&#10;BZ47AAAAOQAAABAAAAAAAAAAAQAgAAAADQEAAGRycy9zaGFwZXhtbC54bWxQSwUGAAAAAAYABgBb&#10;AQAAtwMAAAAA&#10;">
                    <v:path arrowok="t"/>
                    <v:fill on="f" focussize="0,0"/>
                    <v:stroke color="#000000" joinstyle="round" endarrow="block" endarrowwidth="narrow" endarrowlength="short"/>
                    <v:imagedata o:title=""/>
                    <o:lock v:ext="edit" aspectratio="f"/>
                  </v:line>
                  <v:line id="直线 173" o:spid="_x0000_s2348" o:spt="20" style="position:absolute;left:5584;top:2679;height:797;width:0;" filled="f" stroked="t" coordsize="21600,21600" o:gfxdata="UEsDBAoAAAAAAIdO4kAAAAAAAAAAAAAAAAAEAAAAZHJzL1BLAwQUAAAACACHTuJAR/ttA7wAAADb&#10;AAAADwAAAGRycy9kb3ducmV2LnhtbEVPy2rCQBTdC/2H4RbcmUlSjZI6uqhVBEFo6gdcMtckbeZO&#10;zIyP9uudheDycN7z5c204kK9aywrSKIYBHFpdcOVgsP3ejQD4TyyxtYyKfgjB8vFy2COubZX/qJL&#10;4SsRQtjlqKD2vsuldGVNBl1kO+LAHW1v0AfYV1L3eA3hppVpHGfSYMOhocaOPmoqf4uzUZBtP9+m&#10;k9UmyU77/13KP/silWelhq9J/A7C080/xQ/3VisYh/XhS/gB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7bQO8AAAA&#10;2wAAAA8AAAAAAAAAAQAgAAAAIgAAAGRycy9kb3ducmV2LnhtbFBLAQIUABQAAAAIAIdO4kAzLwWe&#10;OwAAADkAAAAQAAAAAAAAAAEAIAAAAAsBAABkcnMvc2hhcGV4bWwueG1sUEsFBgAAAAAGAAYAWwEA&#10;ALUDAAAAAA==&#10;">
                    <v:path arrowok="t"/>
                    <v:fill on="f" focussize="0,0"/>
                    <v:stroke color="#000000" joinstyle="round" endarrow="block" endarrowwidth="narrow" endarrowlength="short"/>
                    <v:imagedata o:title=""/>
                    <o:lock v:ext="edit" aspectratio="f"/>
                  </v:line>
                  <v:line id="直线 174" o:spid="_x0000_s2349" o:spt="20" style="position:absolute;left:6478;top:2679;flip:y;height:797;width:0;" filled="f" stroked="t" coordsize="21600,21600" o:gfxdata="UEsDBAoAAAAAAIdO4kAAAAAAAAAAAAAAAAAEAAAAZHJzL1BLAwQUAAAACACHTuJAuDeq1b8AAADb&#10;AAAADwAAAGRycy9kb3ducmV2LnhtbEWPQWvCQBSE74X+h+UVequbSCk2usmhRRHEQJMqHh/ZZxLM&#10;vo3Z1dh/3y0UPA4z8w2zyG6mE1caXGtZQTyJQBBXVrdcK/guly8zEM4ja+wsk4IfcpCljw8LTLQd&#10;+Yuuha9FgLBLUEHjfZ9I6aqGDLqJ7YmDd7SDQR/kUEs94BjgppPTKHqTBlsOCw329NFQdSouRsFm&#10;O9sfPsc8L8pyk/P7eTm61U6p56c4moPwdPP38H97rRW8xvD3JfwAmf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3qtW/&#10;AAAA2wAAAA8AAAAAAAAAAQAgAAAAIgAAAGRycy9kb3ducmV2LnhtbFBLAQIUABQAAAAIAIdO4kAz&#10;LwWeOwAAADkAAAAQAAAAAAAAAAEAIAAAAA4BAABkcnMvc2hhcGV4bWwueG1sUEsFBgAAAAAGAAYA&#10;WwEAALgDAAAAAA==&#10;">
                    <v:path arrowok="t"/>
                    <v:fill on="f" focussize="0,0"/>
                    <v:stroke color="#000000" joinstyle="round" endarrow="block" endarrowwidth="narrow" endarrowlength="short"/>
                    <v:imagedata o:title=""/>
                    <o:lock v:ext="edit" aspectratio="f"/>
                  </v:line>
                  <v:line id="直线 175" o:spid="_x0000_s2350" o:spt="20" style="position:absolute;left:5584;top:3064;flip:x;height:0;width:2812;" filled="f" stroked="t" coordsize="21600,21600" o:gfxdata="UEsDBAoAAAAAAIdO4kAAAAAAAAAAAAAAAAAEAAAAZHJzL1BLAwQUAAAACACHTuJAPKuRsL0AAADb&#10;AAAADwAAAGRycy9kb3ducmV2LnhtbEWPQWvCQBSE74L/YXlCL1I3Sik2ZvUQKngoSKPeH9lnNiT7&#10;dsluo+2vdwuFHoeZ+YYpdnfbi5GG0DpWsFxkIIhrp1tuFJxP++c1iBCRNfaOScE3Bdhtp5MCc+1u&#10;/EljFRuRIBxyVGBi9LmUoTZkMSycJ07e1Q0WY5JDI/WAtwS3vVxl2au02HJaMOipNFR31ZdVENl3&#10;pvw5+rfmfV2VYewv84+LUk+zZbYBEeke/8N/7YNW8LKC3y/pB8j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q5GwvQAA&#10;ANsAAAAPAAAAAAAAAAEAIAAAACIAAABkcnMvZG93bnJldi54bWxQSwECFAAUAAAACACHTuJAMy8F&#10;njsAAAA5AAAAEAAAAAAAAAABACAAAAAMAQAAZHJzL3NoYXBleG1sLnhtbFBLBQYAAAAABgAGAFsB&#10;AAC2AwAAAAA=&#10;">
                    <v:path arrowok="t"/>
                    <v:fill on="f" focussize="0,0"/>
                    <v:stroke color="#000000" joinstyle="round" dashstyle="1 1" endcap="round"/>
                    <v:imagedata o:title=""/>
                    <o:lock v:ext="edit" aspectratio="f"/>
                  </v:line>
                  <v:line id="直线 176" o:spid="_x0000_s2351" o:spt="20" style="position:absolute;left:6478;top:3211;flip:x;height:0;width:1918;" filled="f" stroked="t" coordsize="21600,21600" o:gfxdata="UEsDBAoAAAAAAIdO4kAAAAAAAAAAAAAAAAAEAAAAZHJzL1BLAwQUAAAACACHTuJAU+c0K70AAADb&#10;AAAADwAAAGRycy9kb3ducmV2LnhtbEWPQWsCMRSE74L/ITyhF9GsbRFdjR4WBQ+F0lXvj81zs7h5&#10;CZu4an99Uyj0OMzMN8x6+7Ct6KkLjWMFs2kGgrhyuuFawem4nyxAhIissXVMCp4UYLsZDtaYa3fn&#10;L+rLWIsE4ZCjAhOjz6UMlSGLYeo8cfIurrMYk+xqqTu8J7ht5WuWzaXFhtOCQU+Foepa3qyCyP5q&#10;iu9Pv6x3i7IIfXsef5yVehnNshWISI/4H/5rH7SC9zf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5zQrvQAA&#10;ANsAAAAPAAAAAAAAAAEAIAAAACIAAABkcnMvZG93bnJldi54bWxQSwECFAAUAAAACACHTuJAMy8F&#10;njsAAAA5AAAAEAAAAAAAAAABACAAAAAMAQAAZHJzL3NoYXBleG1sLnhtbFBLBQYAAAAABgAGAFsB&#10;AAC2AwAAAAA=&#10;">
                    <v:path arrowok="t"/>
                    <v:fill on="f" focussize="0,0"/>
                    <v:stroke color="#000000" joinstyle="round" dashstyle="1 1" endcap="round"/>
                    <v:imagedata o:title=""/>
                    <o:lock v:ext="edit" aspectratio="f"/>
                  </v:line>
                  <v:shape id="文本框 177" o:spid="_x0000_s2352" o:spt="202" type="#_x0000_t202" style="position:absolute;left:8268;top:5601;height:531;width:1406;" fillcolor="#FFFFFF" filled="t" stroked="t" coordsize="21600,21600" o:gfxdata="UEsDBAoAAAAAAIdO4kAAAAAAAAAAAAAAAAAEAAAAZHJzL1BLAwQUAAAACACHTuJA2GNXUL0AAADb&#10;AAAADwAAAGRycy9kb3ducmV2LnhtbEWPQWvCQBSE70L/w/IKvemuRbRENx6shV6KNUrPj+xLNpp9&#10;G7Jbk/57t1DocZiZb5jNdnStuFEfGs8a5jMFgrj0puFaw/n0Nn0BESKywdYzafihANv8YbLBzPiB&#10;j3QrYi0ShEOGGmyMXSZlKC05DDPfESev8r3DmGRfS9PjkOCulc9KLaXDhtOCxY52lspr8e00DGgP&#10;dsVnfHUfn+Ppctjvqy+l9dPjXK1BRBrjf/iv/W40LBbw+yX9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Y1dQvQAA&#10;ANsAAAAPAAAAAAAAAAEAIAAAACIAAABkcnMvZG93bnJldi54bWxQSwECFAAUAAAACACHTuJAMy8F&#10;njsAAAA5AAAAEAAAAAAAAAABACAAAAAMAQAAZHJzL3NoYXBleG1sLnhtbFBLBQYAAAAABgAGAFsB&#10;AAC2AwAAAAA=&#10;">
                    <v:path/>
                    <v:fill on="t" color2="#FFFFFF" focussize="0,0"/>
                    <v:stroke color="#000000" miterlimit="8" joinstyle="miter"/>
                    <v:imagedata o:title=""/>
                    <o:lock v:ext="edit" aspectratio="f"/>
                    <v:textbox inset="0.5mm,1.27mm,0.5mm,1.27mm">
                      <w:txbxContent>
                        <w:p>
                          <w:pPr>
                            <w:tabs>
                              <w:tab w:val="left" w:pos="1021"/>
                            </w:tabs>
                            <w:spacing w:line="320" w:lineRule="exact"/>
                            <w:jc w:val="center"/>
                          </w:pPr>
                          <w:r>
                            <w:rPr>
                              <w:rFonts w:hint="eastAsia"/>
                            </w:rPr>
                            <w:t>安</w:t>
                          </w:r>
                          <w:r>
                            <w:t xml:space="preserve">     </w:t>
                          </w:r>
                          <w:r>
                            <w:rPr>
                              <w:rFonts w:hint="eastAsia"/>
                            </w:rPr>
                            <w:t>全</w:t>
                          </w:r>
                        </w:p>
                      </w:txbxContent>
                    </v:textbox>
                  </v:shape>
                  <v:shape id="文本框 178" o:spid="_x0000_s2353" o:spt="202" type="#_x0000_t202" style="position:absolute;left:8268;top:6132;height:532;width:1406;" fillcolor="#FFFFFF" filled="t" stroked="t" coordsize="21600,21600" o:gfxdata="UEsDBAoAAAAAAIdO4kAAAAAAAAAAAAAAAAAEAAAAZHJzL1BLAwQUAAAACACHTuJAty/yy70AAADb&#10;AAAADwAAAGRycy9kb3ducmV2LnhtbEWPQWsCMRSE70L/Q3iF3jRRWlu2Gz1UC16KVqXnx+btZtvN&#10;y7JJ3fXfG0HwOMzMN0y+HFwjTtSF2rOG6USBIC68qbnScDx8jt9AhIhssPFMGs4UYLl4GOWYGd/z&#10;N532sRIJwiFDDTbGNpMyFJYcholviZNX+s5hTLKrpOmwT3DXyJlSc+mw5rRgsaUPS8Xf/t9p6NFu&#10;7SsfceW+dsPhd7telz9K66fHqXoHEWmI9/CtvTEanl/g+iX9ALm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L/LLvQAA&#10;ANsAAAAPAAAAAAAAAAEAIAAAACIAAABkcnMvZG93bnJldi54bWxQSwECFAAUAAAACACHTuJAMy8F&#10;njsAAAA5AAAAEAAAAAAAAAABACAAAAAMAQAAZHJzL3NoYXBleG1sLnhtbFBLBQYAAAAABgAGAFsB&#10;AAC2AwAAAAA=&#10;">
                    <v:path/>
                    <v:fill on="t" color2="#FFFFFF" focussize="0,0"/>
                    <v:stroke color="#000000" miterlimit="8" joinstyle="miter"/>
                    <v:imagedata o:title=""/>
                    <o:lock v:ext="edit" aspectratio="f"/>
                    <v:textbox inset="0.5mm,1.27mm,0.5mm,1.27mm">
                      <w:txbxContent>
                        <w:p>
                          <w:pPr>
                            <w:tabs>
                              <w:tab w:val="left" w:pos="1021"/>
                            </w:tabs>
                            <w:spacing w:line="320" w:lineRule="exact"/>
                            <w:jc w:val="center"/>
                          </w:pPr>
                          <w:r>
                            <w:rPr>
                              <w:rFonts w:hint="eastAsia"/>
                            </w:rPr>
                            <w:t>环</w:t>
                          </w:r>
                          <w:r>
                            <w:t xml:space="preserve">    </w:t>
                          </w:r>
                          <w:r>
                            <w:rPr>
                              <w:rFonts w:hint="eastAsia"/>
                            </w:rPr>
                            <w:t>保</w:t>
                          </w:r>
                        </w:p>
                      </w:txbxContent>
                    </v:textbox>
                  </v:shape>
                  <v:shape id="文本框 179" o:spid="_x0000_s2354" o:spt="202" type="#_x0000_t202" style="position:absolute;left:8268;top:6664;height:531;width:1406;" fillcolor="#FFFFFF" filled="t" stroked="t" coordsize="21600,21600" o:gfxdata="UEsDBAoAAAAAAIdO4kAAAAAAAAAAAAAAAAAEAAAAZHJzL1BLAwQUAAAACACHTuJAKLHJJ70AAADb&#10;AAAADwAAAGRycy9kb3ducmV2LnhtbEWPQWvCQBSE7wX/w/IEb3VXkSqpGw/VghexjeL5kX3Jps2+&#10;DdmtSf99t1DocZiZb5jtbnStuFMfGs8aFnMFgrj0puFaw/Xy+rgBESKywdYzafimALt88rDFzPiB&#10;3+lexFokCIcMNdgYu0zKUFpyGOa+I05e5XuHMcm+lqbHIcFdK5dKPUmHDacFix29WCo/iy+nYUB7&#10;tmu+4t6d3sbLx/lwqG5K69l0oZ5BRBrjf/ivfTQaVmv4/ZJ+gM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scknvQAA&#10;ANsAAAAPAAAAAAAAAAEAIAAAACIAAABkcnMvZG93bnJldi54bWxQSwECFAAUAAAACACHTuJAMy8F&#10;njsAAAA5AAAAEAAAAAAAAAABACAAAAAMAQAAZHJzL3NoYXBleG1sLnhtbFBLBQYAAAAABgAGAFsB&#10;AAC2AwAAAAA=&#10;">
                    <v:path/>
                    <v:fill on="t" color2="#FFFFFF" focussize="0,0"/>
                    <v:stroke color="#000000" miterlimit="8" joinstyle="miter"/>
                    <v:imagedata o:title=""/>
                    <o:lock v:ext="edit" aspectratio="f"/>
                    <v:textbox inset="0.5mm,1.27mm,0.5mm,1.27mm">
                      <w:txbxContent>
                        <w:p>
                          <w:pPr>
                            <w:tabs>
                              <w:tab w:val="left" w:pos="1021"/>
                            </w:tabs>
                            <w:spacing w:line="320" w:lineRule="exact"/>
                            <w:jc w:val="center"/>
                          </w:pPr>
                          <w:r>
                            <w:rPr>
                              <w:rFonts w:hint="eastAsia"/>
                            </w:rPr>
                            <w:t>义务消防</w:t>
                          </w:r>
                        </w:p>
                      </w:txbxContent>
                    </v:textbox>
                  </v:shape>
                  <v:shape id="文本框 180" o:spid="_x0000_s2355" o:spt="202" type="#_x0000_t202" style="position:absolute;left:8268;top:7195;height:531;width:1406;" fillcolor="#FFFFFF" filled="t" stroked="t" coordsize="21600,21600" o:gfxdata="UEsDBAoAAAAAAIdO4kAAAAAAAAAAAAAAAAAEAAAAZHJzL1BLAwQUAAAACACHTuJAWS5dVbgAAADb&#10;AAAADwAAAGRycy9kb3ducmV2LnhtbEVPy4rCMBTdD/gP4QqzGxNFnKEaXfgAN4OOyqwvzbWpNjel&#10;ibb+vVkILg/nPVt0rhJ3akLpWcNwoEAQ596UXGg4HTdfPyBCRDZYeSYNDwqwmPc+ZpgZ3/If3Q+x&#10;ECmEQ4YabIx1JmXILTkMA18TJ+7sG4cxwaaQpsE2hbtKjpSaSIclpwaLNS0t5dfDzWlo0e7sN59w&#10;5X733fGyW6/P/0rrz/5QTUFE6uJb/HJvjYZxGpu+pB8g5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S5dVbgAAADbAAAA&#10;DwAAAAAAAAABACAAAAAiAAAAZHJzL2Rvd25yZXYueG1sUEsBAhQAFAAAAAgAh07iQDMvBZ47AAAA&#10;OQAAABAAAAAAAAAAAQAgAAAABwEAAGRycy9zaGFwZXhtbC54bWxQSwUGAAAAAAYABgBbAQAAsQMA&#10;AAAA&#10;">
                    <v:path/>
                    <v:fill on="t" color2="#FFFFFF" focussize="0,0"/>
                    <v:stroke color="#000000" miterlimit="8" joinstyle="miter"/>
                    <v:imagedata o:title=""/>
                    <o:lock v:ext="edit" aspectratio="f"/>
                    <v:textbox inset="0.5mm,1.27mm,0.5mm,1.27mm">
                      <w:txbxContent>
                        <w:p>
                          <w:pPr>
                            <w:tabs>
                              <w:tab w:val="left" w:pos="1021"/>
                            </w:tabs>
                            <w:spacing w:line="320" w:lineRule="exact"/>
                            <w:jc w:val="center"/>
                          </w:pPr>
                          <w:r>
                            <w:rPr>
                              <w:rFonts w:hint="eastAsia"/>
                            </w:rPr>
                            <w:t>通</w:t>
                          </w:r>
                          <w:r>
                            <w:t xml:space="preserve">    </w:t>
                          </w:r>
                          <w:r>
                            <w:rPr>
                              <w:rFonts w:hint="eastAsia"/>
                            </w:rPr>
                            <w:t>讯</w:t>
                          </w:r>
                        </w:p>
                      </w:txbxContent>
                    </v:textbox>
                  </v:shape>
                  <v:shape id="文本框 181" o:spid="_x0000_s2356" o:spt="202" type="#_x0000_t202" style="position:absolute;left:8268;top:7726;height:531;width:1406;" fillcolor="#FFFFFF" filled="t" stroked="t" coordsize="21600,21600" o:gfxdata="UEsDBAoAAAAAAIdO4kAAAAAAAAAAAAAAAAAEAAAAZHJzL1BLAwQUAAAACACHTuJANmL4zr0AAADb&#10;AAAADwAAAGRycy9kb3ducmV2LnhtbEWPQWsCMRSE70L/Q3iF3jRRSm23Gz1UC16KVqXnx+btZtvN&#10;y7JJ3fXfG0HwOMzMN0y+HFwjTtSF2rOG6USBIC68qbnScDx8jl9BhIhssPFMGs4UYLl4GOWYGd/z&#10;N532sRIJwiFDDTbGNpMyFJYcholviZNX+s5hTLKrpOmwT3DXyJlSL9JhzWnBYksfloq//b/T0KPd&#10;2jkfceW+dsPhd7telz9K66fHqXoHEWmI9/CtvTEant/g+iX9ALm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YvjOvQAA&#10;ANsAAAAPAAAAAAAAAAEAIAAAACIAAABkcnMvZG93bnJldi54bWxQSwECFAAUAAAACACHTuJAMy8F&#10;njsAAAA5AAAAEAAAAAAAAAABACAAAAAMAQAAZHJzL3NoYXBleG1sLnhtbFBLBQYAAAAABgAGAFsB&#10;AAC2AwAAAAA=&#10;">
                    <v:path/>
                    <v:fill on="t" color2="#FFFFFF" focussize="0,0"/>
                    <v:stroke color="#000000" miterlimit="8" joinstyle="miter"/>
                    <v:imagedata o:title=""/>
                    <o:lock v:ext="edit" aspectratio="f"/>
                    <v:textbox inset="0.5mm,1.27mm,0.5mm,1.27mm">
                      <w:txbxContent>
                        <w:p>
                          <w:pPr>
                            <w:tabs>
                              <w:tab w:val="left" w:pos="1021"/>
                            </w:tabs>
                            <w:spacing w:line="320" w:lineRule="exact"/>
                            <w:jc w:val="center"/>
                          </w:pPr>
                          <w:r>
                            <w:rPr>
                              <w:rFonts w:hint="eastAsia"/>
                            </w:rPr>
                            <w:t>维</w:t>
                          </w:r>
                          <w:r>
                            <w:t xml:space="preserve">    </w:t>
                          </w:r>
                          <w:r>
                            <w:rPr>
                              <w:rFonts w:hint="eastAsia"/>
                            </w:rPr>
                            <w:t>修</w:t>
                          </w:r>
                        </w:p>
                      </w:txbxContent>
                    </v:textbox>
                  </v:shape>
                  <v:shape id="文本框 182" o:spid="_x0000_s2357" o:spt="202" type="#_x0000_t202" style="position:absolute;left:8268;top:8257;height:532;width:1406;" fillcolor="#FFFFFF" filled="t" stroked="t" coordsize="21600,21600" o:gfxdata="UEsDBAoAAAAAAIdO4kAAAAAAAAAAAAAAAAAEAAAAZHJzL1BLAwQUAAAACACHTuJAIoHHjrgAAADb&#10;AAAADwAAAGRycy9kb3ducmV2LnhtbEVPy4rCMBTdD/gP4QqzGxMFnaEaXfgAN4OOyqwvzbWpNjel&#10;ibb+vVkILg/nPVt0rhJ3akLpWcNwoEAQ596UXGg4HTdfPyBCRDZYeSYNDwqwmPc+ZpgZ3/If3Q+x&#10;ECmEQ4YabIx1JmXILTkMA18TJ+7sG4cxwaaQpsE2hbtKjpSaSIclpwaLNS0t5dfDzWlo0e7sN59w&#10;5X733fGyW6/P/0rrz/5QTUFE6uJb/HJvjYZxWp++pB8g5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oHHjrgAAADbAAAA&#10;DwAAAAAAAAABACAAAAAiAAAAZHJzL2Rvd25yZXYueG1sUEsBAhQAFAAAAAgAh07iQDMvBZ47AAAA&#10;OQAAABAAAAAAAAAAAQAgAAAABwEAAGRycy9zaGFwZXhtbC54bWxQSwUGAAAAAAYABgBbAQAAsQMA&#10;AAAA&#10;">
                    <v:path/>
                    <v:fill on="t" color2="#FFFFFF" focussize="0,0"/>
                    <v:stroke color="#000000" miterlimit="8" joinstyle="miter"/>
                    <v:imagedata o:title=""/>
                    <o:lock v:ext="edit" aspectratio="f"/>
                    <v:textbox inset="0.5mm,1.27mm,0.5mm,1.27mm">
                      <w:txbxContent>
                        <w:p>
                          <w:pPr>
                            <w:tabs>
                              <w:tab w:val="left" w:pos="1021"/>
                            </w:tabs>
                            <w:spacing w:line="320" w:lineRule="exact"/>
                            <w:jc w:val="center"/>
                          </w:pPr>
                          <w:r>
                            <w:rPr>
                              <w:rFonts w:hint="eastAsia"/>
                            </w:rPr>
                            <w:t>物</w:t>
                          </w:r>
                          <w:r>
                            <w:t xml:space="preserve">    </w:t>
                          </w:r>
                          <w:r>
                            <w:rPr>
                              <w:rFonts w:hint="eastAsia"/>
                            </w:rPr>
                            <w:t>质</w:t>
                          </w:r>
                        </w:p>
                      </w:txbxContent>
                    </v:textbox>
                  </v:shape>
                  <v:shape id="文本框 183" o:spid="_x0000_s2358" o:spt="202" type="#_x0000_t202" style="position:absolute;left:3411;top:5070;height:531;width:1533;" fillcolor="#FFFFFF" filled="t" stroked="t" coordsize="21600,21600" o:gfxdata="UEsDBAoAAAAAAIdO4kAAAAAAAAAAAAAAAAAEAAAAZHJzL1BLAwQUAAAACACHTuJATc1iFbwAAADb&#10;AAAADwAAAGRycy9kb3ducmV2LnhtbEWPQWsCMRSE7wX/Q3iCt5pswVZWowe14EVsVTw/Ns/N6uZl&#10;2UR3/fdNodDjMDPfMPNl72rxoDZUnjVkYwWCuPCm4lLD6fj5OgURIrLB2jNpeFKA5WLwMsfc+I6/&#10;6XGIpUgQDjlqsDE2uZShsOQwjH1DnLyLbx3GJNtSmha7BHe1fFPqXTqsOC1YbGhlqbgd7k5Dh3Zv&#10;P/iEa7f76o/X/WZzOSutR8NMzUBE6uN/+K+9NRomGfx+ST9A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3NYhW8AAAA&#10;2wAAAA8AAAAAAAAAAQAgAAAAIgAAAGRycy9kb3ducmV2LnhtbFBLAQIUABQAAAAIAIdO4kAzLwWe&#10;OwAAADkAAAAQAAAAAAAAAAEAIAAAAAsBAABkcnMvc2hhcGV4bWwueG1sUEsFBgAAAAAGAAYAWwEA&#10;ALUDAAAAAA==&#10;">
                    <v:path/>
                    <v:fill on="t" color2="#FFFFFF" focussize="0,0"/>
                    <v:stroke color="#000000" miterlimit="8" joinstyle="miter"/>
                    <v:imagedata o:title=""/>
                    <o:lock v:ext="edit" aspectratio="f"/>
                    <v:textbox inset="0.5mm,1.27mm,0.5mm,1.27mm">
                      <w:txbxContent>
                        <w:p>
                          <w:pPr>
                            <w:tabs>
                              <w:tab w:val="left" w:pos="1021"/>
                            </w:tabs>
                            <w:spacing w:line="320" w:lineRule="exact"/>
                          </w:pPr>
                          <w:r>
                            <w:rPr>
                              <w:rFonts w:hint="eastAsia"/>
                            </w:rPr>
                            <w:t>环境监测</w:t>
                          </w:r>
                        </w:p>
                      </w:txbxContent>
                    </v:textbox>
                  </v:shape>
                  <v:shape id="文本框 184" o:spid="_x0000_s2359" o:spt="202" type="#_x0000_t202" style="position:absolute;left:3411;top:6132;height:532;width:1533;" fillcolor="#FFFFFF" filled="t" stroked="t" coordsize="21600,21600" o:gfxdata="UEsDBAoAAAAAAIdO4kAAAAAAAAAAAAAAAAAEAAAAZHJzL1BLAwQUAAAACACHTuJAvR/8YrwAAADb&#10;AAAADwAAAGRycy9kb3ducmV2LnhtbEWPQWsCMRSE74X+h/AKvdVEobasRg/WghfRrtLzY/PcrG5e&#10;lk10139vBMHjMDPfMNN572pxoTZUnjUMBwoEceFNxaWG/e734xtEiMgGa8+k4UoB5rPXlylmxnf8&#10;R5c8liJBOGSowcbYZFKGwpLDMPANcfIOvnUYk2xLaVrsEtzVcqTUWDqsOC1YbGhhqTjlZ6ehQ7ux&#10;X7zHH7fe9rvjZrk8/Cut39+GagIiUh+f4Ud7ZTR8juD+Jf0AOb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f/GK8AAAA&#10;2wAAAA8AAAAAAAAAAQAgAAAAIgAAAGRycy9kb3ducmV2LnhtbFBLAQIUABQAAAAIAIdO4kAzLwWe&#10;OwAAADkAAAAQAAAAAAAAAAEAIAAAAAsBAABkcnMvc2hhcGV4bWwueG1sUEsFBgAAAAAGAAYAWwEA&#10;ALUDAAAAAA==&#10;">
                    <v:path/>
                    <v:fill on="t" color2="#FFFFFF" focussize="0,0"/>
                    <v:stroke color="#000000" miterlimit="8" joinstyle="miter"/>
                    <v:imagedata o:title=""/>
                    <o:lock v:ext="edit" aspectratio="f"/>
                    <v:textbox inset="0.5mm,1.27mm,0.5mm,1.27mm">
                      <w:txbxContent>
                        <w:p>
                          <w:pPr>
                            <w:tabs>
                              <w:tab w:val="left" w:pos="1021"/>
                            </w:tabs>
                            <w:spacing w:line="320" w:lineRule="exact"/>
                          </w:pPr>
                          <w:r>
                            <w:rPr>
                              <w:rFonts w:hint="eastAsia"/>
                            </w:rPr>
                            <w:t>专业消防</w:t>
                          </w:r>
                        </w:p>
                      </w:txbxContent>
                    </v:textbox>
                  </v:shape>
                  <v:shape id="文本框 185" o:spid="_x0000_s2360" o:spt="202" type="#_x0000_t202" style="position:absolute;left:3411;top:5601;height:531;width:1533;" fillcolor="#FFFFFF" filled="t" stroked="t" coordsize="21600,21600" o:gfxdata="UEsDBAoAAAAAAIdO4kAAAAAAAAAAAAAAAAAEAAAAZHJzL1BLAwQUAAAACACHTuJA0lNZ+b0AAADb&#10;AAAADwAAAGRycy9kb3ducmV2LnhtbEWPQWsCMRSE70L/Q3iF3jTRUlu2Gz1UC16KVqXnx+btZtvN&#10;y7JJ3fXfG0HwOMzMN0y+HFwjTtSF2rOG6USBIC68qbnScDx8jt9AhIhssPFMGs4UYLl4GOWYGd/z&#10;N532sRIJwiFDDTbGNpMyFJYcholviZNX+s5hTLKrpOmwT3DXyJlSc+mw5rRgsaUPS8Xf/t9p6NFu&#10;7SsfceW+dsPhd7telz9K66fHqXoHEWmI9/CtvTEaXp7h+iX9ALm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U1n5vQAA&#10;ANsAAAAPAAAAAAAAAAEAIAAAACIAAABkcnMvZG93bnJldi54bWxQSwECFAAUAAAACACHTuJAMy8F&#10;njsAAAA5AAAAEAAAAAAAAAABACAAAAAMAQAAZHJzL3NoYXBleG1sLnhtbFBLBQYAAAAABgAGAFsB&#10;AAC2AwAAAAA=&#10;">
                    <v:path/>
                    <v:fill on="t" color2="#FFFFFF" focussize="0,0"/>
                    <v:stroke color="#000000" miterlimit="8" joinstyle="miter"/>
                    <v:imagedata o:title=""/>
                    <o:lock v:ext="edit" aspectratio="f"/>
                    <v:textbox inset="0.5mm,1.27mm,0.5mm,1.27mm">
                      <w:txbxContent>
                        <w:p>
                          <w:pPr>
                            <w:tabs>
                              <w:tab w:val="left" w:pos="1021"/>
                            </w:tabs>
                            <w:spacing w:line="320" w:lineRule="exact"/>
                          </w:pPr>
                          <w:r>
                            <w:rPr>
                              <w:rFonts w:hint="eastAsia"/>
                            </w:rPr>
                            <w:t>工卫、医疗</w:t>
                          </w:r>
                        </w:p>
                      </w:txbxContent>
                    </v:textbox>
                  </v:shape>
                  <v:shape id="文本框 186" o:spid="_x0000_s2361" o:spt="202" type="#_x0000_t202" style="position:absolute;left:3411;top:8257;height:532;width:1533;" fillcolor="#FFFFFF" filled="t" stroked="t" coordsize="21600,21600" o:gfxdata="UEsDBAoAAAAAAIdO4kAAAAAAAAAAAAAAAAAEAAAAZHJzL1BLAwQUAAAACACHTuJAXbrBjb0AAADb&#10;AAAADwAAAGRycy9kb3ducmV2LnhtbEWPQWsCMRSE70L/Q3iF3jRRWlu2Gz1UC16KVqXnx+btZtvN&#10;y7JJ3fXfG0HwOMzMN0y+HFwjTtSF2rOG6USBIC68qbnScDx8jt9AhIhssPFMGs4UYLl4GOWYGd/z&#10;N532sRIJwiFDDTbGNpMyFJYcholviZNX+s5hTLKrpOmwT3DXyJlSc+mw5rRgsaUPS8Xf/t9p6NFu&#10;7SsfceW+dsPhd7telz9K66fHqXoHEWmI9/CtvTEaXp7h+iX9ALm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usGNvQAA&#10;ANsAAAAPAAAAAAAAAAEAIAAAACIAAABkcnMvZG93bnJldi54bWxQSwECFAAUAAAACACHTuJAMy8F&#10;njsAAAA5AAAAEAAAAAAAAAABACAAAAAMAQAAZHJzL3NoYXBleG1sLnhtbFBLBQYAAAAABgAGAFsB&#10;AAC2AwAAAAA=&#10;">
                    <v:path/>
                    <v:fill on="t" color2="#FFFFFF" focussize="0,0"/>
                    <v:stroke color="#000000" miterlimit="8" joinstyle="miter"/>
                    <v:imagedata o:title=""/>
                    <o:lock v:ext="edit" aspectratio="f"/>
                    <v:textbox inset="0.5mm,1.27mm,0.5mm,1.27mm">
                      <w:txbxContent>
                        <w:p>
                          <w:pPr>
                            <w:tabs>
                              <w:tab w:val="left" w:pos="1021"/>
                            </w:tabs>
                            <w:spacing w:line="320" w:lineRule="exact"/>
                          </w:pPr>
                          <w:r>
                            <w:rPr>
                              <w:rFonts w:hint="eastAsia"/>
                            </w:rPr>
                            <w:t>保卫治安</w:t>
                          </w:r>
                        </w:p>
                      </w:txbxContent>
                    </v:textbox>
                  </v:shape>
                  <v:shape id="文本框 187" o:spid="_x0000_s2362" o:spt="202" type="#_x0000_t202" style="position:absolute;left:3411;top:6664;height:531;width:1533;" fillcolor="#FFFFFF" filled="t" stroked="t" coordsize="21600,21600" o:gfxdata="UEsDBAoAAAAAAIdO4kAAAAAAAAAAAAAAAAAEAAAAZHJzL1BLAwQUAAAACACHTuJAMvZkFr0AAADb&#10;AAAADwAAAGRycy9kb3ducmV2LnhtbEWPQWvCQBSE70L/w/IKvemuBbVENx6shV6KNUrPj+xLNpp9&#10;G7Jbk/57t1DocZiZb5jNdnStuFEfGs8a5jMFgrj0puFaw/n0Nn0BESKywdYzafihANv8YbLBzPiB&#10;j3QrYi0ShEOGGmyMXSZlKC05DDPfESev8r3DmGRfS9PjkOCulc9KLaXDhtOCxY52lspr8e00DGgP&#10;dsVnfHUfn+Ppctjvqy+l9dPjXK1BRBrjf/iv/W40LBbw+yX9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9mQWvQAA&#10;ANsAAAAPAAAAAAAAAAEAIAAAACIAAABkcnMvZG93bnJldi54bWxQSwECFAAUAAAACACHTuJAMy8F&#10;njsAAAA5AAAAEAAAAAAAAAABACAAAAAMAQAAZHJzL3NoYXBleG1sLnhtbFBLBQYAAAAABgAGAFsB&#10;AAC2AwAAAAA=&#10;">
                    <v:path/>
                    <v:fill on="t" color2="#FFFFFF" focussize="0,0"/>
                    <v:stroke color="#000000" miterlimit="8" joinstyle="miter"/>
                    <v:imagedata o:title=""/>
                    <o:lock v:ext="edit" aspectratio="f"/>
                    <v:textbox inset="0.5mm,1.27mm,0.5mm,1.27mm">
                      <w:txbxContent>
                        <w:p>
                          <w:pPr>
                            <w:tabs>
                              <w:tab w:val="left" w:pos="1021"/>
                            </w:tabs>
                            <w:spacing w:line="320" w:lineRule="exact"/>
                          </w:pPr>
                          <w:r>
                            <w:rPr>
                              <w:rFonts w:hint="eastAsia"/>
                            </w:rPr>
                            <w:t>信息通讯</w:t>
                          </w:r>
                        </w:p>
                      </w:txbxContent>
                    </v:textbox>
                  </v:shape>
                  <v:shape id="文本框 188" o:spid="_x0000_s2363" o:spt="202" type="#_x0000_t202" style="position:absolute;left:3411;top:7195;height:531;width:1533;" fillcolor="#FFFFFF" filled="t" stroked="t" coordsize="21600,21600" o:gfxdata="UEsDBAoAAAAAAIdO4kAAAAAAAAAAAAAAAAAEAAAAZHJzL1BLAwQUAAAACACHTuJAwiT6YbwAAADb&#10;AAAADwAAAGRycy9kb3ducmV2LnhtbEWPQWsCMRSE7wX/Q3iCt5ooaMvWrIdqwYtoVXp+bN5utt28&#10;LJvUXf+9EQo9DjPzDbNaD64RV+pC7VnDbKpAEBfe1FxpuJw/nl9BhIhssPFMGm4UYJ2PnlaYGd/z&#10;J11PsRIJwiFDDTbGNpMyFJYchqlviZNX+s5hTLKrpOmwT3DXyLlSS+mw5rRgsaV3S8XP6ddp6NEe&#10;7AtfcOP2x+H8fdhuyy+l9WQ8U28gIg3xP/zX3hkNiyU8vqQfI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k+mG8AAAA&#10;2wAAAA8AAAAAAAAAAQAgAAAAIgAAAGRycy9kb3ducmV2LnhtbFBLAQIUABQAAAAIAIdO4kAzLwWe&#10;OwAAADkAAAAQAAAAAAAAAAEAIAAAAAsBAABkcnMvc2hhcGV4bWwueG1sUEsFBgAAAAAGAAYAWwEA&#10;ALUDAAAAAA==&#10;">
                    <v:path/>
                    <v:fill on="t" color2="#FFFFFF" focussize="0,0"/>
                    <v:stroke color="#000000" miterlimit="8" joinstyle="miter"/>
                    <v:imagedata o:title=""/>
                    <o:lock v:ext="edit" aspectratio="f"/>
                    <v:textbox inset="0.5mm,1.27mm,0.5mm,1.27mm">
                      <w:txbxContent>
                        <w:p>
                          <w:pPr>
                            <w:tabs>
                              <w:tab w:val="left" w:pos="1021"/>
                            </w:tabs>
                            <w:spacing w:line="320" w:lineRule="exact"/>
                          </w:pPr>
                          <w:r>
                            <w:rPr>
                              <w:rFonts w:hint="eastAsia"/>
                            </w:rPr>
                            <w:t>物质供应</w:t>
                          </w:r>
                        </w:p>
                      </w:txbxContent>
                    </v:textbox>
                  </v:shape>
                  <v:shape id="文本框 189" o:spid="_x0000_s2364" o:spt="202" type="#_x0000_t202" style="position:absolute;left:3411;top:7726;height:531;width:1533;" fillcolor="#FFFFFF" filled="t" stroked="t" coordsize="21600,21600" o:gfxdata="UEsDBAoAAAAAAIdO4kAAAAAAAAAAAAAAAAAEAAAAZHJzL1BLAwQUAAAACACHTuJArWhf+r0AAADb&#10;AAAADwAAAGRycy9kb3ducmV2LnhtbEWPQWvCQBSE7wX/w/IEb3VXwSqpGw/VghexjeL5kX3Jps2+&#10;DdmtSf99t1DocZiZb5jtbnStuFMfGs8aFnMFgrj0puFaw/Xy+rgBESKywdYzafimALt88rDFzPiB&#10;3+lexFokCIcMNdgYu0zKUFpyGOa+I05e5XuHMcm+lqbHIcFdK5dKPUmHDacFix29WCo/iy+nYUB7&#10;tmu+4t6d3sbLx/lwqG5K69l0oZ5BRBrjf/ivfTQaVmv4/ZJ+gM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aF/6vQAA&#10;ANsAAAAPAAAAAAAAAAEAIAAAACIAAABkcnMvZG93bnJldi54bWxQSwECFAAUAAAACACHTuJAMy8F&#10;njsAAAA5AAAAEAAAAAAAAAABACAAAAAMAQAAZHJzL3NoYXBleG1sLnhtbFBLBQYAAAAABgAGAFsB&#10;AAC2AwAAAAA=&#10;">
                    <v:path/>
                    <v:fill on="t" color2="#FFFFFF" focussize="0,0"/>
                    <v:stroke color="#000000" miterlimit="8" joinstyle="miter"/>
                    <v:imagedata o:title=""/>
                    <o:lock v:ext="edit" aspectratio="f"/>
                    <v:textbox inset="0.5mm,1.27mm,0.5mm,1.27mm">
                      <w:txbxContent>
                        <w:p>
                          <w:pPr>
                            <w:tabs>
                              <w:tab w:val="left" w:pos="1021"/>
                            </w:tabs>
                            <w:spacing w:line="320" w:lineRule="exact"/>
                          </w:pPr>
                          <w:r>
                            <w:rPr>
                              <w:rFonts w:hint="eastAsia"/>
                            </w:rPr>
                            <w:t>交通运输</w:t>
                          </w:r>
                        </w:p>
                      </w:txbxContent>
                    </v:textbox>
                  </v:shape>
                  <v:shape id="文本框 190" o:spid="_x0000_s2365" o:spt="202" type="#_x0000_t202" style="position:absolute;left:3411;top:8789;height:531;width:1533;" fillcolor="#FFFFFF" filled="t" stroked="t" coordsize="21600,21600" o:gfxdata="UEsDBAoAAAAAAIdO4kAAAAAAAAAAAAAAAAAEAAAAZHJzL1BLAwQUAAAACACHTuJA3PfLiLgAAADb&#10;AAAADwAAAGRycy9kb3ducmV2LnhtbEVPy4rCMBTdD/gP4QqzGxMFnaEaXfgAN4OOyqwvzbWpNjel&#10;ibb+vVkILg/nPVt0rhJ3akLpWcNwoEAQ596UXGg4HTdfPyBCRDZYeSYNDwqwmPc+ZpgZ3/If3Q+x&#10;ECmEQ4YabIx1JmXILTkMA18TJ+7sG4cxwaaQpsE2hbtKjpSaSIclpwaLNS0t5dfDzWlo0e7sN59w&#10;5X733fGyW6/P/0rrz/5QTUFE6uJb/HJvjYZxGpu+pB8g5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PfLiLgAAADbAAAA&#10;DwAAAAAAAAABACAAAAAiAAAAZHJzL2Rvd25yZXYueG1sUEsBAhQAFAAAAAgAh07iQDMvBZ47AAAA&#10;OQAAABAAAAAAAAAAAQAgAAAABwEAAGRycy9zaGFwZXhtbC54bWxQSwUGAAAAAAYABgBbAQAAsQMA&#10;AAAA&#10;">
                    <v:path/>
                    <v:fill on="t" color2="#FFFFFF" focussize="0,0"/>
                    <v:stroke color="#000000" miterlimit="8" joinstyle="miter"/>
                    <v:imagedata o:title=""/>
                    <o:lock v:ext="edit" aspectratio="f"/>
                    <v:textbox inset="0.5mm,1.27mm,0.5mm,1.27mm">
                      <w:txbxContent>
                        <w:p>
                          <w:pPr>
                            <w:tabs>
                              <w:tab w:val="left" w:pos="1021"/>
                            </w:tabs>
                            <w:spacing w:line="320" w:lineRule="exact"/>
                          </w:pPr>
                          <w:r>
                            <w:rPr>
                              <w:rFonts w:hint="eastAsia"/>
                            </w:rPr>
                            <w:t>维</w:t>
                          </w:r>
                          <w:r>
                            <w:t xml:space="preserve">    </w:t>
                          </w:r>
                          <w:r>
                            <w:rPr>
                              <w:rFonts w:hint="eastAsia"/>
                            </w:rPr>
                            <w:t>修</w:t>
                          </w:r>
                        </w:p>
                      </w:txbxContent>
                    </v:textbox>
                  </v:shape>
                  <v:shape id="文本框 191" o:spid="_x0000_s2366" o:spt="202" type="#_x0000_t202" style="position:absolute;left:6095;top:5070;height:3187;width:843;" fillcolor="#FFFFFF" filled="t" stroked="t" coordsize="21600,21600" o:gfxdata="UEsDBAoAAAAAAIdO4kAAAAAAAAAAAAAAAAAEAAAAZHJzL1BLAwQUAAAACACHTuJA55P5YrgAAADb&#10;AAAADwAAAGRycy9kb3ducmV2LnhtbEWPSwvCMBCE74L/IazgRTRVqGg1ehAsHn1UvC7N2habTWni&#10;698bQfA4zMw3zHL9MrV4UOsqywrGowgEcW51xYWC7LQdzkA4j6yxtkwK3uRgvep2lpho++QDPY6+&#10;EAHCLkEFpfdNIqXLSzLoRrYhDt7VtgZ9kG0hdYvPADe1nETRVBqsOCyU2NCmpPx2vBsFdUqU+UF8&#10;KWTFMt2c4+k+bZTq98bRAoSnl/+Hf+2dVhDP4fsl/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5P5YrgAAADbAAAA&#10;DwAAAAAAAAABACAAAAAiAAAAZHJzL2Rvd25yZXYueG1sUEsBAhQAFAAAAAgAh07iQDMvBZ47AAAA&#10;OQAAABAAAAAAAAAAAQAgAAAABwEAAGRycy9zaGFwZXhtbC54bWxQSwUGAAAAAAYABgBbAQAAsQMA&#10;AAAA&#10;">
                    <v:path/>
                    <v:fill on="t" color2="#FFFFFF" focussize="0,0"/>
                    <v:stroke color="#000000" miterlimit="8" joinstyle="miter"/>
                    <v:imagedata o:title=""/>
                    <o:lock v:ext="edit" aspectratio="f"/>
                    <v:textbox inset="0.5mm,1.27mm,0.5mm,1.27mm" style="layout-flow:vertical-ideographic;">
                      <w:txbxContent>
                        <w:p>
                          <w:pPr>
                            <w:tabs>
                              <w:tab w:val="left" w:pos="1021"/>
                            </w:tabs>
                            <w:jc w:val="center"/>
                          </w:pPr>
                          <w:r>
                            <w:rPr>
                              <w:rFonts w:hint="eastAsia"/>
                            </w:rPr>
                            <w:t>事</w:t>
                          </w:r>
                          <w:r>
                            <w:t xml:space="preserve">  </w:t>
                          </w:r>
                          <w:r>
                            <w:rPr>
                              <w:rFonts w:hint="eastAsia"/>
                            </w:rPr>
                            <w:t>故</w:t>
                          </w:r>
                          <w:r>
                            <w:t xml:space="preserve">  </w:t>
                          </w:r>
                          <w:r>
                            <w:rPr>
                              <w:rFonts w:hint="eastAsia"/>
                            </w:rPr>
                            <w:t>现</w:t>
                          </w:r>
                          <w:r>
                            <w:t xml:space="preserve">  </w:t>
                          </w:r>
                          <w:r>
                            <w:rPr>
                              <w:rFonts w:hint="eastAsia"/>
                            </w:rPr>
                            <w:t>场</w:t>
                          </w:r>
                        </w:p>
                      </w:txbxContent>
                    </v:textbox>
                  </v:shape>
                  <v:shape id="自选图形 192" o:spid="_x0000_s2367" o:spt="66" type="#_x0000_t66" style="position:absolute;left:6990;top:5601;height:2391;width:1278;" fillcolor="#FFFFFF" filled="t" stroked="t" coordsize="21600,21600" o:gfxdata="UEsDBAoAAAAAAIdO4kAAAAAAAAAAAAAAAAAEAAAAZHJzL1BLAwQUAAAACACHTuJAgYjv9LkAAADb&#10;AAAADwAAAGRycy9kb3ducmV2LnhtbEVPu2rDMBTdC/0HcQvdajkZTHCtZGgpNBAMSTtkvFjXllrr&#10;yliqH39fDYGMh/OuDovrxURjsJ4VbLIcBHHjteVOwffXx8sORIjIGnvPpGClAIf940OFpfYzn2m6&#10;xE6kEA4lKjAxDqWUoTHkMGR+IE5c60eHMcGxk3rEOYW7Xm7zvJAOLacGgwO9GWp+L39OQX2SbTEd&#10;a3vVptY4Lev2590q9fy0yV9BRFriXXxzf2oFRVqfvqQfIP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GI7/S5AAAA2wAA&#10;AA8AAAAAAAAAAQAgAAAAIgAAAGRycy9kb3ducmV2LnhtbFBLAQIUABQAAAAIAIdO4kAzLwWeOwAA&#10;ADkAAAAQAAAAAAAAAAEAIAAAAAgBAABkcnMvc2hhcGV4bWwueG1sUEsFBgAAAAAGAAYAWwEAALID&#10;AAAAAA==&#10;" adj="5400,5400">
                    <v:path/>
                    <v:fill on="t" color2="#FFFFFF" focussize="0,0"/>
                    <v:stroke color="#000000" miterlimit="8" joinstyle="miter"/>
                    <v:imagedata o:title=""/>
                    <o:lock v:ext="edit" aspectratio="f"/>
                    <v:textbox inset="0.5mm,1.27mm,0.5mm,1.27mm"/>
                  </v:shape>
                  <v:shape id="自选图形 193" o:spid="_x0000_s2368" o:spt="13" type="#_x0000_t13" style="position:absolute;left:4944;top:5601;height:2391;width:1151;" fillcolor="#FFFFFF" filled="t" stroked="t" coordsize="21600,21600" o:gfxdata="UEsDBAoAAAAAAIdO4kAAAAAAAAAAAAAAAAAEAAAAZHJzL1BLAwQUAAAACACHTuJAMm5CF70AAADb&#10;AAAADwAAAGRycy9kb3ducmV2LnhtbEWPzW7CMBCE75V4B2uReit2OAANGISQED1VIvQBNvGSH+J1&#10;FBtI+/Q1EhLH0cx8o1ltBtuKG/W+dqwhmSgQxIUzNZcafk77jwUIH5ANto5Jwy952KxHbytMjbvz&#10;kW5ZKEWEsE9RQxVCl0rpi4os+onriKN3dr3FEGVfStPjPcJtK6dKzaTFmuNChR3tKiou2dVqmB8X&#10;809u8kPW/F3V+fuQD9sm1/p9nKgliEBDeIWf7S+jYZbA40v8AXL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bkIXvQAA&#10;ANsAAAAPAAAAAAAAAAEAIAAAACIAAABkcnMvZG93bnJldi54bWxQSwECFAAUAAAACACHTuJAMy8F&#10;njsAAAA5AAAAEAAAAAAAAAABACAAAAAMAQAAZHJzL3NoYXBleG1sLnhtbFBLBQYAAAAABgAGAFsB&#10;AAC2AwAAAAA=&#10;" adj="16200,5400">
                    <v:path/>
                    <v:fill on="t" color2="#FFFFFF" focussize="0,0"/>
                    <v:stroke color="#000000" miterlimit="8" joinstyle="miter"/>
                    <v:imagedata o:title=""/>
                    <o:lock v:ext="edit" aspectratio="f"/>
                    <v:textbox inset="0.5mm,1.27mm,0.5mm,1.27mm"/>
                  </v:shape>
                  <v:shape id="文本框 194" o:spid="_x0000_s2369" o:spt="202" type="#_x0000_t202" style="position:absolute;left:2772;top:4539;height:4781;width:639;" fillcolor="#FFFFFF" filled="t" stroked="t" coordsize="21600,21600" o:gfxdata="UEsDBAoAAAAAAIdO4kAAAAAAAAAAAAAAAAAEAAAAZHJzL1BLAwQUAAAACACHTuJAJ1uhrrcAAADb&#10;AAAADwAAAGRycy9kb3ducmV2LnhtbEWPSwvCMBCE74L/IazgRTRVsEg19lCwePSJ16VZ22KzKU18&#10;/XsjCB6HmfmGWaUv04gHda62rGA6iUAQF1bXXCo4HTfjBQjnkTU2lknBmxyk635vhYm2T97T4+BL&#10;ESDsElRQed8mUrqiIoNuYlvi4F1tZ9AH2ZVSd/gMcNPIWRTF0mDNYaHClrKKitvhbhQ0OdHJj+aX&#10;UtYs8+w8j3d5q9RwMI2WIDy9/D/8a2+1gngG3y/hB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W6GutwAAANsAAAAP&#10;AAAAAAAAAAEAIAAAACIAAABkcnMvZG93bnJldi54bWxQSwECFAAUAAAACACHTuJAMy8FnjsAAAA5&#10;AAAAEAAAAAAAAAABACAAAAAGAQAAZHJzL3NoYXBleG1sLnhtbFBLBQYAAAAABgAGAFsBAACwAwAA&#10;AAA=&#10;">
                    <v:path/>
                    <v:fill on="t" color2="#FFFFFF" focussize="0,0"/>
                    <v:stroke color="#000000" miterlimit="8" joinstyle="miter"/>
                    <v:imagedata o:title=""/>
                    <o:lock v:ext="edit" aspectratio="f"/>
                    <v:textbox inset="0.5mm,1.27mm,0.5mm,1.27mm" style="layout-flow:vertical-ideographic;">
                      <w:txbxContent>
                        <w:p>
                          <w:pPr>
                            <w:tabs>
                              <w:tab w:val="left" w:pos="1021"/>
                            </w:tabs>
                            <w:spacing w:line="120" w:lineRule="exact"/>
                            <w:ind w:firstLine="480"/>
                            <w:jc w:val="center"/>
                          </w:pPr>
                        </w:p>
                        <w:p>
                          <w:pPr>
                            <w:tabs>
                              <w:tab w:val="left" w:pos="1021"/>
                            </w:tabs>
                            <w:spacing w:line="320" w:lineRule="exact"/>
                            <w:ind w:firstLine="480"/>
                            <w:jc w:val="center"/>
                          </w:pPr>
                          <w:r>
                            <w:rPr>
                              <w:rFonts w:hint="eastAsia"/>
                            </w:rPr>
                            <w:t>企</w:t>
                          </w:r>
                          <w:r>
                            <w:t xml:space="preserve">  </w:t>
                          </w:r>
                          <w:r>
                            <w:rPr>
                              <w:rFonts w:hint="eastAsia"/>
                            </w:rPr>
                            <w:t>业</w:t>
                          </w:r>
                          <w:r>
                            <w:t xml:space="preserve">  </w:t>
                          </w:r>
                          <w:r>
                            <w:rPr>
                              <w:rFonts w:hint="eastAsia"/>
                            </w:rPr>
                            <w:t>专</w:t>
                          </w:r>
                          <w:r>
                            <w:t xml:space="preserve">  </w:t>
                          </w:r>
                          <w:r>
                            <w:rPr>
                              <w:rFonts w:hint="eastAsia"/>
                            </w:rPr>
                            <w:t>业</w:t>
                          </w:r>
                          <w:r>
                            <w:t xml:space="preserve">  </w:t>
                          </w:r>
                          <w:r>
                            <w:rPr>
                              <w:rFonts w:hint="eastAsia"/>
                            </w:rPr>
                            <w:t>部</w:t>
                          </w:r>
                          <w:r>
                            <w:t xml:space="preserve">  </w:t>
                          </w:r>
                          <w:r>
                            <w:rPr>
                              <w:rFonts w:hint="eastAsia"/>
                            </w:rPr>
                            <w:t>门</w:t>
                          </w:r>
                        </w:p>
                      </w:txbxContent>
                    </v:textbox>
                  </v:shape>
                  <v:shape id="文本框 195" o:spid="_x0000_s2370" o:spt="202" type="#_x0000_t202" style="position:absolute;left:9674;top:5070;height:3719;width:639;" fillcolor="#FFFFFF" filled="t" stroked="t" coordsize="21600,21600" o:gfxdata="UEsDBAoAAAAAAIdO4kAAAAAAAAAAAAAAAAAEAAAAZHJzL1BLAwQUAAAACACHTuJASBcENbgAAADb&#10;AAAADwAAAGRycy9kb3ducmV2LnhtbEWPSwvCMBCE74L/IazgRTRVsUg1ehAsHn1UvC7N2habTWni&#10;698bQfA4zMw3zHL9MrV4UOsqywrGowgEcW51xYWC7LQdzkE4j6yxtkwK3uRgvep2lpho++QDPY6+&#10;EAHCLkEFpfdNIqXLSzLoRrYhDt7VtgZ9kG0hdYvPADe1nERRLA1WHBZKbGhTUn473o2COiXK/GB2&#10;KWTFMt2cZ/E+bZTq98bRAoSnl/+Hf+2dVhBP4fsl/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BcENbgAAADbAAAA&#10;DwAAAAAAAAABACAAAAAiAAAAZHJzL2Rvd25yZXYueG1sUEsBAhQAFAAAAAgAh07iQDMvBZ47AAAA&#10;OQAAABAAAAAAAAAAAQAgAAAABwEAAGRycy9zaGFwZXhtbC54bWxQSwUGAAAAAAYABgBbAQAAsQMA&#10;AAAA&#10;">
                    <v:path/>
                    <v:fill on="t" color2="#FFFFFF" focussize="0,0"/>
                    <v:stroke color="#000000" miterlimit="8" joinstyle="miter"/>
                    <v:imagedata o:title=""/>
                    <o:lock v:ext="edit" aspectratio="f"/>
                    <v:textbox inset="0.5mm,1.27mm,0.5mm,1.27mm" style="layout-flow:vertical-ideographic;">
                      <w:txbxContent>
                        <w:p>
                          <w:pPr>
                            <w:tabs>
                              <w:tab w:val="left" w:pos="1021"/>
                            </w:tabs>
                          </w:pPr>
                          <w:r>
                            <w:rPr>
                              <w:rFonts w:hint="eastAsia"/>
                            </w:rPr>
                            <w:t>分</w:t>
                          </w:r>
                          <w:r>
                            <w:t xml:space="preserve"> </w:t>
                          </w:r>
                          <w:r>
                            <w:rPr>
                              <w:rFonts w:hint="eastAsia"/>
                            </w:rPr>
                            <w:t>厂、车</w:t>
                          </w:r>
                          <w:r>
                            <w:t xml:space="preserve"> </w:t>
                          </w:r>
                          <w:r>
                            <w:rPr>
                              <w:rFonts w:hint="eastAsia"/>
                            </w:rPr>
                            <w:t>间、装</w:t>
                          </w:r>
                          <w:r>
                            <w:t xml:space="preserve"> </w:t>
                          </w:r>
                          <w:r>
                            <w:rPr>
                              <w:rFonts w:hint="eastAsia"/>
                            </w:rPr>
                            <w:t>置、部</w:t>
                          </w:r>
                          <w:r>
                            <w:t xml:space="preserve"> </w:t>
                          </w:r>
                          <w:r>
                            <w:rPr>
                              <w:rFonts w:hint="eastAsia"/>
                            </w:rPr>
                            <w:t>门</w:t>
                          </w:r>
                        </w:p>
                      </w:txbxContent>
                    </v:textbox>
                  </v:shape>
                  <v:line id="直线 196" o:spid="_x0000_s2371" o:spt="20" style="position:absolute;left:2100;top:2312;flip:x;height:0;width:2940;" filled="f" stroked="t" coordsize="21600,21600" o:gfxdata="UEsDBAoAAAAAAIdO4kAAAAAAAAAAAAAAAAAEAAAAZHJzL1BLAwQUAAAACACHTuJAMQ+b/L0AAADb&#10;AAAADwAAAGRycy9kb3ducmV2LnhtbEWP3WrCQBSE7wu+w3KE3umuP4hGV5FSS6FQMEavj9ljEsye&#10;Ddlt1LfvFoReDjPzDbPa3G0tOmp95VjDaKhAEOfOVFxoyA67wRyED8gGa8ek4UEeNuveywoT4268&#10;py4NhYgQ9glqKENoEil9XpJFP3QNcfQurrUYomwLaVq8Rbit5VipmbRYcVwosaG3kvJr+mM1bE9f&#10;75Pv7mxdbRZFdjQ2Ux9jrV/7I7UEEege/sPP9qfRMJvC35f4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D5v8vQAA&#10;ANsAAAAPAAAAAAAAAAEAIAAAACIAAABkcnMvZG93bnJldi54bWxQSwECFAAUAAAACACHTuJAMy8F&#10;njsAAAA5AAAAEAAAAAAAAAABACAAAAAMAQAAZHJzL3NoYXBleG1sLnhtbFBLBQYAAAAABgAGAFsB&#10;AAC2AwAAAAA=&#10;">
                    <v:path arrowok="t"/>
                    <v:fill on="f" focussize="0,0"/>
                    <v:stroke color="#000000" joinstyle="round"/>
                    <v:imagedata o:title=""/>
                    <o:lock v:ext="edit" aspectratio="f"/>
                  </v:line>
                  <v:line id="直线 197" o:spid="_x0000_s2372" o:spt="20" style="position:absolute;left:2112;top:2363;height:5431;width:0;" filled="f" stroked="t" coordsize="21600,21600" o:gfxdata="UEsDBAoAAAAAAIdO4kAAAAAAAAAAAAAAAAAEAAAAZHJzL1BLAwQUAAAACACHTuJAb00ATbwAAADb&#10;AAAADwAAAGRycy9kb3ducmV2LnhtbEWPS4sCMRCE7wv+h9CCF9FERZHR6MHdAQ978YXXZtLODE46&#10;4yS+9tcbQdhjUVVfUfPlw1biRo0vHWsY9BUI4syZknMN+13am4LwAdlg5Zg0PMnDctH6mmNi3J03&#10;dNuGXEQI+wQ1FCHUiZQ+K8ii77uaOHon11gMUTa5NA3eI9xWcqjURFosOS4UWNOqoOy8vVoNPj3Q&#10;Jf3rZl11HOWOhpfv3x/UutMeqBmIQI/wH/6010bDZ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NAE28AAAA&#10;2wAAAA8AAAAAAAAAAQAgAAAAIgAAAGRycy9kb3ducmV2LnhtbFBLAQIUABQAAAAIAIdO4kAzLwWe&#10;OwAAADkAAAAQAAAAAAAAAAEAIAAAAAsBAABkcnMvc2hhcGV4bWwueG1sUEsFBgAAAAAGAAYAWwEA&#10;ALUDAAAAAA==&#10;">
                    <v:path arrowok="t"/>
                    <v:fill on="f" focussize="0,0"/>
                    <v:stroke color="#000000" joinstyle="round"/>
                    <v:imagedata o:title=""/>
                    <o:lock v:ext="edit" aspectratio="f"/>
                  </v:line>
                  <v:line id="直线 198" o:spid="_x0000_s2373" o:spt="20" style="position:absolute;left:2297;top:2492;flip:y;height:5113;width:6;" filled="f" stroked="t" coordsize="21600,21600" o:gfxdata="UEsDBAoAAAAAAIdO4kAAAAAAAAAAAAAAAAAEAAAAZHJzL1BLAwQUAAAACACHTuJArpGgELwAAADb&#10;AAAADwAAAGRycy9kb3ducmV2LnhtbEWPQWvCQBSE7wX/w/IEb3VXhVBTVxFREQShNvb8mn1Ngtm3&#10;IbtG/feuIPQ4zMw3zGxxs7XoqPWVYw2joQJBnDtTcaEh+968f4DwAdlg7Zg03MnDYt57m2Fq3JW/&#10;qDuGQkQI+xQ1lCE0qZQ+L8miH7qGOHp/rrUYomwLaVq8Rrit5VipRFqsOC6U2NCqpPx8vFgNy5/9&#10;enLofq2rzbTITsZmajvWetAfqU8QgW7hP/xq74yGJIHnl/g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6RoBC8AAAA&#10;2wAAAA8AAAAAAAAAAQAgAAAAIgAAAGRycy9kb3ducmV2LnhtbFBLAQIUABQAAAAIAIdO4kAzLwWe&#10;OwAAADkAAAAQAAAAAAAAAAEAIAAAAAsBAABkcnMvc2hhcGV4bWwueG1sUEsFBgAAAAAGAAYAWwEA&#10;ALUDAAAAAA==&#10;">
                    <v:path arrowok="t"/>
                    <v:fill on="f" focussize="0,0"/>
                    <v:stroke color="#000000" joinstyle="round"/>
                    <v:imagedata o:title=""/>
                    <o:lock v:ext="edit" aspectratio="f"/>
                  </v:line>
                  <v:line id="直线 199" o:spid="_x0000_s2374" o:spt="20" style="position:absolute;left:2301;top:2524;height:0;width:2684;" filled="f" stroked="t" coordsize="21600,21600" o:gfxdata="UEsDBAoAAAAAAIdO4kAAAAAAAAAAAAAAAAAEAAAAZHJzL1BLAwQUAAAACACHTuJAg6epF74AAADb&#10;AAAADwAAAGRycy9kb3ducmV2LnhtbEWP3WrCQBSE74W+w3IKvTObpBglunpR2yIUBKMPcMgek9js&#10;2Zhdf+rTdwXBy2Hmm2Fmi6tpxZl611hWkEQxCOLS6oYrBbvt13ACwnlkja1lUvBHDhbzl8EMc20v&#10;vKFz4SsRStjlqKD2vsuldGVNBl1kO+Lg7W1v0AfZV1L3eAnlppVpHGfSYMNhocaOPmoqf4uTUZCt&#10;Pt/Ho+V3kh3Xt5+UD+silSel3l6TeArC09U/ww96pQM3hvuX8APk/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6epF74A&#10;AADbAAAADwAAAAAAAAABACAAAAAiAAAAZHJzL2Rvd25yZXYueG1sUEsBAhQAFAAAAAgAh07iQDMv&#10;BZ47AAAAOQAAABAAAAAAAAAAAQAgAAAADQEAAGRycy9zaGFwZXhtbC54bWxQSwUGAAAAAAYABgBb&#10;AQAAtwMAAAAA&#10;">
                    <v:path arrowok="t"/>
                    <v:fill on="f" focussize="0,0"/>
                    <v:stroke color="#000000" joinstyle="round" endarrow="block" endarrowwidth="narrow" endarrowlength="short"/>
                    <v:imagedata o:title=""/>
                    <o:lock v:ext="edit" aspectratio="f"/>
                  </v:line>
                  <v:line id="直线 200" o:spid="_x0000_s2375" o:spt="20" style="position:absolute;left:2134;top:7794;flip:y;height:9;width:629;" filled="f" stroked="t" coordsize="21600,21600" o:gfxdata="UEsDBAoAAAAAAIdO4kAAAAAAAAAAAAAAAAAEAAAAZHJzL1BLAwQUAAAACACHTuJAYrhfKLsAAADb&#10;AAAADwAAAGRycy9kb3ducmV2LnhtbEVPTYvCMBC9C/6HMAvebOoeRLtGDy4ugljYVhePQzO2xWZS&#10;m2j135vDgsfH+16sHqYRd+pcbVnBJIpBEBdW11wqOOSb8QyE88gaG8uk4EkOVsvhYIGJtj3/0j3z&#10;pQgh7BJUUHnfJlK6oiKDLrItceDOtjPoA+xKqTvsQ7hp5GccT6XBmkNDhS2tKyou2c0o2O1nf6fv&#10;Pk2zPN+lPL9uevdzVGr0MYm/QHh6+Lf4373VCqZhbPgSfo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rhfKLsAAADb&#10;AAAADwAAAAAAAAABACAAAAAiAAAAZHJzL2Rvd25yZXYueG1sUEsBAhQAFAAAAAgAh07iQDMvBZ47&#10;AAAAOQAAABAAAAAAAAAAAQAgAAAACgEAAGRycy9zaGFwZXhtbC54bWxQSwUGAAAAAAYABgBbAQAA&#10;tAMAAAAA&#10;">
                    <v:path arrowok="t"/>
                    <v:fill on="f" focussize="0,0"/>
                    <v:stroke color="#000000" joinstyle="round" endarrow="block" endarrowwidth="narrow" endarrowlength="short"/>
                    <v:imagedata o:title=""/>
                    <o:lock v:ext="edit" aspectratio="f"/>
                  </v:line>
                  <v:line id="直线 201" o:spid="_x0000_s2376" o:spt="20" style="position:absolute;left:6223;top:4007;height:1063;width:0;" filled="f" stroked="t" coordsize="21600,21600" o:gfxdata="UEsDBAoAAAAAAIdO4kAAAAAAAAAAAAAAAAAEAAAAZHJzL1BLAwQUAAAACACHTuJAnXSY/r8AAADb&#10;AAAADwAAAGRycy9kb3ducmV2LnhtbEWP3WrCQBSE7wu+w3KE3ukmKU1rdOOFtkUQhKZ9gEP2mESz&#10;Z2N249/TdwuFXg4z3wyzWF5NK87Uu8aygngagSAurW64UvD99T55BeE8ssbWMim4kYNlPnpYYKbt&#10;hT/pXPhKhBJ2GSqove8yKV1Zk0E3tR1x8Pa2N+iD7Cupe7yEctPKJIpSabDhsFBjR6uaymMxGAXp&#10;5u3p5Xn9Eaen3X2b8GFXJHJQ6nEcR3MQnq7+P/xHb3TgZvD7JfwAmf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0mP6/&#10;AAAA2wAAAA8AAAAAAAAAAQAgAAAAIgAAAGRycy9kb3ducmV2LnhtbFBLAQIUABQAAAAIAIdO4kAz&#10;LwWeOwAAADkAAAAQAAAAAAAAAAEAIAAAAA4BAABkcnMvc2hhcGV4bWwueG1sUEsFBgAAAAAGAAYA&#10;WwEAALgDAAAAAA==&#10;">
                    <v:path arrowok="t"/>
                    <v:fill on="f" focussize="0,0"/>
                    <v:stroke color="#000000" joinstyle="round" endarrow="block" endarrowwidth="narrow" endarrowlength="short"/>
                    <v:imagedata o:title=""/>
                    <o:lock v:ext="edit" aspectratio="f"/>
                  </v:line>
                  <v:line id="直线 202" o:spid="_x0000_s2377" o:spt="20" style="position:absolute;left:6734;top:4007;flip:y;height:1063;width:0;" filled="f" stroked="t" coordsize="21600,21600" o:gfxdata="UEsDBAoAAAAAAIdO4kAAAAAAAAAAAAAAAAAEAAAAZHJzL1BLAwQUAAAACACHTuJAGRfF87wAAADb&#10;AAAADwAAAGRycy9kb3ducmV2LnhtbEVPTWvCQBC9F/wPywi9NRs9WJtm9aAoQmigiZYeh+w0CWZn&#10;Y3ab2H/fPRR6fLzvdHs3nRhpcK1lBYsoBkFcWd1yreBcHp7WIJxH1thZJgU/5GC7mT2kmGg78TuN&#10;ha9FCGGXoILG+z6R0lUNGXSR7YkD92UHgz7AoZZ6wCmEm04u43glDbYcGhrsaddQdS2+jYLsbf3x&#10;uZ/yvCjLLOeX22Fyx4tSj/NF/ArC093/i//cJ63gOawPX8IPk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XxfO8AAAA&#10;2wAAAA8AAAAAAAAAAQAgAAAAIgAAAGRycy9kb3ducmV2LnhtbFBLAQIUABQAAAAIAIdO4kAzLwWe&#10;OwAAADkAAAAQAAAAAAAAAAEAIAAAAAsBAABkcnMvc2hhcGV4bWwueG1sUEsFBgAAAAAGAAYAWwEA&#10;ALUDAAAAAA==&#10;">
                    <v:path arrowok="t"/>
                    <v:fill on="f" focussize="0,0"/>
                    <v:stroke color="#000000" joinstyle="round" endarrow="block" endarrowwidth="narrow" endarrowlength="short"/>
                    <v:imagedata o:title=""/>
                    <o:lock v:ext="edit" aspectratio="f"/>
                  </v:line>
                  <v:line id="直线 203" o:spid="_x0000_s2378" o:spt="20" style="position:absolute;left:3155;top:9586;height:0;width:6902;" filled="f" stroked="t" coordsize="21600,21600" o:gfxdata="UEsDBAoAAAAAAIdO4kAAAAAAAAAAAAAAAAAEAAAAZHJzL1BLAwQUAAAACACHTuJAla+Qk70AAADb&#10;AAAADwAAAGRycy9kb3ducmV2LnhtbEWPzYvCMBTE74L/Q3gLe5E1qQu6VKMHteDBi194fTTPtmzz&#10;UpusX3/9RhA8DjPzG2Yyu9laXKj1lWMNSV+BIM6dqbjQsN9lXz8gfEA2WDsmDXfyMJt2OxNMjbvy&#10;hi7bUIgIYZ+ihjKEJpXS5yVZ9H3XEEfv5FqLIcq2kKbFa4TbWg6UGkqLFceFEhual5T/bv+sBp8d&#10;6Jw9enlPHb8LR4PzYr1ErT8/EjUGEegW3uFXe2U0jB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5CTvQAA&#10;ANsAAAAPAAAAAAAAAAEAIAAAACIAAABkcnMvZG93bnJldi54bWxQSwECFAAUAAAACACHTuJAMy8F&#10;njsAAAA5AAAAEAAAAAAAAAABACAAAAAMAQAAZHJzL3NoYXBleG1sLnhtbFBLBQYAAAAABgAGAFsB&#10;AAC2AwAAAAA=&#10;">
                    <v:path arrowok="t"/>
                    <v:fill on="f" focussize="0,0"/>
                    <v:stroke color="#000000" joinstyle="round"/>
                    <v:imagedata o:title=""/>
                    <o:lock v:ext="edit" aspectratio="f"/>
                  </v:line>
                  <v:line id="直线 204" o:spid="_x0000_s2379" o:spt="20" style="position:absolute;left:3155;top:9320;flip:y;height:266;width:0;" filled="f" stroked="t" coordsize="21600,21600" o:gfxdata="UEsDBAoAAAAAAIdO4kAAAAAAAAAAAAAAAAAEAAAAZHJzL1BLAwQUAAAACACHTuJAhon+H78AAADb&#10;AAAADwAAAGRycy9kb3ducmV2LnhtbEWPQWvCQBSE74X+h+UVems28VBtdM3BoghioEkrHh/ZZxLM&#10;vk2zq9F/3y0Uehxm5htmkd1MJ640uNaygiSKQRBXVrdcK/gs1y8zEM4ja+wsk4I7OciWjw8LTLUd&#10;+YOuha9FgLBLUUHjfZ9K6aqGDLrI9sTBO9nBoA9yqKUecAxw08lJHL9Kgy2HhQZ7WjVUnYuLUbDb&#10;zw7H9zHPi7Lc5fz2vR7d5kup56cknoPwdPP/4b/2ViuYTuD3S/gBcv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aJ/h+/&#10;AAAA2wAAAA8AAAAAAAAAAQAgAAAAIgAAAGRycy9kb3ducmV2LnhtbFBLAQIUABQAAAAIAIdO4kAz&#10;LwWeOwAAADkAAAAQAAAAAAAAAAEAIAAAAA4BAABkcnMvc2hhcGV4bWwueG1sUEsFBgAAAAAGAAYA&#10;WwEAALgDAAAAAA==&#10;">
                    <v:path arrowok="t"/>
                    <v:fill on="f" focussize="0,0"/>
                    <v:stroke color="#000000" joinstyle="round" endarrow="block" endarrowwidth="narrow" endarrowlength="short"/>
                    <v:imagedata o:title=""/>
                    <o:lock v:ext="edit" aspectratio="f"/>
                  </v:line>
                  <v:line id="直线 205" o:spid="_x0000_s2380" o:spt="20" style="position:absolute;left:10057;top:8789;flip:y;height:797;width:0;" filled="f" stroked="t" coordsize="21600,21600" o:gfxdata="UEsDBAoAAAAAAIdO4kAAAAAAAAAAAAAAAAAEAAAAZHJzL1BLAwQUAAAACACHTuJA6cVbhL8AAADb&#10;AAAADwAAAGRycy9kb3ducmV2LnhtbEWPQWvCQBSE7wX/w/IEb3VjBWvTbDwoiiANNKnS4yP7TILZ&#10;t2l2NfbfdwuFHoeZ+YZJVnfTihv1rrGsYDaNQBCXVjdcKfgoto9LEM4ja2wtk4JvcrBKRw8JxtoO&#10;/E633FciQNjFqKD2vouldGVNBt3UdsTBO9veoA+yr6TucQhw08qnKFpIgw2HhRo7WtdUXvKrUXB4&#10;W54+N0OW5UVxyPjlazu43VGpyXgWvYLwdPf/4b/2Xit4nsPvl/ADZP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FW4S/&#10;AAAA2wAAAA8AAAAAAAAAAQAgAAAAIgAAAGRycy9kb3ducmV2LnhtbFBLAQIUABQAAAAIAIdO4kAz&#10;LwWeOwAAADkAAAAQAAAAAAAAAAEAIAAAAA4BAABkcnMvc2hhcGV4bWwueG1sUEsFBgAAAAAGAAYA&#10;WwEAALgDAAAAAA==&#10;">
                    <v:path arrowok="t"/>
                    <v:fill on="f" focussize="0,0"/>
                    <v:stroke color="#000000" joinstyle="round" endarrow="block" endarrowwidth="narrow" endarrowlength="short"/>
                    <v:imagedata o:title=""/>
                    <o:lock v:ext="edit" aspectratio="f"/>
                  </v:line>
                  <v:line id="直线 206" o:spid="_x0000_s2381" o:spt="20" style="position:absolute;left:7117;top:3742;height:0;width:3835;" filled="f" stroked="t" coordsize="21600,21600" o:gfxdata="UEsDBAoAAAAAAIdO4kAAAAAAAAAAAAAAAAAEAAAAZHJzL1BLAwQUAAAACACHTuJAhdgzC78AAADb&#10;AAAADwAAAGRycy9kb3ducmV2LnhtbEWPS2vDMBCE74X8B7GBXkIi2S1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Mwu/&#10;AAAA2wAAAA8AAAAAAAAAAQAgAAAAIgAAAGRycy9kb3ducmV2LnhtbFBLAQIUABQAAAAIAIdO4kAz&#10;LwWeOwAAADkAAAAQAAAAAAAAAAEAIAAAAA4BAABkcnMvc2hhcGV4bWwueG1sUEsFBgAAAAAGAAYA&#10;WwEAALgDAAAAAA==&#10;">
                    <v:path arrowok="t"/>
                    <v:fill on="f" focussize="0,0"/>
                    <v:stroke color="#000000" joinstyle="round"/>
                    <v:imagedata o:title=""/>
                    <o:lock v:ext="edit" aspectratio="f"/>
                  </v:line>
                  <v:line id="直线 207" o:spid="_x0000_s2382" o:spt="20" style="position:absolute;left:10952;top:3742;height:3719;width:0;" filled="f" stroked="t" coordsize="21600,21600" o:gfxdata="UEsDBAoAAAAAAIdO4kAAAAAAAAAAAAAAAAAEAAAAZHJzL1BLAwQUAAAACACHTuJA6pSWkL8AAADb&#10;AAAADwAAAGRycy9kb3ducmV2LnhtbEWPS2vDMBCE74X8B7GBXkIi2aV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UlpC/&#10;AAAA2wAAAA8AAAAAAAAAAQAgAAAAIgAAAGRycy9kb3ducmV2LnhtbFBLAQIUABQAAAAIAIdO4kAz&#10;LwWeOwAAADkAAAAQAAAAAAAAAAEAIAAAAA4BAABkcnMvc2hhcGV4bWwueG1sUEsFBgAAAAAGAAYA&#10;WwEAALgDAAAAAA==&#10;">
                    <v:path arrowok="t"/>
                    <v:fill on="f" focussize="0,0"/>
                    <v:stroke color="#000000" joinstyle="round"/>
                    <v:imagedata o:title=""/>
                    <o:lock v:ext="edit" aspectratio="f"/>
                  </v:line>
                  <v:line id="直线 208" o:spid="_x0000_s2383" o:spt="20" style="position:absolute;left:10310;top:7461;flip:x;height:0;width:639;" filled="f" stroked="t" coordsize="21600,21600" o:gfxdata="UEsDBAoAAAAAAIdO4kAAAAAAAAAAAAAAAAAEAAAAZHJzL1BLAwQUAAAACACHTuJA+bL4HL8AAADb&#10;AAAADwAAAGRycy9kb3ducmV2LnhtbEWPQWvCQBSE74X+h+UVvDWb9KA2uuZgsQhioEkrHh/ZZxLM&#10;vk2zq9F/3y0Uehxm5htmmd1MJ640uNaygiSKQRBXVrdcK/gsN89zEM4ja+wsk4I7OchWjw9LTLUd&#10;+YOuha9FgLBLUUHjfZ9K6aqGDLrI9sTBO9nBoA9yqKUecAxw08mXOJ5Kgy2HhQZ7WjdUnYuLUbDb&#10;zw/HtzHPi7Lc5fz6vRnd+5dSk6ckXoDwdPP/4b/2ViuYTeH3S/gB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my+By/&#10;AAAA2wAAAA8AAAAAAAAAAQAgAAAAIgAAAGRycy9kb3ducmV2LnhtbFBLAQIUABQAAAAIAIdO4kAz&#10;LwWeOwAAADkAAAAQAAAAAAAAAAEAIAAAAA4BAABkcnMvc2hhcGV4bWwueG1sUEsFBgAAAAAGAAYA&#10;WwEAALgDAAAAAA==&#10;">
                    <v:path arrowok="t"/>
                    <v:fill on="f" focussize="0,0"/>
                    <v:stroke color="#000000" joinstyle="round" endarrow="block" endarrowwidth="narrow" endarrowlength="short"/>
                    <v:imagedata o:title=""/>
                    <o:lock v:ext="edit" aspectratio="f"/>
                  </v:line>
                  <v:line id="直线 209" o:spid="_x0000_s2384" o:spt="20" style="position:absolute;left:7117;top:3914;height:0;width:3707;" filled="f" stroked="t" coordsize="21600,21600" o:gfxdata="UEsDBAoAAAAAAIdO4kAAAAAAAAAAAAAAAAAEAAAAZHJzL1BLAwQUAAAACACHTuJAxeOC2r4AAADb&#10;AAAADwAAAGRycy9kb3ducmV2LnhtbEWPQWvCQBSE7wX/w/IEb3UTbVWia0BB7KGXakh7fGRfk9Ds&#10;27C7Rttf3y0UPA4z8w2zyW+mEwM531pWkE4TEMSV1S3XCorz4XEFwgdkjZ1lUvBNHvLt6GGDmbZX&#10;fqPhFGoRIewzVNCE0GdS+qohg35qe+LofVpnMETpaqkdXiPcdHKWJAtpsOW40GBP+4aqr9PFKHgu&#10;h9686p/KHefFjrl4ei/LD6Um4zRZgwh0C/fwf/tFK1gu4e9L/AF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OC2r4A&#10;AADbAAAADwAAAAAAAAABACAAAAAiAAAAZHJzL2Rvd25yZXYueG1sUEsBAhQAFAAAAAgAh07iQDMv&#10;BZ47AAAAOQAAABAAAAAAAAAAAQAgAAAADQEAAGRycy9zaGFwZXhtbC54bWxQSwUGAAAAAAYABgBb&#10;AQAAtwMAAAAA&#10;">
                    <v:path arrowok="t"/>
                    <v:fill on="f" focussize="0,0"/>
                    <v:stroke color="#000000" joinstyle="round" startarrow="block" startarrowwidth="narrow" startarrowlength="short"/>
                    <v:imagedata o:title=""/>
                    <o:lock v:ext="edit" aspectratio="f"/>
                  </v:line>
                  <v:line id="直线 210" o:spid="_x0000_s2385" o:spt="20" style="position:absolute;left:10808;top:3937;height:3426;width:4;" filled="f" stroked="t" coordsize="21600,21600" o:gfxdata="UEsDBAoAAAAAAIdO4kAAAAAAAAAAAAAAAAAEAAAAZHJzL1BLAwQUAAAACACHTuJABJU5DroAAADb&#10;AAAADwAAAGRycy9kb3ducmV2LnhtbEVPy4rCMBTdC/5DuIIb0UQHVKppFzoFF7PRGXF7aa5tsbmp&#10;TcbX15vFwCwP573OHrYRN+p87VjDdKJAEBfO1Fxq+PnOx0sQPiAbbByThid5yNJ+b42JcXfe0+0Q&#10;ShFD2CeooQqhTaT0RUUW/cS1xJE7u85iiLArpenwHsNtI2dKzaXFmmNDhS1tKiouh1+rwedHuuav&#10;UTFSp4/S0ey6/fpErYeDqVqBCPQI/+I/985oWMS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lTkOugAAANsA&#10;AAAPAAAAAAAAAAEAIAAAACIAAABkcnMvZG93bnJldi54bWxQSwECFAAUAAAACACHTuJAMy8FnjsA&#10;AAA5AAAAEAAAAAAAAAABACAAAAAJAQAAZHJzL3NoYXBleG1sLnhtbFBLBQYAAAAABgAGAFsBAACz&#10;AwAAAAA=&#10;">
                    <v:path arrowok="t"/>
                    <v:fill on="f" focussize="0,0"/>
                    <v:stroke color="#000000" joinstyle="round"/>
                    <v:imagedata o:title=""/>
                    <o:lock v:ext="edit" aspectratio="f"/>
                  </v:line>
                  <v:line id="直线 211" o:spid="_x0000_s2386" o:spt="20" style="position:absolute;left:10297;top:7335;flip:x;height:0;width:511;" filled="f" stroked="t" coordsize="21600,21600" o:gfxdata="UEsDBAoAAAAAAIdO4kAAAAAAAAAAAAAAAAAEAAAAZHJzL1BLAwQUAAAACACHTuJAWteiv7wAAADb&#10;AAAADwAAAGRycy9kb3ducmV2LnhtbEWPQWsCMRSE7wX/Q3iCt5qoYHVrFBEVQSio255fN8/dxc3L&#10;somr/nsjFHocZuYbZra420q01PjSsYZBX4EgzpwpOdeQnjbvExA+IBusHJOGB3lYzDtvM0yMu/GB&#10;2mPIRYSwT1BDEUKdSOmzgiz6vquJo3d2jcUQZZNL0+Atwm0lh0qNpcWS40KBNa0Kyi7Hq9Ww/Nmv&#10;R1/tr3WVmebpt7Gp2g617nUH6hNEoHv4D/+1d0bDxxRe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Xor+8AAAA&#10;2wAAAA8AAAAAAAAAAQAgAAAAIgAAAGRycy9kb3ducmV2LnhtbFBLAQIUABQAAAAIAIdO4kAzLwWe&#10;OwAAADkAAAAQAAAAAAAAAAEAIAAAAAsBAABkcnMvc2hhcGV4bWwueG1sUEsFBgAAAAAGAAYAWwEA&#10;ALUDAAAAAA==&#10;">
                    <v:path arrowok="t"/>
                    <v:fill on="f" focussize="0,0"/>
                    <v:stroke color="#000000" joinstyle="round"/>
                    <v:imagedata o:title=""/>
                    <o:lock v:ext="edit" aspectratio="f"/>
                  </v:line>
                  <w10:wrap type="topAndBottom"/>
                </v:group>
              </w:pict>
            </w:r>
            <w:r>
              <w:rPr>
                <w:color w:val="auto"/>
                <w:sz w:val="24"/>
                <w:szCs w:val="24"/>
                <w:lang w:val="zh-CN"/>
              </w:rPr>
              <w:t>项目风险事故处理应当有完整的处理程序图，一旦发生应急事故，必须依照风险事故处理程序图进行操作。企业风险事故应急组织系统基本框图如图</w:t>
            </w:r>
            <w:r>
              <w:rPr>
                <w:rFonts w:hint="eastAsia"/>
                <w:color w:val="auto"/>
                <w:sz w:val="24"/>
                <w:szCs w:val="24"/>
              </w:rPr>
              <w:t>7-</w:t>
            </w:r>
            <w:r>
              <w:rPr>
                <w:rFonts w:hint="eastAsia"/>
                <w:color w:val="auto"/>
                <w:sz w:val="24"/>
                <w:szCs w:val="24"/>
                <w:lang w:val="en-US" w:eastAsia="zh-CN"/>
              </w:rPr>
              <w:t>7</w:t>
            </w:r>
            <w:r>
              <w:rPr>
                <w:color w:val="auto"/>
                <w:sz w:val="24"/>
                <w:szCs w:val="24"/>
                <w:lang w:val="zh-CN"/>
              </w:rPr>
              <w:t>所示，企业应根据自身实际情况加以完善。</w:t>
            </w:r>
          </w:p>
          <w:p>
            <w:pPr>
              <w:pStyle w:val="35"/>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lang w:val="zh-CN"/>
              </w:rPr>
            </w:pP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eastAsia="宋体"/>
                <w:b/>
                <w:color w:val="auto"/>
                <w:sz w:val="21"/>
                <w:szCs w:val="21"/>
                <w:lang w:eastAsia="zh-CN"/>
              </w:rPr>
            </w:pPr>
            <w:r>
              <w:rPr>
                <w:rFonts w:hint="eastAsia"/>
                <w:b/>
                <w:color w:val="auto"/>
                <w:sz w:val="21"/>
                <w:szCs w:val="21"/>
              </w:rPr>
              <w:t>图7-</w:t>
            </w:r>
            <w:r>
              <w:rPr>
                <w:rFonts w:hint="eastAsia"/>
                <w:b/>
                <w:color w:val="auto"/>
                <w:sz w:val="21"/>
                <w:szCs w:val="21"/>
                <w:lang w:val="en-US" w:eastAsia="zh-CN"/>
              </w:rPr>
              <w:t>7</w:t>
            </w:r>
            <w:r>
              <w:rPr>
                <w:b/>
                <w:color w:val="auto"/>
                <w:sz w:val="21"/>
                <w:szCs w:val="21"/>
              </w:rPr>
              <w:t xml:space="preserve">  </w:t>
            </w:r>
            <w:r>
              <w:rPr>
                <w:rFonts w:hint="eastAsia"/>
                <w:b/>
                <w:color w:val="auto"/>
                <w:sz w:val="21"/>
                <w:szCs w:val="21"/>
              </w:rPr>
              <w:t>风险事故应急组织系统</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w:t>
            </w:r>
            <w:r>
              <w:rPr>
                <w:color w:val="auto"/>
                <w:sz w:val="24"/>
                <w:szCs w:val="24"/>
                <w:lang w:val="zh-CN"/>
              </w:rPr>
              <w:t>4</w:t>
            </w:r>
            <w:r>
              <w:rPr>
                <w:rFonts w:hint="eastAsia"/>
                <w:color w:val="auto"/>
                <w:sz w:val="24"/>
                <w:szCs w:val="24"/>
                <w:lang w:val="zh-CN"/>
              </w:rPr>
              <w:t>）风险事故处理措施</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bookmarkStart w:id="14" w:name="_Hlt94842242"/>
            <w:bookmarkEnd w:id="14"/>
            <w:r>
              <w:rPr>
                <w:rFonts w:hint="eastAsia"/>
                <w:color w:val="auto"/>
                <w:sz w:val="24"/>
                <w:szCs w:val="24"/>
                <w:lang w:val="zh-CN"/>
              </w:rPr>
              <w:t>为了有效地处理风险事故，应有切实可行的处置措施。项目风险事故应急措施包括设备器材、事故现场指挥、救护、通讯等系统的建立、现场应急措施方案、事故危害监测队伍、现场撤离和善后措施方案等。</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设立报警、通讯系统以及事故处置领导体系，在全厂建立联锁预警系统，当出现风险事故时，发生事故的装置立即停止生产，最大限度减少污染物的排放；</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制定有效处理事故的应急行动方案，并得到有关部门的认可，能与有关部门有效配合；</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明确职责，并落实到单位和有关人员；</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制定控制和减少事故影响范围、程度以及补救行动的实施计划；</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对事故现场管理以及事故处置全过程的监督，应由富有事故处置经验的人员或有关部门工作人员承担；</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rPr>
            </w:pPr>
            <w:r>
              <w:rPr>
                <w:rFonts w:hint="eastAsia"/>
                <w:color w:val="auto"/>
                <w:sz w:val="24"/>
                <w:szCs w:val="24"/>
                <w:lang w:val="zh-CN"/>
              </w:rPr>
              <w:t>为提高事故处置队伍的协同救援水平和实战能力，检验救援体系的应急综合运作状态，提高其实战水平，应进行应急救援演练。</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（5）风险事故应急计划</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拟建项目必须在平时拟定事故应急预案，以应对可能发生的应急危害事故，一旦发生事故，即可以在有充分准备的情况下，对事故进行紧急处理。</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风险事故的应急计划包括应急状态分类、应急计划区和事故等级水平、应急防护、应急医学处理等。因此，风险事故应急计划应当包括以下内容：</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在生产过程中所使用以及产生的的有毒化学品、危险源的概况；</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应急计划实施区域；</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应急和事故灾害控制的组织、责任、授权人；</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应急状态分类以及应急响应程序；</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应急设备、设施、材料和人员调动系统和程序；</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应急通知和与授权人、有关人员、相关方面的通讯系统和程序；</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应急环境监测和事故环境影响评价；</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应急防护措施，清除泄漏物的措施、方法和使用器材；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提供应急人员接触剂量控制、人员撤离、医疗救护与公众健康保证的系统和程序；</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应急状态终止与事故影响的恢复措施；</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应急人员培训、演练和试验应急系统的程序；</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应急事故的公众教育以及事故信息公布程序；</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调动第三方资源进行应急支持的安排和程序；</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事故的记录和报告程序。</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rPr>
            </w:pPr>
            <w:r>
              <w:rPr>
                <w:rFonts w:hint="eastAsia"/>
                <w:color w:val="auto"/>
                <w:sz w:val="24"/>
                <w:szCs w:val="24"/>
                <w:lang w:val="zh-CN"/>
              </w:rPr>
              <w:t>本项目具体的环境风险应急预案，建设单位应按相关法律法规另行制定，并在相应级别的环境保护部门备案。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b/>
                <w:bCs/>
                <w:color w:val="auto"/>
                <w:sz w:val="24"/>
                <w:szCs w:val="24"/>
              </w:rPr>
            </w:pPr>
            <w:bookmarkStart w:id="15" w:name="_Toc523252869"/>
            <w:bookmarkStart w:id="16" w:name="_Toc478805761"/>
            <w:r>
              <w:rPr>
                <w:rFonts w:hint="eastAsia"/>
                <w:b/>
                <w:bCs/>
                <w:color w:val="auto"/>
                <w:sz w:val="24"/>
                <w:szCs w:val="24"/>
                <w:lang w:val="en-US" w:eastAsia="zh-CN"/>
              </w:rPr>
              <w:t>7.4.6</w:t>
            </w:r>
            <w:r>
              <w:rPr>
                <w:rFonts w:hint="eastAsia"/>
                <w:b/>
                <w:bCs/>
                <w:color w:val="auto"/>
                <w:sz w:val="24"/>
                <w:szCs w:val="24"/>
              </w:rPr>
              <w:t>环境风险分析总结论</w:t>
            </w:r>
            <w:bookmarkEnd w:id="15"/>
            <w:bookmarkEnd w:id="16"/>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项目建成后，除了进行必要的工程质量、施工等方面的验收外，在运行期间，建设单位必须均采取较为有效的风险预防措施，以最大限度地降低事故风险。</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综上所述，本项目运营后加强监控和管理，严格控制进水水质，在进水端和出水端安装污水在线监测设备实现动态监控，及时发现和处理问题，在各环境风险防范措施及应急预案落实到位的情况下，本项目从环境风险角度判断是可行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bCs/>
                <w:color w:val="auto"/>
                <w:kern w:val="24"/>
                <w:sz w:val="28"/>
                <w:szCs w:val="28"/>
              </w:rPr>
            </w:pPr>
            <w:r>
              <w:rPr>
                <w:rFonts w:hint="eastAsia"/>
                <w:b/>
                <w:bCs/>
                <w:color w:val="auto"/>
                <w:kern w:val="24"/>
                <w:sz w:val="28"/>
                <w:szCs w:val="28"/>
              </w:rPr>
              <w:t>7.5项目符合性及合理性分析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b/>
                <w:color w:val="auto"/>
                <w:sz w:val="24"/>
                <w:szCs w:val="24"/>
              </w:rPr>
            </w:pPr>
            <w:r>
              <w:rPr>
                <w:rFonts w:hint="eastAsia"/>
                <w:b/>
                <w:color w:val="auto"/>
                <w:sz w:val="24"/>
                <w:szCs w:val="24"/>
              </w:rPr>
              <w:t xml:space="preserve">7.5.1 </w:t>
            </w:r>
            <w:r>
              <w:rPr>
                <w:b/>
                <w:color w:val="auto"/>
                <w:sz w:val="24"/>
                <w:szCs w:val="24"/>
              </w:rPr>
              <w:t>产业政策及规划符合性分析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lang w:val="zh-CN"/>
              </w:rPr>
            </w:pPr>
            <w:r>
              <w:rPr>
                <w:rFonts w:hint="eastAsia"/>
                <w:color w:val="auto"/>
                <w:sz w:val="24"/>
                <w:szCs w:val="24"/>
                <w:lang w:val="zh-CN"/>
              </w:rPr>
              <w:t>本项目为城市基础设施类工程。经查询《产业结构调整指导目录（20</w:t>
            </w:r>
            <w:r>
              <w:rPr>
                <w:rFonts w:hint="eastAsia"/>
                <w:color w:val="auto"/>
                <w:sz w:val="24"/>
                <w:szCs w:val="24"/>
                <w:lang w:val="en-US" w:eastAsia="zh-CN"/>
              </w:rPr>
              <w:t>19</w:t>
            </w:r>
            <w:r>
              <w:rPr>
                <w:rFonts w:hint="eastAsia"/>
                <w:color w:val="auto"/>
                <w:sz w:val="24"/>
                <w:szCs w:val="24"/>
                <w:lang w:val="zh-CN"/>
              </w:rPr>
              <w:t>年本）》，本项目属于目录鼓励类项目中第四十三条“环境保护与资源节约综合利用”第</w:t>
            </w:r>
            <w:r>
              <w:rPr>
                <w:rFonts w:hint="eastAsia"/>
                <w:color w:val="auto"/>
                <w:sz w:val="24"/>
                <w:szCs w:val="24"/>
                <w:lang w:val="en-US" w:eastAsia="zh-CN"/>
              </w:rPr>
              <w:t>20</w:t>
            </w:r>
            <w:r>
              <w:rPr>
                <w:rFonts w:hint="eastAsia"/>
                <w:color w:val="auto"/>
                <w:sz w:val="24"/>
                <w:szCs w:val="24"/>
                <w:lang w:val="zh-CN"/>
              </w:rPr>
              <w:t>项</w:t>
            </w:r>
            <w:r>
              <w:rPr>
                <w:rFonts w:hint="eastAsia"/>
                <w:color w:val="auto"/>
                <w:sz w:val="24"/>
                <w:szCs w:val="24"/>
                <w:lang w:val="en-US" w:eastAsia="zh-CN"/>
              </w:rPr>
              <w:t xml:space="preserve"> </w:t>
            </w:r>
            <w:r>
              <w:rPr>
                <w:rFonts w:hint="eastAsia"/>
                <w:color w:val="auto"/>
                <w:sz w:val="24"/>
                <w:szCs w:val="24"/>
                <w:lang w:val="zh-CN"/>
              </w:rPr>
              <w:t xml:space="preserve">农村生活污水无害化处理和综合利用工程，因此本项目建设符合国家产业政策的要求。 </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b/>
                <w:color w:val="auto"/>
                <w:sz w:val="24"/>
                <w:szCs w:val="24"/>
                <w:highlight w:val="none"/>
                <w:u w:val="none"/>
              </w:rPr>
            </w:pPr>
            <w:r>
              <w:rPr>
                <w:rFonts w:hint="eastAsia"/>
                <w:b/>
                <w:color w:val="auto"/>
                <w:sz w:val="24"/>
                <w:szCs w:val="24"/>
                <w:highlight w:val="none"/>
                <w:u w:val="none"/>
              </w:rPr>
              <w:t xml:space="preserve">7.5.2 </w:t>
            </w:r>
            <w:r>
              <w:rPr>
                <w:b/>
                <w:color w:val="auto"/>
                <w:sz w:val="24"/>
                <w:szCs w:val="24"/>
                <w:highlight w:val="none"/>
                <w:u w:val="none"/>
              </w:rPr>
              <w:t>项目选址合理性分析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eastAsia="宋体"/>
                <w:color w:val="auto"/>
                <w:sz w:val="24"/>
                <w:szCs w:val="22"/>
                <w:highlight w:val="none"/>
                <w:u w:val="none"/>
                <w:lang w:val="en-US" w:eastAsia="zh-CN"/>
              </w:rPr>
            </w:pPr>
            <w:r>
              <w:rPr>
                <w:rFonts w:hint="eastAsia"/>
                <w:color w:val="auto"/>
                <w:sz w:val="24"/>
                <w:szCs w:val="24"/>
                <w:highlight w:val="none"/>
                <w:u w:val="none"/>
              </w:rPr>
              <w:t>本项目拟建于</w:t>
            </w:r>
            <w:r>
              <w:rPr>
                <w:rFonts w:hint="eastAsia"/>
                <w:color w:val="auto"/>
                <w:sz w:val="24"/>
                <w:szCs w:val="24"/>
                <w:highlight w:val="none"/>
                <w:u w:val="none"/>
                <w:lang w:eastAsia="zh-CN"/>
              </w:rPr>
              <w:t>邵阳市汽车小镇建设用地的西南侧，地邵水河西岸，X019县道南侧</w:t>
            </w:r>
            <w:r>
              <w:rPr>
                <w:rFonts w:hint="eastAsia"/>
                <w:color w:val="auto"/>
                <w:sz w:val="24"/>
                <w:szCs w:val="22"/>
                <w:highlight w:val="none"/>
                <w:u w:val="none"/>
              </w:rPr>
              <w:t>，厂址位置地势</w:t>
            </w:r>
            <w:r>
              <w:rPr>
                <w:rFonts w:hint="eastAsia"/>
                <w:color w:val="auto"/>
                <w:sz w:val="24"/>
                <w:szCs w:val="22"/>
                <w:highlight w:val="none"/>
                <w:u w:val="none"/>
                <w:lang w:eastAsia="zh-CN"/>
              </w:rPr>
              <w:t>相对</w:t>
            </w:r>
            <w:r>
              <w:rPr>
                <w:rFonts w:hint="eastAsia"/>
                <w:color w:val="auto"/>
                <w:sz w:val="24"/>
                <w:szCs w:val="22"/>
                <w:highlight w:val="none"/>
                <w:u w:val="none"/>
              </w:rPr>
              <w:t>较低，</w:t>
            </w:r>
            <w:r>
              <w:rPr>
                <w:rFonts w:hint="eastAsia" w:ascii="Times New Roman" w:hAnsi="Times New Roman" w:eastAsia="宋体" w:cs="Times New Roman"/>
                <w:color w:val="auto"/>
                <w:spacing w:val="-7"/>
                <w:sz w:val="24"/>
                <w:szCs w:val="22"/>
                <w:u w:val="none"/>
                <w:lang w:val="en-US" w:eastAsia="zh-CN"/>
              </w:rPr>
              <w:t>污水可由进污干管重力自流进入污水处理厂，</w:t>
            </w:r>
            <w:r>
              <w:rPr>
                <w:rFonts w:hint="eastAsia"/>
                <w:color w:val="auto"/>
                <w:spacing w:val="-7"/>
                <w:sz w:val="24"/>
                <w:szCs w:val="22"/>
                <w:u w:val="none"/>
              </w:rPr>
              <w:t>沿途</w:t>
            </w:r>
            <w:r>
              <w:rPr>
                <w:rFonts w:hint="eastAsia"/>
                <w:color w:val="auto"/>
                <w:spacing w:val="-7"/>
                <w:sz w:val="24"/>
                <w:szCs w:val="22"/>
                <w:u w:val="none"/>
                <w:lang w:eastAsia="zh-CN"/>
              </w:rPr>
              <w:t>可</w:t>
            </w:r>
            <w:r>
              <w:rPr>
                <w:rFonts w:hint="eastAsia"/>
                <w:color w:val="auto"/>
                <w:spacing w:val="-7"/>
                <w:sz w:val="24"/>
                <w:szCs w:val="22"/>
                <w:u w:val="none"/>
              </w:rPr>
              <w:t>不设提升泵</w:t>
            </w:r>
            <w:r>
              <w:rPr>
                <w:rFonts w:hint="eastAsia"/>
                <w:color w:val="auto"/>
                <w:spacing w:val="-7"/>
                <w:sz w:val="24"/>
                <w:szCs w:val="22"/>
                <w:u w:val="none"/>
                <w:lang w:eastAsia="zh-CN"/>
              </w:rPr>
              <w:t>，可减少项目投资</w:t>
            </w:r>
            <w:r>
              <w:rPr>
                <w:rFonts w:hint="eastAsia"/>
                <w:color w:val="auto"/>
                <w:sz w:val="24"/>
                <w:szCs w:val="22"/>
                <w:highlight w:val="none"/>
                <w:u w:val="none"/>
              </w:rPr>
              <w:t>。</w:t>
            </w:r>
            <w:r>
              <w:rPr>
                <w:rFonts w:hint="eastAsia"/>
                <w:color w:val="auto"/>
                <w:sz w:val="24"/>
                <w:szCs w:val="22"/>
                <w:highlight w:val="none"/>
                <w:u w:val="none"/>
                <w:lang w:eastAsia="zh-CN"/>
              </w:rPr>
              <w:t>根据现场调查，</w:t>
            </w:r>
            <w:r>
              <w:rPr>
                <w:rFonts w:hint="eastAsia"/>
                <w:color w:val="auto"/>
                <w:sz w:val="24"/>
                <w:szCs w:val="22"/>
                <w:highlight w:val="none"/>
                <w:u w:val="none"/>
              </w:rPr>
              <w:t>厂址周边为</w:t>
            </w:r>
            <w:r>
              <w:rPr>
                <w:rFonts w:hint="eastAsia"/>
                <w:color w:val="auto"/>
                <w:sz w:val="24"/>
                <w:szCs w:val="22"/>
                <w:highlight w:val="none"/>
                <w:u w:val="none"/>
                <w:lang w:eastAsia="zh-CN"/>
              </w:rPr>
              <w:t>空地</w:t>
            </w:r>
            <w:r>
              <w:rPr>
                <w:rFonts w:hint="eastAsia"/>
                <w:color w:val="auto"/>
                <w:sz w:val="24"/>
                <w:szCs w:val="22"/>
                <w:highlight w:val="none"/>
                <w:u w:val="none"/>
              </w:rPr>
              <w:t>，</w:t>
            </w:r>
            <w:r>
              <w:rPr>
                <w:rFonts w:hint="default" w:eastAsia="宋体"/>
                <w:color w:val="auto"/>
                <w:sz w:val="24"/>
                <w:szCs w:val="22"/>
                <w:highlight w:val="none"/>
                <w:u w:val="none"/>
                <w:lang w:val="en-US" w:eastAsia="zh-CN"/>
              </w:rPr>
              <w:t>场地较为开阔</w:t>
            </w:r>
            <w:r>
              <w:rPr>
                <w:rFonts w:hint="eastAsia" w:eastAsia="宋体"/>
                <w:color w:val="auto"/>
                <w:sz w:val="24"/>
                <w:szCs w:val="22"/>
                <w:highlight w:val="none"/>
                <w:u w:val="none"/>
                <w:lang w:val="en-US" w:eastAsia="zh-CN"/>
              </w:rPr>
              <w:t>，</w:t>
            </w:r>
            <w:r>
              <w:rPr>
                <w:rFonts w:hint="eastAsia"/>
                <w:color w:val="auto"/>
                <w:sz w:val="24"/>
                <w:szCs w:val="22"/>
                <w:highlight w:val="none"/>
                <w:u w:val="none"/>
              </w:rPr>
              <w:t>用地敏感度低</w:t>
            </w:r>
            <w:r>
              <w:rPr>
                <w:rFonts w:hint="eastAsia"/>
                <w:color w:val="auto"/>
                <w:sz w:val="24"/>
                <w:szCs w:val="22"/>
                <w:highlight w:val="none"/>
                <w:u w:val="none"/>
                <w:lang w:eastAsia="zh-CN"/>
              </w:rPr>
              <w:t>，项目用地不占用基本农田，不</w:t>
            </w:r>
            <w:r>
              <w:rPr>
                <w:rFonts w:hint="eastAsia"/>
                <w:color w:val="auto"/>
                <w:sz w:val="24"/>
                <w:szCs w:val="22"/>
                <w:highlight w:val="none"/>
                <w:u w:val="none"/>
                <w:lang w:val="en-US" w:eastAsia="zh-CN"/>
              </w:rPr>
              <w:t>涉及自然保护区、风景名胜区等，</w:t>
            </w:r>
            <w:r>
              <w:rPr>
                <w:rFonts w:hint="eastAsia"/>
                <w:color w:val="auto"/>
                <w:sz w:val="24"/>
                <w:szCs w:val="22"/>
                <w:highlight w:val="none"/>
                <w:u w:val="none"/>
                <w:lang w:eastAsia="zh-CN"/>
              </w:rPr>
              <w:t>卫生防护距离</w:t>
            </w:r>
            <w:r>
              <w:rPr>
                <w:rFonts w:hint="eastAsia"/>
                <w:color w:val="auto"/>
                <w:sz w:val="24"/>
                <w:szCs w:val="22"/>
                <w:highlight w:val="none"/>
                <w:u w:val="none"/>
                <w:lang w:val="en-US" w:eastAsia="zh-CN"/>
              </w:rPr>
              <w:t>100m范围内无环境敏感点，不涉及居民搬迁，无明显的环境制约因素。</w:t>
            </w:r>
            <w:r>
              <w:rPr>
                <w:rFonts w:ascii="宋体" w:hAnsi="宋体" w:eastAsia="宋体" w:cs="宋体"/>
                <w:color w:val="auto"/>
                <w:sz w:val="24"/>
                <w:szCs w:val="24"/>
                <w:u w:val="none"/>
              </w:rPr>
              <w:t>污水处理厂临近受纳水体</w:t>
            </w:r>
            <w:r>
              <w:rPr>
                <w:rFonts w:hint="eastAsia" w:ascii="宋体" w:hAnsi="宋体" w:eastAsia="宋体" w:cs="宋体"/>
                <w:color w:val="auto"/>
                <w:sz w:val="24"/>
                <w:szCs w:val="24"/>
                <w:u w:val="none"/>
                <w:lang w:eastAsia="zh-CN"/>
              </w:rPr>
              <w:t>邵水</w:t>
            </w:r>
            <w:r>
              <w:rPr>
                <w:rFonts w:ascii="宋体" w:hAnsi="宋体" w:eastAsia="宋体" w:cs="宋体"/>
                <w:color w:val="auto"/>
                <w:sz w:val="24"/>
                <w:szCs w:val="24"/>
                <w:u w:val="none"/>
              </w:rPr>
              <w:t>路布置，</w:t>
            </w:r>
            <w:r>
              <w:rPr>
                <w:rFonts w:hint="default" w:eastAsia="宋体"/>
                <w:color w:val="auto"/>
                <w:sz w:val="24"/>
                <w:szCs w:val="22"/>
                <w:highlight w:val="none"/>
                <w:u w:val="none"/>
                <w:lang w:val="en-US" w:eastAsia="zh-CN"/>
              </w:rPr>
              <w:t>污水经处理后可就近排入临近的</w:t>
            </w:r>
            <w:r>
              <w:rPr>
                <w:rFonts w:hint="eastAsia"/>
                <w:color w:val="auto"/>
                <w:sz w:val="24"/>
                <w:szCs w:val="22"/>
                <w:highlight w:val="none"/>
                <w:u w:val="none"/>
                <w:lang w:val="en-US" w:eastAsia="zh-CN"/>
              </w:rPr>
              <w:t>邵水</w:t>
            </w:r>
            <w:r>
              <w:rPr>
                <w:rFonts w:hint="default" w:eastAsia="宋体"/>
                <w:color w:val="auto"/>
                <w:sz w:val="24"/>
                <w:szCs w:val="22"/>
                <w:highlight w:val="none"/>
                <w:u w:val="none"/>
                <w:lang w:val="en-US" w:eastAsia="zh-CN"/>
              </w:rPr>
              <w:t>，有利于排水。</w:t>
            </w:r>
          </w:p>
          <w:p>
            <w:pPr>
              <w:pStyle w:val="12"/>
              <w:keepNext w:val="0"/>
              <w:keepLines w:val="0"/>
              <w:pageBreakBefore w:val="0"/>
              <w:widowControl w:val="0"/>
              <w:kinsoku/>
              <w:wordWrap/>
              <w:overflowPunct/>
              <w:topLinePunct w:val="0"/>
              <w:bidi w:val="0"/>
              <w:adjustRightInd w:val="0"/>
              <w:snapToGrid w:val="0"/>
              <w:spacing w:line="360" w:lineRule="auto"/>
              <w:ind w:firstLine="460"/>
              <w:rPr>
                <w:rFonts w:hint="eastAsia"/>
                <w:color w:val="auto"/>
                <w:sz w:val="24"/>
                <w:szCs w:val="24"/>
                <w:u w:val="none"/>
              </w:rPr>
            </w:pPr>
            <w:r>
              <w:rPr>
                <w:rFonts w:hint="eastAsia"/>
                <w:color w:val="auto"/>
                <w:sz w:val="24"/>
                <w:szCs w:val="24"/>
                <w:u w:val="none"/>
                <w:lang w:val="en-US" w:eastAsia="zh-CN"/>
              </w:rPr>
              <w:t>本项目主要收集</w:t>
            </w:r>
            <w:r>
              <w:rPr>
                <w:rFonts w:hint="eastAsia" w:ascii="Times New Roman" w:hAnsi="Times New Roman" w:eastAsia="宋体" w:cs="Times New Roman"/>
                <w:color w:val="auto"/>
                <w:spacing w:val="-7"/>
                <w:sz w:val="24"/>
                <w:szCs w:val="22"/>
                <w:u w:val="none"/>
                <w:lang w:val="en-US" w:eastAsia="zh-CN"/>
              </w:rPr>
              <w:t>收集</w:t>
            </w:r>
            <w:r>
              <w:rPr>
                <w:rFonts w:hint="eastAsia" w:ascii="Times New Roman" w:hAnsi="Times New Roman" w:cs="Times New Roman"/>
                <w:color w:val="auto"/>
                <w:sz w:val="24"/>
                <w:szCs w:val="22"/>
                <w:highlight w:val="none"/>
                <w:u w:val="none"/>
                <w:lang w:eastAsia="zh-CN"/>
              </w:rPr>
              <w:t>渡头桥镇及爱莲社区</w:t>
            </w:r>
            <w:r>
              <w:rPr>
                <w:rFonts w:hint="eastAsia" w:ascii="Times New Roman" w:hAnsi="Times New Roman" w:eastAsia="宋体" w:cs="Times New Roman"/>
                <w:color w:val="auto"/>
                <w:spacing w:val="-7"/>
                <w:sz w:val="24"/>
                <w:szCs w:val="22"/>
                <w:u w:val="none"/>
                <w:lang w:val="en-US" w:eastAsia="zh-CN"/>
              </w:rPr>
              <w:t>生活污水</w:t>
            </w:r>
            <w:r>
              <w:rPr>
                <w:rFonts w:hint="eastAsia"/>
                <w:color w:val="auto"/>
                <w:sz w:val="24"/>
                <w:szCs w:val="24"/>
                <w:u w:val="none"/>
                <w:lang w:val="en-US" w:eastAsia="zh-CN"/>
              </w:rPr>
              <w:t>。该区域虽然临近市区，但市政污水管网还未延伸到该区域，目前区域内尚无完善的污水管网系统及污水处理设施。同时随着镇区的发展，废水量也将进一步增加，且该部分污水主要为居民生活污水，目前区域尚无污水处理厂，废水主要排入河道，对区域地表水环境影响较大。所以，本项目的建设是必要的。</w:t>
            </w:r>
          </w:p>
          <w:p>
            <w:pPr>
              <w:pStyle w:val="12"/>
              <w:keepNext w:val="0"/>
              <w:keepLines w:val="0"/>
              <w:pageBreakBefore w:val="0"/>
              <w:widowControl w:val="0"/>
              <w:kinsoku/>
              <w:wordWrap/>
              <w:overflowPunct/>
              <w:topLinePunct w:val="0"/>
              <w:bidi w:val="0"/>
              <w:adjustRightInd w:val="0"/>
              <w:snapToGrid w:val="0"/>
              <w:spacing w:line="360" w:lineRule="auto"/>
              <w:ind w:firstLine="460"/>
              <w:rPr>
                <w:color w:val="auto"/>
                <w:sz w:val="24"/>
                <w:szCs w:val="24"/>
                <w:u w:val="none"/>
              </w:rPr>
            </w:pPr>
            <w:r>
              <w:rPr>
                <w:rFonts w:hint="eastAsia"/>
                <w:color w:val="auto"/>
                <w:sz w:val="24"/>
                <w:szCs w:val="24"/>
                <w:u w:val="none"/>
              </w:rPr>
              <w:t>综上所述，本项目选址合理。</w:t>
            </w:r>
          </w:p>
          <w:p>
            <w:pPr>
              <w:keepNext w:val="0"/>
              <w:keepLines w:val="0"/>
              <w:pageBreakBefore w:val="0"/>
              <w:widowControl w:val="0"/>
              <w:kinsoku/>
              <w:wordWrap/>
              <w:overflowPunct/>
              <w:topLinePunct w:val="0"/>
              <w:bidi w:val="0"/>
              <w:adjustRightInd w:val="0"/>
              <w:snapToGrid w:val="0"/>
              <w:spacing w:line="360" w:lineRule="auto"/>
              <w:ind w:firstLine="462" w:firstLineChars="200"/>
              <w:rPr>
                <w:b/>
                <w:color w:val="auto"/>
                <w:sz w:val="24"/>
                <w:szCs w:val="24"/>
                <w:u w:val="none"/>
              </w:rPr>
            </w:pPr>
            <w:r>
              <w:rPr>
                <w:rFonts w:hint="eastAsia"/>
                <w:b/>
                <w:color w:val="auto"/>
                <w:sz w:val="24"/>
                <w:szCs w:val="24"/>
                <w:u w:val="none"/>
              </w:rPr>
              <w:t xml:space="preserve">7.5.3 </w:t>
            </w:r>
            <w:r>
              <w:rPr>
                <w:b/>
                <w:color w:val="auto"/>
                <w:sz w:val="24"/>
                <w:szCs w:val="24"/>
                <w:u w:val="none"/>
              </w:rPr>
              <w:t>平面布局合理性分析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eastAsia="宋体"/>
                <w:color w:val="auto"/>
                <w:sz w:val="24"/>
                <w:szCs w:val="22"/>
                <w:highlight w:val="none"/>
                <w:u w:val="none"/>
                <w:lang w:val="en-US" w:eastAsia="zh-CN"/>
              </w:rPr>
            </w:pPr>
            <w:r>
              <w:rPr>
                <w:rFonts w:hint="eastAsia"/>
                <w:color w:val="auto"/>
                <w:sz w:val="24"/>
                <w:szCs w:val="24"/>
                <w:u w:val="none"/>
              </w:rPr>
              <w:t>根据本项目总平面布置图（附图</w:t>
            </w:r>
            <w:r>
              <w:rPr>
                <w:rFonts w:hint="eastAsia"/>
                <w:color w:val="auto"/>
                <w:sz w:val="24"/>
                <w:szCs w:val="24"/>
                <w:u w:val="none"/>
                <w:lang w:val="en-US" w:eastAsia="zh-CN"/>
              </w:rPr>
              <w:t>2</w:t>
            </w:r>
            <w:r>
              <w:rPr>
                <w:rFonts w:hint="eastAsia"/>
                <w:color w:val="auto"/>
                <w:sz w:val="24"/>
                <w:szCs w:val="24"/>
                <w:u w:val="none"/>
              </w:rPr>
              <w:t>），本项目厂区按照不同的功能区分为办公区、污水区和污泥区。污水区位于厂区</w:t>
            </w:r>
            <w:r>
              <w:rPr>
                <w:rFonts w:hint="eastAsia"/>
                <w:color w:val="auto"/>
                <w:sz w:val="24"/>
                <w:szCs w:val="24"/>
                <w:u w:val="none"/>
                <w:lang w:eastAsia="zh-CN"/>
              </w:rPr>
              <w:t>南</w:t>
            </w:r>
            <w:r>
              <w:rPr>
                <w:rFonts w:hint="eastAsia"/>
                <w:color w:val="auto"/>
                <w:sz w:val="24"/>
                <w:szCs w:val="24"/>
                <w:u w:val="none"/>
              </w:rPr>
              <w:t>侧，污泥区位于厂内</w:t>
            </w:r>
            <w:r>
              <w:rPr>
                <w:rFonts w:hint="eastAsia"/>
                <w:color w:val="auto"/>
                <w:sz w:val="24"/>
                <w:szCs w:val="24"/>
                <w:u w:val="none"/>
                <w:lang w:eastAsia="zh-CN"/>
              </w:rPr>
              <w:t>东南</w:t>
            </w:r>
            <w:r>
              <w:rPr>
                <w:rFonts w:hint="eastAsia"/>
                <w:color w:val="auto"/>
                <w:sz w:val="24"/>
                <w:szCs w:val="24"/>
                <w:u w:val="none"/>
              </w:rPr>
              <w:t>面，区域主要风向为东</w:t>
            </w:r>
            <w:r>
              <w:rPr>
                <w:rFonts w:hint="eastAsia"/>
                <w:color w:val="auto"/>
                <w:sz w:val="24"/>
                <w:szCs w:val="24"/>
                <w:u w:val="none"/>
                <w:lang w:eastAsia="zh-CN"/>
              </w:rPr>
              <w:t>北</w:t>
            </w:r>
            <w:r>
              <w:rPr>
                <w:rFonts w:hint="eastAsia"/>
                <w:color w:val="auto"/>
                <w:sz w:val="24"/>
                <w:szCs w:val="24"/>
                <w:u w:val="none"/>
              </w:rPr>
              <w:t>风，办公区</w:t>
            </w:r>
            <w:r>
              <w:rPr>
                <w:rFonts w:hint="eastAsia"/>
                <w:color w:val="auto"/>
                <w:sz w:val="24"/>
                <w:szCs w:val="24"/>
                <w:u w:val="none"/>
                <w:lang w:eastAsia="zh-CN"/>
              </w:rPr>
              <w:t>位于</w:t>
            </w:r>
            <w:r>
              <w:rPr>
                <w:rFonts w:hint="eastAsia"/>
                <w:color w:val="auto"/>
                <w:sz w:val="24"/>
                <w:szCs w:val="24"/>
                <w:u w:val="none"/>
              </w:rPr>
              <w:t>厂区东</w:t>
            </w:r>
            <w:r>
              <w:rPr>
                <w:rFonts w:hint="eastAsia"/>
                <w:color w:val="auto"/>
                <w:sz w:val="24"/>
                <w:szCs w:val="24"/>
                <w:u w:val="none"/>
                <w:lang w:eastAsia="zh-CN"/>
              </w:rPr>
              <w:t>北</w:t>
            </w:r>
            <w:r>
              <w:rPr>
                <w:rFonts w:hint="eastAsia"/>
                <w:color w:val="auto"/>
                <w:sz w:val="24"/>
                <w:szCs w:val="24"/>
                <w:u w:val="none"/>
              </w:rPr>
              <w:t>侧，位于其上风向，降低其运营过程中产生的恶臭气味对</w:t>
            </w:r>
            <w:r>
              <w:rPr>
                <w:rFonts w:hint="eastAsia"/>
                <w:color w:val="auto"/>
                <w:sz w:val="24"/>
                <w:szCs w:val="24"/>
                <w:u w:val="none"/>
                <w:lang w:eastAsia="zh-CN"/>
              </w:rPr>
              <w:t>工作</w:t>
            </w:r>
            <w:r>
              <w:rPr>
                <w:rFonts w:hint="eastAsia"/>
                <w:color w:val="auto"/>
                <w:sz w:val="24"/>
                <w:szCs w:val="24"/>
                <w:u w:val="none"/>
              </w:rPr>
              <w:t>人员的影响；</w:t>
            </w:r>
            <w:r>
              <w:rPr>
                <w:rFonts w:hint="default" w:ascii="Times New Roman" w:hAnsi="Times New Roman" w:eastAsia="宋体" w:cs="Times New Roman"/>
                <w:color w:val="auto"/>
                <w:kern w:val="2"/>
                <w:sz w:val="24"/>
                <w:szCs w:val="22"/>
                <w:u w:val="none"/>
                <w:lang w:val="en-US" w:eastAsia="zh-CN" w:bidi="ar-SA"/>
              </w:rPr>
              <w:t>厂界四周均设绿化带，厂区绿化以花草树木为主，可有效降低恶臭气体及噪声对外环境的影响。</w:t>
            </w:r>
            <w:r>
              <w:rPr>
                <w:rFonts w:hint="eastAsia"/>
                <w:color w:val="auto"/>
                <w:sz w:val="24"/>
                <w:szCs w:val="24"/>
                <w:u w:val="none"/>
              </w:rPr>
              <w:t>项目所在区域地势</w:t>
            </w:r>
            <w:r>
              <w:rPr>
                <w:rFonts w:hint="eastAsia"/>
                <w:color w:val="auto"/>
                <w:sz w:val="24"/>
                <w:szCs w:val="24"/>
                <w:u w:val="none"/>
                <w:lang w:eastAsia="zh-CN"/>
              </w:rPr>
              <w:t>北</w:t>
            </w:r>
            <w:r>
              <w:rPr>
                <w:rFonts w:hint="eastAsia"/>
                <w:color w:val="auto"/>
                <w:sz w:val="24"/>
                <w:szCs w:val="24"/>
                <w:u w:val="none"/>
              </w:rPr>
              <w:t>高</w:t>
            </w:r>
            <w:r>
              <w:rPr>
                <w:rFonts w:hint="eastAsia"/>
                <w:color w:val="auto"/>
                <w:sz w:val="24"/>
                <w:szCs w:val="24"/>
                <w:u w:val="none"/>
                <w:lang w:eastAsia="zh-CN"/>
              </w:rPr>
              <w:t>南</w:t>
            </w:r>
            <w:r>
              <w:rPr>
                <w:rFonts w:hint="eastAsia"/>
                <w:color w:val="auto"/>
                <w:sz w:val="24"/>
                <w:szCs w:val="24"/>
                <w:u w:val="none"/>
              </w:rPr>
              <w:t>低，污水均可以自流入污水区，极大的节省了能源及人力。</w:t>
            </w:r>
            <w:r>
              <w:rPr>
                <w:rFonts w:hint="eastAsia"/>
                <w:color w:val="auto"/>
                <w:sz w:val="24"/>
                <w:szCs w:val="24"/>
                <w:u w:val="none"/>
                <w:lang w:eastAsia="zh-CN"/>
              </w:rPr>
              <w:t>排放池靠近纳污水体一侧布置，不需穿越建筑物，</w:t>
            </w:r>
            <w:r>
              <w:rPr>
                <w:rFonts w:hint="default" w:eastAsia="宋体"/>
                <w:color w:val="auto"/>
                <w:sz w:val="24"/>
                <w:szCs w:val="22"/>
                <w:highlight w:val="none"/>
                <w:u w:val="none"/>
                <w:lang w:val="en-US" w:eastAsia="zh-CN"/>
              </w:rPr>
              <w:t>污水经处理后可就近排入</w:t>
            </w:r>
            <w:r>
              <w:rPr>
                <w:rFonts w:hint="eastAsia"/>
                <w:color w:val="auto"/>
                <w:sz w:val="24"/>
                <w:szCs w:val="22"/>
                <w:highlight w:val="none"/>
                <w:u w:val="none"/>
                <w:lang w:val="en-US" w:eastAsia="zh-CN"/>
              </w:rPr>
              <w:t>邵水</w:t>
            </w:r>
            <w:r>
              <w:rPr>
                <w:rFonts w:hint="default" w:eastAsia="宋体"/>
                <w:color w:val="auto"/>
                <w:sz w:val="24"/>
                <w:szCs w:val="22"/>
                <w:highlight w:val="none"/>
                <w:u w:val="none"/>
                <w:lang w:val="en-US" w:eastAsia="zh-CN"/>
              </w:rPr>
              <w:t>，有利于排水。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62" w:firstLineChars="200"/>
              <w:textAlignment w:val="bottom"/>
              <w:rPr>
                <w:rFonts w:hint="eastAsia" w:eastAsia="宋体"/>
                <w:color w:val="auto"/>
                <w:sz w:val="24"/>
                <w:szCs w:val="24"/>
                <w:u w:val="none"/>
                <w:lang w:eastAsia="zh-CN"/>
              </w:rPr>
            </w:pPr>
            <w:r>
              <w:rPr>
                <w:rFonts w:hint="eastAsia"/>
                <w:color w:val="auto"/>
                <w:sz w:val="24"/>
                <w:u w:val="none"/>
              </w:rPr>
              <w:t>综上所述，本项目布局紧凑、经济、环保，有效地节约了总用地，尽可能降低了对环境的影响，平面布局较合理。</w:t>
            </w:r>
          </w:p>
          <w:p>
            <w:pPr>
              <w:keepNext w:val="0"/>
              <w:keepLines w:val="0"/>
              <w:pageBreakBefore w:val="0"/>
              <w:widowControl w:val="0"/>
              <w:kinsoku/>
              <w:wordWrap/>
              <w:overflowPunct/>
              <w:topLinePunct w:val="0"/>
              <w:bidi w:val="0"/>
              <w:adjustRightInd w:val="0"/>
              <w:snapToGrid w:val="0"/>
              <w:spacing w:line="360" w:lineRule="auto"/>
              <w:ind w:firstLine="462" w:firstLineChars="200"/>
              <w:rPr>
                <w:rFonts w:hint="default" w:eastAsia="宋体"/>
                <w:b/>
                <w:color w:val="auto"/>
                <w:sz w:val="24"/>
                <w:szCs w:val="24"/>
                <w:u w:val="none"/>
                <w:lang w:val="en-US" w:eastAsia="zh-CN"/>
              </w:rPr>
            </w:pPr>
            <w:r>
              <w:rPr>
                <w:rFonts w:hint="eastAsia"/>
                <w:b/>
                <w:color w:val="auto"/>
                <w:sz w:val="24"/>
                <w:szCs w:val="24"/>
                <w:u w:val="none"/>
                <w:lang w:val="en-US" w:eastAsia="zh-CN"/>
              </w:rPr>
              <w:t>7.5.4项目排污口设置合理性分析</w:t>
            </w:r>
          </w:p>
          <w:p>
            <w:pPr>
              <w:pStyle w:val="35"/>
              <w:keepNext w:val="0"/>
              <w:keepLines w:val="0"/>
              <w:pageBreakBefore w:val="0"/>
              <w:widowControl w:val="0"/>
              <w:kinsoku/>
              <w:wordWrap/>
              <w:overflowPunct/>
              <w:topLinePunct w:val="0"/>
              <w:bidi w:val="0"/>
              <w:adjustRightInd w:val="0"/>
              <w:snapToGrid w:val="0"/>
              <w:spacing w:line="360" w:lineRule="auto"/>
              <w:rPr>
                <w:rFonts w:hint="eastAsia" w:ascii="Times New Roman" w:hAnsi="Times New Roman" w:eastAsia="宋体" w:cs="Times New Roman"/>
                <w:color w:val="auto"/>
                <w:kern w:val="2"/>
                <w:sz w:val="24"/>
                <w:szCs w:val="22"/>
                <w:u w:val="none"/>
                <w:lang w:val="en-US" w:eastAsia="zh-CN" w:bidi="ar-SA"/>
              </w:rPr>
            </w:pPr>
            <w:r>
              <w:rPr>
                <w:rFonts w:hint="eastAsia" w:ascii="Times New Roman" w:hAnsi="Times New Roman" w:eastAsia="宋体" w:cs="Times New Roman"/>
                <w:color w:val="auto"/>
                <w:kern w:val="2"/>
                <w:sz w:val="24"/>
                <w:szCs w:val="22"/>
                <w:u w:val="none"/>
                <w:lang w:val="en-US" w:eastAsia="zh-CN" w:bidi="ar-SA"/>
              </w:rPr>
              <w:t>本项目的入河排污口处于项目南侧，污水经处理达标后排入邵水。</w:t>
            </w:r>
            <w:r>
              <w:rPr>
                <w:rFonts w:hint="eastAsia" w:ascii="Times New Roman" w:hAnsi="Times New Roman" w:eastAsia="宋体" w:cs="Times New Roman"/>
                <w:color w:val="FF0000"/>
                <w:kern w:val="2"/>
                <w:sz w:val="24"/>
                <w:szCs w:val="22"/>
                <w:u w:val="wave"/>
                <w:lang w:val="en-US" w:eastAsia="zh-CN" w:bidi="ar-SA"/>
              </w:rPr>
              <w:t>根据现场调查可知，</w:t>
            </w:r>
            <w:r>
              <w:rPr>
                <w:rFonts w:hint="eastAsia" w:cs="Times New Roman"/>
                <w:color w:val="FF0000"/>
                <w:kern w:val="2"/>
                <w:sz w:val="24"/>
                <w:szCs w:val="22"/>
                <w:u w:val="wave"/>
                <w:lang w:val="en-US" w:eastAsia="zh-CN" w:bidi="ar-SA"/>
              </w:rPr>
              <w:t>项目距离上游</w:t>
            </w:r>
            <w:r>
              <w:rPr>
                <w:rFonts w:hint="eastAsia" w:cs="Times New Roman"/>
                <w:color w:val="FF0000"/>
                <w:sz w:val="24"/>
                <w:highlight w:val="none"/>
                <w:u w:val="wave"/>
                <w:lang w:val="en-US" w:eastAsia="zh-CN"/>
              </w:rPr>
              <w:t>惠民</w:t>
            </w:r>
            <w:r>
              <w:rPr>
                <w:rFonts w:hint="eastAsia" w:ascii="Times New Roman" w:hAnsi="Times New Roman" w:cs="Times New Roman"/>
                <w:color w:val="FF0000"/>
                <w:sz w:val="24"/>
                <w:highlight w:val="none"/>
                <w:u w:val="wave"/>
                <w:lang w:val="en-US" w:eastAsia="zh-CN"/>
              </w:rPr>
              <w:t>水厂水源地（邵水）</w:t>
            </w:r>
            <w:r>
              <w:rPr>
                <w:rFonts w:hint="eastAsia" w:cs="Times New Roman"/>
                <w:color w:val="FF0000"/>
                <w:kern w:val="2"/>
                <w:sz w:val="24"/>
                <w:szCs w:val="22"/>
                <w:u w:val="wave"/>
                <w:lang w:val="en-US" w:eastAsia="zh-CN" w:bidi="ar-SA"/>
              </w:rPr>
              <w:t>划分的引用水源保护区1.0km</w:t>
            </w:r>
            <w:r>
              <w:rPr>
                <w:rFonts w:hint="eastAsia" w:ascii="Times New Roman" w:hAnsi="Times New Roman" w:eastAsia="宋体" w:cs="Times New Roman"/>
                <w:color w:val="FF0000"/>
                <w:kern w:val="2"/>
                <w:sz w:val="24"/>
                <w:szCs w:val="22"/>
                <w:u w:val="wave"/>
                <w:lang w:val="en-US" w:eastAsia="zh-CN" w:bidi="ar-SA"/>
              </w:rPr>
              <w:t>，</w:t>
            </w:r>
            <w:r>
              <w:rPr>
                <w:rFonts w:hint="eastAsia" w:cs="Times New Roman"/>
                <w:color w:val="FF0000"/>
                <w:kern w:val="2"/>
                <w:sz w:val="24"/>
                <w:szCs w:val="22"/>
                <w:u w:val="wave"/>
                <w:lang w:val="en-US" w:eastAsia="zh-CN" w:bidi="ar-SA"/>
              </w:rPr>
              <w:t>不在其</w:t>
            </w:r>
            <w:r>
              <w:rPr>
                <w:rFonts w:hint="eastAsia" w:ascii="Times New Roman" w:hAnsi="Times New Roman" w:eastAsia="宋体" w:cs="Times New Roman"/>
                <w:color w:val="FF0000"/>
                <w:sz w:val="24"/>
                <w:szCs w:val="22"/>
                <w:u w:val="wave"/>
                <w:lang w:val="en-US" w:eastAsia="zh-CN"/>
              </w:rPr>
              <w:t>取水口断面</w:t>
            </w:r>
            <w:r>
              <w:rPr>
                <w:rFonts w:hint="eastAsia" w:cs="Times New Roman"/>
                <w:color w:val="FF0000"/>
                <w:kern w:val="2"/>
                <w:sz w:val="24"/>
                <w:szCs w:val="22"/>
                <w:u w:val="wave"/>
                <w:lang w:val="en-US" w:eastAsia="zh-CN" w:bidi="ar-SA"/>
              </w:rPr>
              <w:t>划定的引用水源保护区范围内</w:t>
            </w:r>
            <w:r>
              <w:rPr>
                <w:rFonts w:hint="eastAsia" w:ascii="Times New Roman" w:hAnsi="Times New Roman" w:eastAsia="宋体" w:cs="Times New Roman"/>
                <w:color w:val="FF0000"/>
                <w:kern w:val="2"/>
                <w:sz w:val="24"/>
                <w:szCs w:val="22"/>
                <w:u w:val="wave"/>
                <w:lang w:val="en-US" w:eastAsia="zh-CN" w:bidi="ar-SA"/>
              </w:rPr>
              <w:t>。</w:t>
            </w:r>
            <w:r>
              <w:rPr>
                <w:rFonts w:hint="eastAsia" w:ascii="Times New Roman" w:hAnsi="Times New Roman" w:eastAsia="宋体" w:cs="Times New Roman"/>
                <w:color w:val="auto"/>
                <w:kern w:val="2"/>
                <w:sz w:val="24"/>
                <w:szCs w:val="22"/>
                <w:u w:val="none"/>
                <w:lang w:val="en-US" w:eastAsia="zh-CN" w:bidi="ar-SA"/>
              </w:rPr>
              <w:t>本项目排放口的尾水从排污池处布设地下管道，尾水通过管道重力在岸边直接排入邵水，不会出现倒灌现象。拟定排污口没有穿越建筑物，距离最短，标高高于河流，无需设置提升泵等设施。</w:t>
            </w:r>
          </w:p>
          <w:p>
            <w:pPr>
              <w:pStyle w:val="35"/>
              <w:keepNext w:val="0"/>
              <w:keepLines w:val="0"/>
              <w:pageBreakBefore w:val="0"/>
              <w:widowControl w:val="0"/>
              <w:kinsoku/>
              <w:wordWrap/>
              <w:overflowPunct/>
              <w:topLinePunct w:val="0"/>
              <w:bidi w:val="0"/>
              <w:adjustRightInd w:val="0"/>
              <w:snapToGrid w:val="0"/>
              <w:spacing w:line="360" w:lineRule="auto"/>
              <w:rPr>
                <w:rFonts w:hint="eastAsia" w:ascii="Times New Roman" w:hAnsi="Times New Roman" w:eastAsia="宋体" w:cs="Times New Roman"/>
                <w:color w:val="auto"/>
                <w:kern w:val="2"/>
                <w:sz w:val="24"/>
                <w:szCs w:val="22"/>
                <w:u w:val="none"/>
                <w:lang w:val="en-US" w:eastAsia="zh-CN" w:bidi="ar-SA"/>
              </w:rPr>
            </w:pPr>
            <w:r>
              <w:rPr>
                <w:rFonts w:hint="eastAsia" w:ascii="Times New Roman" w:hAnsi="Times New Roman" w:eastAsia="宋体" w:cs="Times New Roman"/>
                <w:color w:val="auto"/>
                <w:kern w:val="2"/>
                <w:sz w:val="24"/>
                <w:szCs w:val="22"/>
                <w:u w:val="none"/>
                <w:lang w:val="en-US" w:eastAsia="zh-CN" w:bidi="ar-SA"/>
              </w:rPr>
              <w:t>综上，本项目尾水排放口设置合理可行。</w:t>
            </w:r>
          </w:p>
          <w:p>
            <w:pPr>
              <w:keepNext w:val="0"/>
              <w:keepLines w:val="0"/>
              <w:pageBreakBefore w:val="0"/>
              <w:widowControl w:val="0"/>
              <w:kinsoku/>
              <w:wordWrap/>
              <w:overflowPunct/>
              <w:topLinePunct w:val="0"/>
              <w:bidi w:val="0"/>
              <w:adjustRightInd w:val="0"/>
              <w:snapToGrid w:val="0"/>
              <w:spacing w:line="360" w:lineRule="auto"/>
              <w:ind w:firstLine="462" w:firstLineChars="200"/>
              <w:rPr>
                <w:color w:val="auto"/>
                <w:sz w:val="24"/>
                <w:szCs w:val="24"/>
              </w:rPr>
            </w:pPr>
            <w:r>
              <w:rPr>
                <w:rFonts w:hint="eastAsia"/>
                <w:b/>
                <w:color w:val="auto"/>
                <w:sz w:val="24"/>
                <w:szCs w:val="24"/>
              </w:rPr>
              <w:t>7.5.</w:t>
            </w:r>
            <w:r>
              <w:rPr>
                <w:rFonts w:hint="eastAsia"/>
                <w:b/>
                <w:color w:val="auto"/>
                <w:sz w:val="24"/>
                <w:szCs w:val="24"/>
                <w:lang w:val="en-US" w:eastAsia="zh-CN"/>
              </w:rPr>
              <w:t>5</w:t>
            </w:r>
            <w:r>
              <w:rPr>
                <w:rFonts w:hint="eastAsia"/>
                <w:b/>
                <w:color w:val="auto"/>
                <w:sz w:val="24"/>
                <w:szCs w:val="24"/>
              </w:rPr>
              <w:t xml:space="preserve"> “三线一单”符合性</w:t>
            </w:r>
            <w:r>
              <w:rPr>
                <w:b/>
                <w:color w:val="auto"/>
                <w:sz w:val="24"/>
                <w:szCs w:val="24"/>
              </w:rPr>
              <w:t>分析</w:t>
            </w:r>
          </w:p>
          <w:p>
            <w:pPr>
              <w:keepNext w:val="0"/>
              <w:keepLines w:val="0"/>
              <w:pageBreakBefore w:val="0"/>
              <w:widowControl w:val="0"/>
              <w:kinsoku/>
              <w:wordWrap/>
              <w:overflowPunct/>
              <w:topLinePunct w:val="0"/>
              <w:bidi w:val="0"/>
              <w:adjustRightInd w:val="0"/>
              <w:snapToGrid w:val="0"/>
              <w:spacing w:line="360" w:lineRule="auto"/>
              <w:ind w:firstLine="462" w:firstLineChars="200"/>
              <w:rPr>
                <w:color w:val="auto"/>
                <w:sz w:val="24"/>
                <w:szCs w:val="24"/>
              </w:rPr>
            </w:pPr>
            <w:r>
              <w:rPr>
                <w:rFonts w:hint="eastAsia"/>
                <w:color w:val="auto"/>
                <w:sz w:val="24"/>
                <w:szCs w:val="24"/>
              </w:rPr>
              <w:t>a.与生态红线相符性分析</w:t>
            </w:r>
          </w:p>
          <w:p>
            <w:pPr>
              <w:keepNext w:val="0"/>
              <w:keepLines w:val="0"/>
              <w:pageBreakBefore w:val="0"/>
              <w:widowControl w:val="0"/>
              <w:kinsoku/>
              <w:wordWrap/>
              <w:overflowPunct/>
              <w:topLinePunct w:val="0"/>
              <w:bidi w:val="0"/>
              <w:adjustRightInd w:val="0"/>
              <w:snapToGrid w:val="0"/>
              <w:spacing w:line="360" w:lineRule="auto"/>
              <w:ind w:firstLine="462" w:firstLineChars="200"/>
              <w:rPr>
                <w:color w:val="auto"/>
                <w:sz w:val="24"/>
                <w:szCs w:val="24"/>
              </w:rPr>
            </w:pPr>
            <w:r>
              <w:rPr>
                <w:rFonts w:hint="eastAsia"/>
                <w:color w:val="auto"/>
                <w:sz w:val="24"/>
                <w:szCs w:val="24"/>
              </w:rPr>
              <w:t>经核实本项目不在生态红线范围内。</w:t>
            </w:r>
          </w:p>
          <w:p>
            <w:pPr>
              <w:keepNext w:val="0"/>
              <w:keepLines w:val="0"/>
              <w:pageBreakBefore w:val="0"/>
              <w:widowControl w:val="0"/>
              <w:kinsoku/>
              <w:wordWrap/>
              <w:overflowPunct/>
              <w:topLinePunct w:val="0"/>
              <w:bidi w:val="0"/>
              <w:adjustRightInd w:val="0"/>
              <w:snapToGrid w:val="0"/>
              <w:spacing w:line="360" w:lineRule="auto"/>
              <w:ind w:firstLine="462" w:firstLineChars="200"/>
              <w:rPr>
                <w:color w:val="auto"/>
                <w:sz w:val="24"/>
                <w:szCs w:val="24"/>
              </w:rPr>
            </w:pPr>
            <w:r>
              <w:rPr>
                <w:rFonts w:hint="eastAsia"/>
                <w:color w:val="auto"/>
                <w:sz w:val="24"/>
                <w:szCs w:val="24"/>
              </w:rPr>
              <w:t>b.环境质量利用底线符合性分析</w:t>
            </w:r>
          </w:p>
          <w:p>
            <w:pPr>
              <w:keepNext w:val="0"/>
              <w:keepLines w:val="0"/>
              <w:pageBreakBefore w:val="0"/>
              <w:widowControl w:val="0"/>
              <w:kinsoku/>
              <w:wordWrap/>
              <w:overflowPunct/>
              <w:topLinePunct w:val="0"/>
              <w:bidi w:val="0"/>
              <w:adjustRightInd w:val="0"/>
              <w:snapToGrid w:val="0"/>
              <w:spacing w:line="360" w:lineRule="auto"/>
              <w:ind w:firstLine="462" w:firstLineChars="200"/>
              <w:rPr>
                <w:color w:val="auto"/>
                <w:sz w:val="24"/>
                <w:szCs w:val="24"/>
              </w:rPr>
            </w:pPr>
            <w:r>
              <w:rPr>
                <w:rFonts w:hint="eastAsia"/>
                <w:color w:val="auto"/>
                <w:sz w:val="24"/>
                <w:szCs w:val="24"/>
              </w:rPr>
              <w:t>根据上文“第三章-环境质量状况”得出的结论，项目所在区域地表水环境、地下水环境、声环境、土壤环境均低于相应功能区的标准限值，其区域大气环境中特征因子硫化氢、氨的浓度值亦符合《环境影响评价技术导则－大气环境》（HJ 2.2-2018）中的附录D其他污染物空气质量浓度参考限值要求。</w:t>
            </w:r>
          </w:p>
          <w:p>
            <w:pPr>
              <w:keepNext w:val="0"/>
              <w:keepLines w:val="0"/>
              <w:pageBreakBefore w:val="0"/>
              <w:widowControl w:val="0"/>
              <w:kinsoku/>
              <w:wordWrap/>
              <w:overflowPunct/>
              <w:topLinePunct w:val="0"/>
              <w:bidi w:val="0"/>
              <w:adjustRightInd w:val="0"/>
              <w:snapToGrid w:val="0"/>
              <w:spacing w:line="360" w:lineRule="auto"/>
              <w:ind w:firstLine="462" w:firstLineChars="200"/>
              <w:rPr>
                <w:color w:val="auto"/>
                <w:sz w:val="24"/>
                <w:szCs w:val="24"/>
              </w:rPr>
            </w:pPr>
            <w:r>
              <w:rPr>
                <w:rFonts w:hint="eastAsia"/>
                <w:color w:val="auto"/>
                <w:sz w:val="24"/>
                <w:szCs w:val="24"/>
              </w:rPr>
              <w:t>项目区域范围内PM</w:t>
            </w:r>
            <w:r>
              <w:rPr>
                <w:rFonts w:hint="eastAsia"/>
                <w:color w:val="auto"/>
                <w:sz w:val="24"/>
                <w:szCs w:val="24"/>
                <w:vertAlign w:val="subscript"/>
              </w:rPr>
              <w:t>2.5</w:t>
            </w:r>
            <w:r>
              <w:rPr>
                <w:rFonts w:hint="eastAsia"/>
                <w:color w:val="auto"/>
                <w:sz w:val="24"/>
                <w:szCs w:val="24"/>
                <w:vertAlign w:val="baseline"/>
                <w:lang w:eastAsia="zh-CN"/>
              </w:rPr>
              <w:t>、</w:t>
            </w:r>
            <w:r>
              <w:rPr>
                <w:rFonts w:hint="eastAsia"/>
                <w:color w:val="auto"/>
                <w:sz w:val="24"/>
                <w:szCs w:val="24"/>
              </w:rPr>
              <w:t>PM</w:t>
            </w:r>
            <w:r>
              <w:rPr>
                <w:rFonts w:hint="eastAsia"/>
                <w:color w:val="auto"/>
                <w:sz w:val="24"/>
                <w:szCs w:val="24"/>
                <w:vertAlign w:val="subscript"/>
                <w:lang w:val="en-US" w:eastAsia="zh-CN"/>
              </w:rPr>
              <w:t>10</w:t>
            </w:r>
            <w:r>
              <w:rPr>
                <w:rFonts w:hint="eastAsia"/>
                <w:color w:val="auto"/>
                <w:sz w:val="24"/>
                <w:szCs w:val="24"/>
              </w:rPr>
              <w:t>超标是由于</w:t>
            </w:r>
            <w:r>
              <w:rPr>
                <w:rFonts w:hint="eastAsia"/>
                <w:color w:val="auto"/>
                <w:sz w:val="24"/>
                <w:szCs w:val="24"/>
                <w:lang w:eastAsia="zh-CN"/>
              </w:rPr>
              <w:t>双清区</w:t>
            </w:r>
            <w:r>
              <w:rPr>
                <w:rFonts w:hint="eastAsia"/>
                <w:color w:val="auto"/>
                <w:sz w:val="24"/>
                <w:szCs w:val="24"/>
              </w:rPr>
              <w:t>城市建设进程迅速，道路、房地产、工业建设项目较多，导致扬尘污染。</w:t>
            </w:r>
            <w:r>
              <w:rPr>
                <w:rFonts w:hint="eastAsia"/>
                <w:color w:val="auto"/>
                <w:sz w:val="24"/>
                <w:szCs w:val="24"/>
                <w:lang w:eastAsia="zh-CN"/>
              </w:rPr>
              <w:t>邵阳市</w:t>
            </w:r>
            <w:r>
              <w:rPr>
                <w:rFonts w:hint="eastAsia"/>
                <w:color w:val="auto"/>
                <w:sz w:val="24"/>
                <w:szCs w:val="24"/>
              </w:rPr>
              <w:t>已制定了《</w:t>
            </w:r>
            <w:r>
              <w:rPr>
                <w:rFonts w:hint="eastAsia"/>
                <w:color w:val="auto"/>
                <w:sz w:val="24"/>
                <w:szCs w:val="24"/>
                <w:lang w:eastAsia="zh-CN"/>
              </w:rPr>
              <w:t>邵阳市</w:t>
            </w:r>
            <w:r>
              <w:rPr>
                <w:rFonts w:hint="eastAsia"/>
                <w:color w:val="auto"/>
                <w:sz w:val="24"/>
                <w:szCs w:val="24"/>
              </w:rPr>
              <w:t>蓝天保卫战年实施方案》，本项目施工期严格执行，使得区域范围内大气环境得到有效控制，并逐步改善。而且项目运营期不产生粉尘、扬尘等。因此本项目是符合区域环境质量利用底线的。</w:t>
            </w:r>
          </w:p>
          <w:p>
            <w:pPr>
              <w:keepNext w:val="0"/>
              <w:keepLines w:val="0"/>
              <w:pageBreakBefore w:val="0"/>
              <w:widowControl w:val="0"/>
              <w:kinsoku/>
              <w:wordWrap/>
              <w:overflowPunct/>
              <w:topLinePunct w:val="0"/>
              <w:bidi w:val="0"/>
              <w:adjustRightInd w:val="0"/>
              <w:snapToGrid w:val="0"/>
              <w:spacing w:line="360" w:lineRule="auto"/>
              <w:ind w:firstLine="462" w:firstLineChars="200"/>
              <w:rPr>
                <w:color w:val="auto"/>
                <w:sz w:val="24"/>
                <w:szCs w:val="24"/>
              </w:rPr>
            </w:pPr>
            <w:r>
              <w:rPr>
                <w:rFonts w:hint="eastAsia"/>
                <w:color w:val="auto"/>
                <w:sz w:val="24"/>
                <w:szCs w:val="24"/>
              </w:rPr>
              <w:t>c.资源利用上线符合性分析</w:t>
            </w:r>
          </w:p>
          <w:p>
            <w:pPr>
              <w:keepNext w:val="0"/>
              <w:keepLines w:val="0"/>
              <w:pageBreakBefore w:val="0"/>
              <w:widowControl w:val="0"/>
              <w:kinsoku/>
              <w:wordWrap/>
              <w:overflowPunct/>
              <w:topLinePunct w:val="0"/>
              <w:bidi w:val="0"/>
              <w:adjustRightInd w:val="0"/>
              <w:snapToGrid w:val="0"/>
              <w:spacing w:line="360" w:lineRule="auto"/>
              <w:ind w:firstLine="462" w:firstLineChars="200"/>
              <w:rPr>
                <w:color w:val="auto"/>
                <w:sz w:val="24"/>
                <w:szCs w:val="24"/>
              </w:rPr>
            </w:pPr>
            <w:r>
              <w:rPr>
                <w:rFonts w:hint="eastAsia"/>
                <w:color w:val="auto"/>
                <w:sz w:val="24"/>
                <w:szCs w:val="24"/>
              </w:rPr>
              <w:t>本项目运营期主要是消耗电能，并对区域污水集中治理，属于</w:t>
            </w:r>
            <w:r>
              <w:rPr>
                <w:rFonts w:hint="eastAsia"/>
                <w:color w:val="auto"/>
                <w:sz w:val="24"/>
                <w:szCs w:val="24"/>
                <w:lang w:val="zh-CN"/>
              </w:rPr>
              <w:t>环境保护与资源节约综合利用，符合资源利用上线的要求</w:t>
            </w:r>
            <w:r>
              <w:rPr>
                <w:rFonts w:hint="eastAsia"/>
                <w:color w:val="auto"/>
                <w:sz w:val="24"/>
                <w:szCs w:val="24"/>
              </w:rPr>
              <w:t>。</w:t>
            </w:r>
          </w:p>
          <w:p>
            <w:pPr>
              <w:keepNext w:val="0"/>
              <w:keepLines w:val="0"/>
              <w:pageBreakBefore w:val="0"/>
              <w:widowControl w:val="0"/>
              <w:kinsoku/>
              <w:wordWrap/>
              <w:overflowPunct/>
              <w:topLinePunct w:val="0"/>
              <w:bidi w:val="0"/>
              <w:adjustRightInd w:val="0"/>
              <w:snapToGrid w:val="0"/>
              <w:spacing w:line="360" w:lineRule="auto"/>
              <w:ind w:firstLine="462" w:firstLineChars="200"/>
              <w:rPr>
                <w:color w:val="auto"/>
                <w:sz w:val="24"/>
                <w:szCs w:val="24"/>
              </w:rPr>
            </w:pPr>
            <w:r>
              <w:rPr>
                <w:rFonts w:hint="eastAsia"/>
                <w:color w:val="auto"/>
                <w:sz w:val="24"/>
                <w:szCs w:val="24"/>
              </w:rPr>
              <w:t>d.市场准入负面清单草案</w:t>
            </w:r>
          </w:p>
          <w:p>
            <w:pPr>
              <w:keepNext w:val="0"/>
              <w:keepLines w:val="0"/>
              <w:pageBreakBefore w:val="0"/>
              <w:widowControl w:val="0"/>
              <w:kinsoku/>
              <w:wordWrap/>
              <w:overflowPunct/>
              <w:topLinePunct w:val="0"/>
              <w:bidi w:val="0"/>
              <w:adjustRightInd w:val="0"/>
              <w:snapToGrid w:val="0"/>
              <w:spacing w:line="360" w:lineRule="auto"/>
              <w:ind w:firstLine="462" w:firstLineChars="200"/>
              <w:rPr>
                <w:color w:val="auto"/>
                <w:sz w:val="24"/>
                <w:szCs w:val="24"/>
              </w:rPr>
            </w:pPr>
            <w:r>
              <w:rPr>
                <w:rFonts w:hint="eastAsia"/>
                <w:color w:val="auto"/>
                <w:sz w:val="24"/>
                <w:szCs w:val="24"/>
              </w:rPr>
              <w:t>经查《市场准入负面清单草案》（试点版），本项目不在其禁止准入类和限制准入类中。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bCs/>
                <w:color w:val="auto"/>
                <w:kern w:val="24"/>
                <w:sz w:val="28"/>
                <w:szCs w:val="28"/>
              </w:rPr>
            </w:pPr>
            <w:r>
              <w:rPr>
                <w:rFonts w:hint="eastAsia"/>
                <w:b/>
                <w:bCs/>
                <w:color w:val="auto"/>
                <w:kern w:val="24"/>
                <w:sz w:val="28"/>
                <w:szCs w:val="28"/>
              </w:rPr>
              <w:t>7.6项目竣工环境保护验收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b/>
                <w:color w:val="auto"/>
                <w:szCs w:val="21"/>
              </w:rPr>
            </w:pPr>
            <w:r>
              <w:rPr>
                <w:color w:val="auto"/>
                <w:sz w:val="24"/>
                <w:szCs w:val="24"/>
              </w:rPr>
              <w:t>本项目环保设施竣工验收清单如下表：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auto"/>
                <w:szCs w:val="21"/>
                <w:u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auto"/>
                <w:szCs w:val="21"/>
                <w:u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auto"/>
                <w:szCs w:val="21"/>
                <w:u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auto"/>
                <w:szCs w:val="21"/>
                <w:u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auto"/>
                <w:szCs w:val="21"/>
                <w:u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auto"/>
                <w:szCs w:val="21"/>
                <w:u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auto"/>
                <w:szCs w:val="21"/>
                <w:u w:val="none"/>
              </w:rPr>
            </w:pPr>
          </w:p>
          <w:p>
            <w:pPr>
              <w:pStyle w:val="20"/>
              <w:rPr>
                <w:b/>
                <w:color w:val="auto"/>
                <w:szCs w:val="21"/>
                <w:u w:val="none"/>
              </w:rPr>
            </w:pPr>
          </w:p>
          <w:p>
            <w:pPr>
              <w:rPr>
                <w:b/>
                <w:color w:val="auto"/>
                <w:szCs w:val="21"/>
                <w:u w:val="none"/>
              </w:rPr>
            </w:pPr>
          </w:p>
          <w:p>
            <w:pPr>
              <w:pStyle w:val="20"/>
              <w:rPr>
                <w:b/>
                <w:color w:val="auto"/>
                <w:szCs w:val="21"/>
                <w:u w:val="none"/>
              </w:rPr>
            </w:pPr>
          </w:p>
          <w:p>
            <w:pPr>
              <w:rPr>
                <w:b/>
                <w:color w:val="auto"/>
                <w:szCs w:val="21"/>
                <w:u w:val="none"/>
              </w:rPr>
            </w:pPr>
          </w:p>
          <w:p>
            <w:pPr>
              <w:pStyle w:val="20"/>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auto"/>
                <w:szCs w:val="21"/>
                <w:u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auto"/>
                <w:szCs w:val="21"/>
                <w:u w:val="none"/>
              </w:rPr>
            </w:pPr>
            <w:r>
              <w:rPr>
                <w:b/>
                <w:color w:val="auto"/>
                <w:szCs w:val="21"/>
                <w:u w:val="none"/>
              </w:rPr>
              <w:t>表7</w:t>
            </w:r>
            <w:r>
              <w:rPr>
                <w:b/>
                <w:color w:val="auto"/>
                <w:szCs w:val="21"/>
                <w:u w:val="none"/>
              </w:rPr>
              <w:noBreakHyphen/>
            </w:r>
            <w:r>
              <w:rPr>
                <w:rFonts w:hint="eastAsia"/>
                <w:b/>
                <w:color w:val="auto"/>
                <w:szCs w:val="21"/>
                <w:u w:val="none"/>
                <w:lang w:val="en-US" w:eastAsia="zh-CN"/>
              </w:rPr>
              <w:t>30</w:t>
            </w:r>
            <w:r>
              <w:rPr>
                <w:b/>
                <w:color w:val="auto"/>
                <w:szCs w:val="21"/>
                <w:u w:val="none"/>
              </w:rPr>
              <w:t xml:space="preserve">  </w:t>
            </w:r>
            <w:r>
              <w:rPr>
                <w:rFonts w:hint="eastAsia"/>
                <w:b/>
                <w:color w:val="auto"/>
                <w:szCs w:val="21"/>
                <w:u w:val="none"/>
                <w:lang w:val="en-US" w:eastAsia="zh-CN"/>
              </w:rPr>
              <w:t>竣工环境保护验收</w:t>
            </w:r>
            <w:r>
              <w:rPr>
                <w:b/>
                <w:color w:val="auto"/>
                <w:szCs w:val="21"/>
                <w:u w:val="none"/>
              </w:rPr>
              <w:t>一览表</w:t>
            </w:r>
          </w:p>
          <w:tbl>
            <w:tblPr>
              <w:tblStyle w:val="27"/>
              <w:tblW w:w="909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60"/>
              <w:gridCol w:w="1493"/>
              <w:gridCol w:w="3762"/>
              <w:gridCol w:w="307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0"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rFonts w:hint="eastAsia"/>
                      <w:color w:val="auto"/>
                      <w:szCs w:val="21"/>
                      <w:u w:val="none"/>
                    </w:rPr>
                    <w:t>排放源</w:t>
                  </w:r>
                </w:p>
              </w:tc>
              <w:tc>
                <w:tcPr>
                  <w:tcW w:w="1493"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rFonts w:hint="eastAsia"/>
                      <w:color w:val="auto"/>
                      <w:szCs w:val="21"/>
                      <w:u w:val="none"/>
                    </w:rPr>
                    <w:t>污染物名称</w:t>
                  </w:r>
                </w:p>
              </w:tc>
              <w:tc>
                <w:tcPr>
                  <w:tcW w:w="3762"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rFonts w:hint="eastAsia"/>
                      <w:color w:val="auto"/>
                      <w:szCs w:val="21"/>
                      <w:u w:val="none"/>
                    </w:rPr>
                    <w:t>竣工</w:t>
                  </w:r>
                  <w:r>
                    <w:rPr>
                      <w:rFonts w:hint="eastAsia"/>
                      <w:color w:val="auto"/>
                      <w:szCs w:val="21"/>
                      <w:u w:val="none"/>
                      <w:lang w:eastAsia="zh-CN"/>
                    </w:rPr>
                    <w:t>环保设施</w:t>
                  </w:r>
                  <w:r>
                    <w:rPr>
                      <w:rFonts w:hint="eastAsia"/>
                      <w:color w:val="auto"/>
                      <w:szCs w:val="21"/>
                      <w:u w:val="none"/>
                    </w:rPr>
                    <w:t>验收项目</w:t>
                  </w:r>
                </w:p>
              </w:tc>
              <w:tc>
                <w:tcPr>
                  <w:tcW w:w="3077"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rFonts w:hint="eastAsia"/>
                      <w:color w:val="auto"/>
                      <w:szCs w:val="21"/>
                      <w:u w:val="none"/>
                    </w:rPr>
                    <w:t>预期治理效果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0"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FF0000"/>
                      <w:szCs w:val="21"/>
                      <w:u w:val="wave"/>
                    </w:rPr>
                  </w:pPr>
                  <w:r>
                    <w:rPr>
                      <w:rFonts w:hint="eastAsia"/>
                      <w:color w:val="FF0000"/>
                      <w:szCs w:val="21"/>
                      <w:u w:val="wave"/>
                    </w:rPr>
                    <w:t>废气</w:t>
                  </w:r>
                </w:p>
              </w:tc>
              <w:tc>
                <w:tcPr>
                  <w:tcW w:w="1493"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eastAsia="宋体"/>
                      <w:color w:val="FF0000"/>
                      <w:szCs w:val="21"/>
                      <w:u w:val="wave"/>
                      <w:lang w:eastAsia="zh-CN"/>
                    </w:rPr>
                  </w:pPr>
                  <w:r>
                    <w:rPr>
                      <w:rFonts w:hint="eastAsia"/>
                      <w:color w:val="FF0000"/>
                      <w:szCs w:val="21"/>
                      <w:u w:val="wave"/>
                    </w:rPr>
                    <w:t>恶臭（硫化氢、氨气）</w:t>
                  </w:r>
                  <w:r>
                    <w:rPr>
                      <w:rFonts w:hint="eastAsia"/>
                      <w:color w:val="FF0000"/>
                      <w:szCs w:val="21"/>
                      <w:u w:val="wave"/>
                      <w:lang w:eastAsia="zh-CN"/>
                    </w:rPr>
                    <w:t>、甲烷</w:t>
                  </w:r>
                </w:p>
              </w:tc>
              <w:tc>
                <w:tcPr>
                  <w:tcW w:w="3762"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rFonts w:hint="eastAsia"/>
                      <w:color w:val="auto"/>
                      <w:szCs w:val="21"/>
                      <w:u w:val="none"/>
                    </w:rPr>
                    <w:t>采用密闭、合理布局、污水处理</w:t>
                  </w:r>
                  <w:r>
                    <w:rPr>
                      <w:rFonts w:hint="eastAsia"/>
                      <w:color w:val="auto"/>
                      <w:szCs w:val="21"/>
                      <w:u w:val="none"/>
                      <w:lang w:eastAsia="zh-CN"/>
                    </w:rPr>
                    <w:t>区</w:t>
                  </w:r>
                  <w:r>
                    <w:rPr>
                      <w:rFonts w:hint="eastAsia"/>
                      <w:color w:val="auto"/>
                      <w:szCs w:val="21"/>
                      <w:u w:val="none"/>
                    </w:rPr>
                    <w:t>外围设置5m宽的绿化</w:t>
                  </w:r>
                  <w:r>
                    <w:rPr>
                      <w:rFonts w:hint="eastAsia"/>
                      <w:color w:val="auto"/>
                      <w:szCs w:val="21"/>
                      <w:u w:val="none"/>
                      <w:lang w:eastAsia="zh-CN"/>
                    </w:rPr>
                    <w:t>带等措施</w:t>
                  </w:r>
                </w:p>
              </w:tc>
              <w:tc>
                <w:tcPr>
                  <w:tcW w:w="3077"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color w:val="auto"/>
                      <w:szCs w:val="21"/>
                      <w:u w:val="none"/>
                    </w:rPr>
                    <w:t>《城镇污水处理厂污染物排放标准》（GB18918-2002）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760" w:type="dxa"/>
                  <w:vMerge w:val="restart"/>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rFonts w:hint="eastAsia"/>
                      <w:color w:val="auto"/>
                      <w:szCs w:val="21"/>
                      <w:u w:val="none"/>
                    </w:rPr>
                    <w:t>废水</w:t>
                  </w:r>
                </w:p>
              </w:tc>
              <w:tc>
                <w:tcPr>
                  <w:tcW w:w="1493"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rFonts w:hint="eastAsia"/>
                      <w:color w:val="auto"/>
                      <w:szCs w:val="21"/>
                      <w:u w:val="none"/>
                    </w:rPr>
                    <w:t>生活污水</w:t>
                  </w:r>
                </w:p>
              </w:tc>
              <w:tc>
                <w:tcPr>
                  <w:tcW w:w="3762"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rFonts w:hint="eastAsia"/>
                      <w:color w:val="auto"/>
                      <w:szCs w:val="21"/>
                      <w:u w:val="none"/>
                    </w:rPr>
                    <w:t>化粪池</w:t>
                  </w:r>
                </w:p>
              </w:tc>
              <w:tc>
                <w:tcPr>
                  <w:tcW w:w="3077" w:type="dxa"/>
                  <w:vMerge w:val="restart"/>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rFonts w:hint="eastAsia"/>
                      <w:color w:val="auto"/>
                      <w:szCs w:val="21"/>
                      <w:u w:val="none"/>
                    </w:rPr>
                    <w:t>《城镇污水处理厂污染物排放标准》（</w:t>
                  </w:r>
                  <w:r>
                    <w:rPr>
                      <w:color w:val="auto"/>
                      <w:szCs w:val="21"/>
                      <w:u w:val="none"/>
                    </w:rPr>
                    <w:t>GB18918-2002</w:t>
                  </w:r>
                  <w:r>
                    <w:rPr>
                      <w:rFonts w:hint="eastAsia"/>
                      <w:color w:val="auto"/>
                      <w:szCs w:val="21"/>
                      <w:u w:val="none"/>
                    </w:rPr>
                    <w:t>）一级</w:t>
                  </w:r>
                  <w:r>
                    <w:rPr>
                      <w:rFonts w:hint="eastAsia"/>
                      <w:color w:val="auto"/>
                      <w:szCs w:val="21"/>
                      <w:u w:val="none"/>
                      <w:lang w:val="en-US" w:eastAsia="zh-CN"/>
                    </w:rPr>
                    <w:t>B</w:t>
                  </w:r>
                  <w:r>
                    <w:rPr>
                      <w:rFonts w:hint="eastAsia"/>
                      <w:color w:val="auto"/>
                      <w:szCs w:val="21"/>
                      <w:u w:val="none"/>
                    </w:rPr>
                    <w:t>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760" w:type="dxa"/>
                  <w:vMerge w:val="continue"/>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color w:val="auto"/>
                      <w:szCs w:val="21"/>
                      <w:u w:val="none"/>
                    </w:rPr>
                  </w:pPr>
                </w:p>
              </w:tc>
              <w:tc>
                <w:tcPr>
                  <w:tcW w:w="1493"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宋体" w:cs="Times New Roman"/>
                      <w:color w:val="auto"/>
                      <w:kern w:val="2"/>
                      <w:sz w:val="21"/>
                      <w:szCs w:val="21"/>
                      <w:u w:val="none"/>
                      <w:lang w:val="en-US" w:eastAsia="zh-CN" w:bidi="ar-SA"/>
                    </w:rPr>
                  </w:pPr>
                  <w:r>
                    <w:rPr>
                      <w:rFonts w:hint="eastAsia"/>
                      <w:color w:val="auto"/>
                      <w:szCs w:val="21"/>
                      <w:u w:val="none"/>
                    </w:rPr>
                    <w:t>污泥脱水废水</w:t>
                  </w:r>
                </w:p>
              </w:tc>
              <w:tc>
                <w:tcPr>
                  <w:tcW w:w="3762"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宋体" w:cs="Times New Roman"/>
                      <w:color w:val="auto"/>
                      <w:kern w:val="2"/>
                      <w:sz w:val="21"/>
                      <w:szCs w:val="21"/>
                      <w:u w:val="none"/>
                      <w:lang w:val="en-US" w:eastAsia="zh-CN" w:bidi="ar-SA"/>
                    </w:rPr>
                  </w:pPr>
                  <w:r>
                    <w:rPr>
                      <w:rFonts w:hint="eastAsia"/>
                      <w:color w:val="auto"/>
                      <w:szCs w:val="21"/>
                      <w:u w:val="none"/>
                    </w:rPr>
                    <w:t>收集进入污水处理系统进行处理</w:t>
                  </w:r>
                </w:p>
              </w:tc>
              <w:tc>
                <w:tcPr>
                  <w:tcW w:w="3077" w:type="dxa"/>
                  <w:vMerge w:val="continue"/>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color w:val="auto"/>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60" w:type="dxa"/>
                  <w:vMerge w:val="continue"/>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p>
              </w:tc>
              <w:tc>
                <w:tcPr>
                  <w:tcW w:w="1493"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color w:val="auto"/>
                      <w:szCs w:val="21"/>
                      <w:u w:val="none"/>
                    </w:rPr>
                  </w:pPr>
                  <w:r>
                    <w:rPr>
                      <w:rFonts w:hint="eastAsia" w:ascii="宋体" w:cs="宋体"/>
                      <w:color w:val="FF0000"/>
                      <w:kern w:val="0"/>
                      <w:szCs w:val="21"/>
                      <w:u w:val="wave"/>
                      <w:lang w:eastAsia="zh-CN"/>
                    </w:rPr>
                    <w:t>废水总排口</w:t>
                  </w:r>
                </w:p>
              </w:tc>
              <w:tc>
                <w:tcPr>
                  <w:tcW w:w="3762" w:type="dxa"/>
                  <w:vMerge w:val="restart"/>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宋体" w:cs="Times New Roman"/>
                      <w:color w:val="auto"/>
                      <w:kern w:val="2"/>
                      <w:sz w:val="21"/>
                      <w:szCs w:val="21"/>
                      <w:u w:val="none"/>
                      <w:lang w:val="en-US" w:eastAsia="zh-CN" w:bidi="ar-SA"/>
                    </w:rPr>
                  </w:pPr>
                  <w:r>
                    <w:rPr>
                      <w:rFonts w:hint="eastAsia"/>
                      <w:color w:val="auto"/>
                      <w:szCs w:val="21"/>
                      <w:u w:val="none"/>
                    </w:rPr>
                    <w:t>污水处理构筑物，排污口规范设置，在线监测设备</w:t>
                  </w:r>
                </w:p>
              </w:tc>
              <w:tc>
                <w:tcPr>
                  <w:tcW w:w="3077" w:type="dxa"/>
                  <w:vMerge w:val="continue"/>
                  <w:tcBorders>
                    <w:bottom w:val="single" w:color="auto" w:sz="4" w:space="0"/>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60" w:type="dxa"/>
                  <w:vMerge w:val="continue"/>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p>
              </w:tc>
              <w:tc>
                <w:tcPr>
                  <w:tcW w:w="1493"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宋体" w:cs="Times New Roman"/>
                      <w:color w:val="auto"/>
                      <w:kern w:val="2"/>
                      <w:sz w:val="21"/>
                      <w:szCs w:val="21"/>
                      <w:u w:val="none"/>
                      <w:lang w:val="en-US" w:eastAsia="zh-CN" w:bidi="ar-SA"/>
                    </w:rPr>
                  </w:pPr>
                  <w:r>
                    <w:rPr>
                      <w:rFonts w:hint="eastAsia"/>
                      <w:b w:val="0"/>
                      <w:bCs/>
                      <w:color w:val="FF0000"/>
                      <w:kern w:val="0"/>
                      <w:sz w:val="21"/>
                      <w:szCs w:val="21"/>
                      <w:u w:val="wave"/>
                      <w:lang w:eastAsia="zh-CN"/>
                    </w:rPr>
                    <w:t>进水总管</w:t>
                  </w:r>
                </w:p>
              </w:tc>
              <w:tc>
                <w:tcPr>
                  <w:tcW w:w="3762" w:type="dxa"/>
                  <w:vMerge w:val="continue"/>
                  <w:tcBorders>
                    <w:bottom w:val="single" w:color="auto" w:sz="4" w:space="0"/>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宋体" w:cs="Times New Roman"/>
                      <w:color w:val="auto"/>
                      <w:kern w:val="2"/>
                      <w:sz w:val="21"/>
                      <w:szCs w:val="21"/>
                      <w:u w:val="none"/>
                      <w:lang w:val="en-US" w:eastAsia="zh-CN" w:bidi="ar-SA"/>
                    </w:rPr>
                  </w:pPr>
                </w:p>
              </w:tc>
              <w:tc>
                <w:tcPr>
                  <w:tcW w:w="3077" w:type="dxa"/>
                  <w:tcBorders>
                    <w:top w:val="single" w:color="auto" w:sz="4" w:space="0"/>
                    <w:bottom w:val="single" w:color="auto" w:sz="4" w:space="0"/>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eastAsia="宋体"/>
                      <w:color w:val="auto"/>
                      <w:szCs w:val="21"/>
                      <w:u w:val="none"/>
                      <w:lang w:val="en-US" w:eastAsia="zh-CN"/>
                    </w:rPr>
                  </w:pPr>
                  <w:r>
                    <w:rPr>
                      <w:rFonts w:hint="eastAsia"/>
                      <w:b w:val="0"/>
                      <w:bCs/>
                      <w:color w:val="FF0000"/>
                      <w:kern w:val="0"/>
                      <w:sz w:val="21"/>
                      <w:szCs w:val="21"/>
                      <w:u w:val="wave"/>
                      <w:lang w:val="en-US" w:eastAsia="zh-CN"/>
                    </w:rPr>
                    <w:t>满足进水水质要求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760" w:type="dxa"/>
                  <w:vMerge w:val="restart"/>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rFonts w:hint="eastAsia"/>
                      <w:color w:val="auto"/>
                      <w:szCs w:val="21"/>
                      <w:u w:val="none"/>
                    </w:rPr>
                    <w:t>固废</w:t>
                  </w:r>
                </w:p>
              </w:tc>
              <w:tc>
                <w:tcPr>
                  <w:tcW w:w="14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color w:val="auto"/>
                      <w:u w:val="none"/>
                    </w:rPr>
                  </w:pPr>
                  <w:r>
                    <w:rPr>
                      <w:rFonts w:hint="eastAsia"/>
                      <w:color w:val="auto"/>
                      <w:u w:val="none"/>
                    </w:rPr>
                    <w:t>污泥</w:t>
                  </w:r>
                </w:p>
              </w:tc>
              <w:tc>
                <w:tcPr>
                  <w:tcW w:w="3762"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textAlignment w:val="auto"/>
                    <w:rPr>
                      <w:rFonts w:hint="default"/>
                      <w:color w:val="auto"/>
                      <w:u w:val="none"/>
                      <w:lang w:val="en-US"/>
                    </w:rPr>
                  </w:pPr>
                  <w:r>
                    <w:rPr>
                      <w:rFonts w:hint="eastAsia"/>
                      <w:color w:val="auto"/>
                      <w:u w:val="none"/>
                      <w:lang w:val="en-US" w:eastAsia="zh-CN"/>
                    </w:rPr>
                    <w:t>厂内处置后含水率低于70%，由</w:t>
                  </w:r>
                  <w:r>
                    <w:rPr>
                      <w:rFonts w:hint="eastAsia"/>
                      <w:bCs/>
                      <w:color w:val="auto"/>
                      <w:szCs w:val="21"/>
                      <w:u w:val="none"/>
                      <w:lang w:eastAsia="zh-CN"/>
                    </w:rPr>
                    <w:t>邵阳市污泥处理中心处理</w:t>
                  </w:r>
                </w:p>
              </w:tc>
              <w:tc>
                <w:tcPr>
                  <w:tcW w:w="3077" w:type="dxa"/>
                  <w:vMerge w:val="restart"/>
                  <w:tcBorders>
                    <w:top w:val="single" w:color="auto" w:sz="4" w:space="0"/>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rFonts w:hint="eastAsia"/>
                      <w:color w:val="auto"/>
                      <w:szCs w:val="21"/>
                      <w:u w:val="none"/>
                    </w:rPr>
                    <w:t>无害化、资源化处置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760" w:type="dxa"/>
                  <w:vMerge w:val="continue"/>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p>
              </w:tc>
              <w:tc>
                <w:tcPr>
                  <w:tcW w:w="1493" w:type="dxa"/>
                  <w:tcBorders>
                    <w:tl2br w:val="nil"/>
                    <w:tr2bl w:val="nil"/>
                  </w:tcBorders>
                  <w:vAlign w:val="center"/>
                </w:tcPr>
                <w:p>
                  <w:pPr>
                    <w:pStyle w:val="25"/>
                    <w:keepNext w:val="0"/>
                    <w:keepLines w:val="0"/>
                    <w:pageBreakBefore w:val="0"/>
                    <w:widowControl w:val="0"/>
                    <w:tabs>
                      <w:tab w:val="left" w:pos="1021"/>
                    </w:tabs>
                    <w:kinsoku/>
                    <w:wordWrap/>
                    <w:overflowPunct/>
                    <w:topLinePunct w:val="0"/>
                    <w:autoSpaceDE/>
                    <w:autoSpaceDN/>
                    <w:bidi w:val="0"/>
                    <w:adjustRightInd w:val="0"/>
                    <w:snapToGrid w:val="0"/>
                    <w:spacing w:beforeLines="0" w:line="240" w:lineRule="auto"/>
                    <w:ind w:left="0" w:leftChars="0" w:right="0" w:rightChars="0" w:firstLine="0" w:firstLineChars="0"/>
                    <w:jc w:val="center"/>
                    <w:textAlignment w:val="auto"/>
                    <w:rPr>
                      <w:color w:val="auto"/>
                      <w:sz w:val="21"/>
                      <w:szCs w:val="21"/>
                      <w:u w:val="none"/>
                    </w:rPr>
                  </w:pPr>
                  <w:r>
                    <w:rPr>
                      <w:rFonts w:hint="eastAsia"/>
                      <w:color w:val="auto"/>
                      <w:sz w:val="21"/>
                      <w:szCs w:val="21"/>
                      <w:u w:val="none"/>
                    </w:rPr>
                    <w:t>生活垃圾</w:t>
                  </w:r>
                </w:p>
              </w:tc>
              <w:tc>
                <w:tcPr>
                  <w:tcW w:w="3762" w:type="dxa"/>
                  <w:tcBorders>
                    <w:tl2br w:val="nil"/>
                    <w:tr2bl w:val="nil"/>
                  </w:tcBorders>
                  <w:vAlign w:val="center"/>
                </w:tcPr>
                <w:p>
                  <w:pPr>
                    <w:pStyle w:val="25"/>
                    <w:keepNext w:val="0"/>
                    <w:keepLines w:val="0"/>
                    <w:pageBreakBefore w:val="0"/>
                    <w:widowControl w:val="0"/>
                    <w:tabs>
                      <w:tab w:val="left" w:pos="1021"/>
                    </w:tabs>
                    <w:kinsoku/>
                    <w:wordWrap/>
                    <w:overflowPunct/>
                    <w:topLinePunct w:val="0"/>
                    <w:autoSpaceDE/>
                    <w:autoSpaceDN/>
                    <w:bidi w:val="0"/>
                    <w:adjustRightInd w:val="0"/>
                    <w:snapToGrid w:val="0"/>
                    <w:spacing w:beforeLines="0" w:line="240" w:lineRule="auto"/>
                    <w:ind w:left="0" w:leftChars="0" w:right="0" w:rightChars="0" w:firstLine="0" w:firstLineChars="0"/>
                    <w:jc w:val="center"/>
                    <w:textAlignment w:val="auto"/>
                    <w:rPr>
                      <w:color w:val="auto"/>
                      <w:sz w:val="21"/>
                      <w:szCs w:val="21"/>
                      <w:u w:val="none"/>
                    </w:rPr>
                  </w:pPr>
                  <w:r>
                    <w:rPr>
                      <w:rFonts w:hint="eastAsia"/>
                      <w:color w:val="auto"/>
                      <w:sz w:val="21"/>
                      <w:szCs w:val="21"/>
                      <w:u w:val="none"/>
                    </w:rPr>
                    <w:t>垃圾桶</w:t>
                  </w:r>
                </w:p>
              </w:tc>
              <w:tc>
                <w:tcPr>
                  <w:tcW w:w="3077" w:type="dxa"/>
                  <w:vMerge w:val="continue"/>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760" w:type="dxa"/>
                  <w:vMerge w:val="continue"/>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p>
              </w:tc>
              <w:tc>
                <w:tcPr>
                  <w:tcW w:w="1493" w:type="dxa"/>
                  <w:tcBorders>
                    <w:tl2br w:val="nil"/>
                    <w:tr2bl w:val="nil"/>
                  </w:tcBorders>
                  <w:vAlign w:val="center"/>
                </w:tcPr>
                <w:p>
                  <w:pPr>
                    <w:pStyle w:val="25"/>
                    <w:keepNext w:val="0"/>
                    <w:keepLines w:val="0"/>
                    <w:pageBreakBefore w:val="0"/>
                    <w:widowControl w:val="0"/>
                    <w:tabs>
                      <w:tab w:val="left" w:pos="1021"/>
                    </w:tabs>
                    <w:kinsoku/>
                    <w:wordWrap/>
                    <w:overflowPunct/>
                    <w:topLinePunct w:val="0"/>
                    <w:autoSpaceDE/>
                    <w:autoSpaceDN/>
                    <w:bidi w:val="0"/>
                    <w:adjustRightInd w:val="0"/>
                    <w:snapToGrid w:val="0"/>
                    <w:spacing w:beforeLines="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u w:val="none"/>
                      <w:lang w:val="en-US" w:eastAsia="zh-CN" w:bidi="ar-SA"/>
                    </w:rPr>
                  </w:pPr>
                  <w:r>
                    <w:rPr>
                      <w:rFonts w:hint="eastAsia"/>
                      <w:color w:val="auto"/>
                      <w:sz w:val="21"/>
                      <w:szCs w:val="21"/>
                      <w:u w:val="none"/>
                    </w:rPr>
                    <w:t>栅渣、废包装</w:t>
                  </w:r>
                </w:p>
              </w:tc>
              <w:tc>
                <w:tcPr>
                  <w:tcW w:w="37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textAlignment w:val="auto"/>
                    <w:rPr>
                      <w:rFonts w:hint="eastAsia" w:ascii="Times New Roman" w:hAnsi="Times New Roman" w:eastAsia="宋体" w:cs="Times New Roman"/>
                      <w:color w:val="auto"/>
                      <w:kern w:val="2"/>
                      <w:sz w:val="21"/>
                      <w:szCs w:val="21"/>
                      <w:u w:val="none"/>
                      <w:lang w:val="en-US" w:eastAsia="zh-CN" w:bidi="ar-SA"/>
                    </w:rPr>
                  </w:pPr>
                  <w:r>
                    <w:rPr>
                      <w:rFonts w:hint="eastAsia"/>
                      <w:color w:val="auto"/>
                      <w:u w:val="none"/>
                      <w:lang w:eastAsia="zh-CN"/>
                    </w:rPr>
                    <w:t>废包装回收利用；砂粒及栅渣交由环卫部门清运处理</w:t>
                  </w:r>
                </w:p>
              </w:tc>
              <w:tc>
                <w:tcPr>
                  <w:tcW w:w="3077" w:type="dxa"/>
                  <w:vMerge w:val="continue"/>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60" w:type="dxa"/>
                  <w:vMerge w:val="continue"/>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p>
              </w:tc>
              <w:tc>
                <w:tcPr>
                  <w:tcW w:w="1493" w:type="dxa"/>
                  <w:tcBorders>
                    <w:tl2br w:val="nil"/>
                    <w:tr2bl w:val="nil"/>
                  </w:tcBorders>
                  <w:vAlign w:val="center"/>
                </w:tcPr>
                <w:p>
                  <w:pPr>
                    <w:pStyle w:val="25"/>
                    <w:keepNext w:val="0"/>
                    <w:keepLines w:val="0"/>
                    <w:pageBreakBefore w:val="0"/>
                    <w:widowControl w:val="0"/>
                    <w:tabs>
                      <w:tab w:val="left" w:pos="1021"/>
                    </w:tabs>
                    <w:kinsoku/>
                    <w:wordWrap/>
                    <w:overflowPunct/>
                    <w:topLinePunct w:val="0"/>
                    <w:autoSpaceDE/>
                    <w:autoSpaceDN/>
                    <w:bidi w:val="0"/>
                    <w:adjustRightInd w:val="0"/>
                    <w:snapToGrid w:val="0"/>
                    <w:spacing w:beforeLines="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废紫外灯管</w:t>
                  </w:r>
                </w:p>
              </w:tc>
              <w:tc>
                <w:tcPr>
                  <w:tcW w:w="3762" w:type="dxa"/>
                  <w:tcBorders>
                    <w:tl2br w:val="nil"/>
                    <w:tr2bl w:val="nil"/>
                  </w:tcBorders>
                  <w:vAlign w:val="center"/>
                </w:tcPr>
                <w:p>
                  <w:pPr>
                    <w:pStyle w:val="25"/>
                    <w:keepNext w:val="0"/>
                    <w:keepLines w:val="0"/>
                    <w:pageBreakBefore w:val="0"/>
                    <w:widowControl w:val="0"/>
                    <w:tabs>
                      <w:tab w:val="left" w:pos="1021"/>
                    </w:tabs>
                    <w:kinsoku/>
                    <w:wordWrap/>
                    <w:overflowPunct/>
                    <w:topLinePunct w:val="0"/>
                    <w:autoSpaceDE/>
                    <w:autoSpaceDN/>
                    <w:bidi w:val="0"/>
                    <w:adjustRightInd w:val="0"/>
                    <w:snapToGrid w:val="0"/>
                    <w:spacing w:beforeLines="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rPr>
                    <w:t>收集于危废暂存间后交由有资质单位处理</w:t>
                  </w:r>
                </w:p>
              </w:tc>
              <w:tc>
                <w:tcPr>
                  <w:tcW w:w="3077"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color w:val="auto"/>
                      <w:szCs w:val="21"/>
                      <w:u w:val="none"/>
                    </w:rPr>
                    <w:t>《危险废物贮存污染物控制标准》（GB18597-2001）及2013年修改单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0"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rFonts w:hint="eastAsia"/>
                      <w:color w:val="auto"/>
                      <w:szCs w:val="21"/>
                      <w:u w:val="none"/>
                    </w:rPr>
                    <w:t>噪声</w:t>
                  </w:r>
                </w:p>
              </w:tc>
              <w:tc>
                <w:tcPr>
                  <w:tcW w:w="1493"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rFonts w:hint="eastAsia"/>
                      <w:color w:val="auto"/>
                      <w:szCs w:val="21"/>
                      <w:u w:val="none"/>
                    </w:rPr>
                    <w:t>厂界噪声</w:t>
                  </w:r>
                </w:p>
              </w:tc>
              <w:tc>
                <w:tcPr>
                  <w:tcW w:w="3762"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rFonts w:hint="eastAsia"/>
                      <w:color w:val="auto"/>
                      <w:szCs w:val="21"/>
                      <w:u w:val="none"/>
                    </w:rPr>
                    <w:t>风机消声器、水泵基础减振</w:t>
                  </w:r>
                </w:p>
              </w:tc>
              <w:tc>
                <w:tcPr>
                  <w:tcW w:w="3077"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rFonts w:hint="eastAsia"/>
                      <w:color w:val="auto"/>
                      <w:szCs w:val="21"/>
                      <w:u w:val="none"/>
                    </w:rPr>
                    <w:t>《工业企业厂界环境噪声排放标准》（</w:t>
                  </w:r>
                  <w:r>
                    <w:rPr>
                      <w:color w:val="auto"/>
                      <w:szCs w:val="21"/>
                      <w:u w:val="none"/>
                    </w:rPr>
                    <w:t>GB12348-2008</w:t>
                  </w:r>
                  <w:r>
                    <w:rPr>
                      <w:rFonts w:hint="eastAsia"/>
                      <w:color w:val="auto"/>
                      <w:szCs w:val="21"/>
                      <w:u w:val="none"/>
                    </w:rPr>
                    <w:t>）中</w:t>
                  </w:r>
                  <w:r>
                    <w:rPr>
                      <w:rFonts w:hint="eastAsia"/>
                      <w:color w:val="auto"/>
                      <w:szCs w:val="21"/>
                      <w:u w:val="none"/>
                      <w:lang w:val="en-US" w:eastAsia="zh-CN"/>
                    </w:rPr>
                    <w:t>2</w:t>
                  </w:r>
                  <w:r>
                    <w:rPr>
                      <w:rFonts w:hint="eastAsia"/>
                      <w:color w:val="auto"/>
                      <w:szCs w:val="21"/>
                      <w:u w:val="none"/>
                    </w:rPr>
                    <w:t>类标准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0" w:type="dxa"/>
                  <w:vMerge w:val="restart"/>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rFonts w:hint="eastAsia"/>
                      <w:color w:val="auto"/>
                      <w:szCs w:val="21"/>
                      <w:u w:val="none"/>
                    </w:rPr>
                    <w:t>风险</w:t>
                  </w:r>
                </w:p>
              </w:tc>
              <w:tc>
                <w:tcPr>
                  <w:tcW w:w="1493"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rFonts w:hint="eastAsia"/>
                      <w:color w:val="auto"/>
                      <w:szCs w:val="21"/>
                      <w:u w:val="none"/>
                    </w:rPr>
                    <w:t>事故排放</w:t>
                  </w:r>
                </w:p>
              </w:tc>
              <w:tc>
                <w:tcPr>
                  <w:tcW w:w="3762"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rFonts w:hint="eastAsia"/>
                      <w:color w:val="auto"/>
                      <w:szCs w:val="21"/>
                      <w:u w:val="none"/>
                    </w:rPr>
                    <w:t>事故池</w:t>
                  </w:r>
                </w:p>
              </w:tc>
              <w:tc>
                <w:tcPr>
                  <w:tcW w:w="3077" w:type="dxa"/>
                  <w:vMerge w:val="restart"/>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color w:val="auto"/>
                      <w:szCs w:val="21"/>
                      <w:u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0" w:type="dxa"/>
                  <w:vMerge w:val="continue"/>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p>
              </w:tc>
              <w:tc>
                <w:tcPr>
                  <w:tcW w:w="1493"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rFonts w:hint="eastAsia"/>
                      <w:color w:val="auto"/>
                      <w:szCs w:val="21"/>
                      <w:u w:val="none"/>
                    </w:rPr>
                    <w:t>污水区</w:t>
                  </w:r>
                </w:p>
              </w:tc>
              <w:tc>
                <w:tcPr>
                  <w:tcW w:w="3762"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textAlignment w:val="auto"/>
                    <w:rPr>
                      <w:color w:val="auto"/>
                      <w:szCs w:val="21"/>
                      <w:u w:val="none"/>
                    </w:rPr>
                  </w:pPr>
                  <w:r>
                    <w:rPr>
                      <w:rFonts w:hint="eastAsia"/>
                      <w:color w:val="auto"/>
                      <w:szCs w:val="21"/>
                      <w:u w:val="none"/>
                    </w:rPr>
                    <w:t>各建筑物地面硬化、防渗、防腐处理</w:t>
                  </w:r>
                </w:p>
              </w:tc>
              <w:tc>
                <w:tcPr>
                  <w:tcW w:w="3077" w:type="dxa"/>
                  <w:vMerge w:val="continue"/>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0" w:type="dxa"/>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color w:val="auto"/>
                      <w:szCs w:val="21"/>
                      <w:u w:val="none"/>
                      <w:lang w:eastAsia="zh-CN"/>
                    </w:rPr>
                  </w:pPr>
                  <w:r>
                    <w:rPr>
                      <w:rFonts w:hint="eastAsia"/>
                      <w:color w:val="auto"/>
                      <w:szCs w:val="21"/>
                      <w:u w:val="none"/>
                      <w:lang w:eastAsia="zh-CN"/>
                    </w:rPr>
                    <w:t>管网</w:t>
                  </w:r>
                </w:p>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eastAsia="宋体"/>
                      <w:color w:val="auto"/>
                      <w:szCs w:val="21"/>
                      <w:u w:val="none"/>
                      <w:lang w:eastAsia="zh-CN"/>
                    </w:rPr>
                  </w:pPr>
                  <w:r>
                    <w:rPr>
                      <w:rFonts w:hint="eastAsia"/>
                      <w:color w:val="auto"/>
                      <w:szCs w:val="21"/>
                      <w:u w:val="none"/>
                      <w:lang w:eastAsia="zh-CN"/>
                    </w:rPr>
                    <w:t>工程</w:t>
                  </w:r>
                </w:p>
              </w:tc>
              <w:tc>
                <w:tcPr>
                  <w:tcW w:w="8332" w:type="dxa"/>
                  <w:gridSpan w:val="3"/>
                  <w:tcBorders>
                    <w:tl2br w:val="nil"/>
                    <w:tr2bl w:val="nil"/>
                  </w:tcBorders>
                  <w:vAlign w:val="center"/>
                </w:tcPr>
                <w:p>
                  <w:pPr>
                    <w:keepNext w:val="0"/>
                    <w:keepLines w:val="0"/>
                    <w:pageBreakBefore w:val="0"/>
                    <w:widowControl w:val="0"/>
                    <w:tabs>
                      <w:tab w:val="left" w:pos="1021"/>
                    </w:tabs>
                    <w:kinsoku/>
                    <w:wordWrap/>
                    <w:overflowPunct/>
                    <w:topLinePunct w:val="0"/>
                    <w:autoSpaceDE/>
                    <w:autoSpaceDN/>
                    <w:bidi w:val="0"/>
                    <w:adjustRightInd w:val="0"/>
                    <w:snapToGrid w:val="0"/>
                    <w:spacing w:line="240" w:lineRule="auto"/>
                    <w:ind w:left="0" w:leftChars="0" w:right="0" w:rightChars="0"/>
                    <w:jc w:val="center"/>
                    <w:textAlignment w:val="auto"/>
                    <w:rPr>
                      <w:color w:val="auto"/>
                      <w:szCs w:val="21"/>
                      <w:u w:val="none"/>
                    </w:rPr>
                  </w:pPr>
                  <w:r>
                    <w:rPr>
                      <w:rFonts w:hint="default" w:ascii="Times New Roman" w:hAnsi="Times New Roman" w:cs="Times New Roman"/>
                      <w:bCs/>
                      <w:color w:val="auto"/>
                      <w:sz w:val="21"/>
                      <w:szCs w:val="21"/>
                      <w:u w:val="none"/>
                      <w:lang w:eastAsia="zh-CN"/>
                    </w:rPr>
                    <w:t>管线沿线建设工程完工后的覆土、复耕、复植措施</w:t>
                  </w:r>
                  <w:r>
                    <w:rPr>
                      <w:rFonts w:hint="eastAsia" w:ascii="Times New Roman" w:hAnsi="Times New Roman" w:cs="Times New Roman"/>
                      <w:bCs/>
                      <w:color w:val="auto"/>
                      <w:sz w:val="21"/>
                      <w:szCs w:val="21"/>
                      <w:u w:val="none"/>
                      <w:lang w:eastAsia="zh-CN"/>
                    </w:rPr>
                    <w:t>；</w:t>
                  </w:r>
                  <w:r>
                    <w:rPr>
                      <w:rFonts w:hint="default" w:ascii="Times New Roman" w:hAnsi="Times New Roman" w:cs="Times New Roman"/>
                      <w:bCs/>
                      <w:color w:val="auto"/>
                      <w:sz w:val="21"/>
                      <w:szCs w:val="21"/>
                      <w:u w:val="none"/>
                      <w:lang w:eastAsia="zh-CN"/>
                    </w:rPr>
                    <w:t>弃渣按当地政府的要求处置</w:t>
                  </w:r>
                </w:p>
              </w:tc>
            </w:tr>
          </w:tbl>
          <w:p>
            <w:pPr>
              <w:spacing w:line="360" w:lineRule="auto"/>
              <w:rPr>
                <w:rFonts w:hint="eastAsia"/>
                <w:color w:val="auto"/>
                <w:sz w:val="24"/>
                <w:szCs w:val="24"/>
                <w:u w:val="none"/>
                <w:lang w:val="en-US" w:eastAsia="zh-CN"/>
              </w:rPr>
            </w:pPr>
          </w:p>
          <w:p>
            <w:pPr>
              <w:spacing w:line="360" w:lineRule="auto"/>
              <w:rPr>
                <w:rFonts w:hint="eastAsia"/>
                <w:color w:val="auto"/>
                <w:sz w:val="24"/>
                <w:szCs w:val="24"/>
                <w:lang w:val="en-US" w:eastAsia="zh-CN"/>
              </w:rPr>
            </w:pPr>
          </w:p>
          <w:p>
            <w:pPr>
              <w:spacing w:line="360" w:lineRule="auto"/>
              <w:rPr>
                <w:rFonts w:hint="eastAsia"/>
                <w:color w:val="auto"/>
                <w:sz w:val="24"/>
                <w:szCs w:val="24"/>
                <w:lang w:val="en-US" w:eastAsia="zh-CN"/>
              </w:rPr>
            </w:pPr>
          </w:p>
          <w:p>
            <w:pPr>
              <w:spacing w:line="360" w:lineRule="auto"/>
              <w:rPr>
                <w:rFonts w:hint="eastAsia"/>
                <w:color w:val="auto"/>
                <w:sz w:val="24"/>
                <w:szCs w:val="24"/>
                <w:lang w:val="en-US" w:eastAsia="zh-CN"/>
              </w:rPr>
            </w:pPr>
          </w:p>
          <w:p>
            <w:pPr>
              <w:spacing w:line="360" w:lineRule="auto"/>
              <w:rPr>
                <w:rFonts w:hint="eastAsia"/>
                <w:color w:val="auto"/>
                <w:sz w:val="24"/>
                <w:szCs w:val="24"/>
                <w:lang w:val="en-US" w:eastAsia="zh-CN"/>
              </w:rPr>
            </w:pPr>
          </w:p>
          <w:p>
            <w:pPr>
              <w:spacing w:line="360" w:lineRule="auto"/>
              <w:rPr>
                <w:rFonts w:hint="eastAsia" w:eastAsia="宋体"/>
                <w:color w:val="auto"/>
                <w:sz w:val="24"/>
                <w:szCs w:val="24"/>
                <w:lang w:val="en-US" w:eastAsia="zh-CN"/>
              </w:rPr>
            </w:pPr>
          </w:p>
        </w:tc>
      </w:tr>
    </w:tbl>
    <w:p>
      <w:pPr>
        <w:snapToGrid w:val="0"/>
        <w:outlineLvl w:val="0"/>
        <w:rPr>
          <w:rFonts w:eastAsia="黑体"/>
          <w:sz w:val="32"/>
        </w:rPr>
      </w:pPr>
      <w:r>
        <w:br w:type="page"/>
      </w:r>
      <w:bookmarkStart w:id="17" w:name="_Toc25591"/>
      <w:r>
        <w:rPr>
          <w:rFonts w:ascii="黑体" w:hAnsi="黑体" w:eastAsia="黑体"/>
          <w:sz w:val="32"/>
          <w:szCs w:val="32"/>
        </w:rPr>
        <w:pict>
          <v:line id="_x0000_s2054" o:spid="_x0000_s2054" o:spt="20" style="position:absolute;left:0pt;margin-left:-490pt;margin-top:103.25pt;height:0.05pt;width:420pt;z-index:251644928;mso-width-relative:page;mso-height-relative:page;" coordsize="21600,21600" o:allowincell="f" o:gfxdata="UEsDBAoAAAAAAIdO4kAAAAAAAAAAAAAAAAAEAAAAZHJzL1BLAwQUAAAACACHTuJAiQJ7MdkAAAAN&#10;AQAADwAAAGRycy9kb3ducmV2LnhtbE2PzU7DMBCE70i8g7VIXKrUToCohDg9ALlxoVD1uo2XJCJe&#10;p7H7A0+PywWOOzua+aZcnuwgDjT53rGGdK5AEDfO9NxqeH+rkwUIH5ANDo5Jwxd5WFaXFyUWxh35&#10;lQ6r0IoYwr5ADV0IYyGlbzqy6OduJI6/DzdZDPGcWmkmPMZwO8hMqVxa7Dk2dDjSY0fN52pvNfh6&#10;Tbv6e9bM1OamdZTtnl6eUevrq1Q9gAh0Cn9mOONHdKgi09bt2XgxaEjuFyqOCRoyld+BiJYkvT1L&#10;218pB1mV8v+K6gdQSwMEFAAAAAgAh07iQIeoPaTgAQAAqAMAAA4AAABkcnMvZTJvRG9jLnhtbK1T&#10;zY7TMBC+I/EOlu80aUtXEDXdw5blgqAS8ABT20ks+U8eb9O+BC+AxA1OHLnzNrs8BmO3lAUuCJGD&#10;M/Z8/jLfN5Pl5d4atlMRtXctn05qzpQTXmrXt/ztm+tHTzjDBE6C8U61/KCQX64ePliOoVEzP3gj&#10;VWRE4rAZQ8uHlEJTVSgGZQEnPihHyc5HC4m2sa9khJHYralmdX1RjT7KEL1QiHS6Pib5qvB3nRLp&#10;VdehSsy0nGpLZY1l3ea1Wi2h6SOEQYtTGfAPVVjQjj56plpDAnYT9R9UVovo0XdpIrytfNdpoYoG&#10;UjOtf1PzeoCgihYyB8PZJvx/tOLlbhOZltQ76pQDSz26e//l9t3Hb18/0Hr3+ROjDNk0BmwIfeU2&#10;8bTDsIlZ876LNr9JDdsXaw9na9U+MUGHi/n8cV1TBwTlLuaLzFj9vBoipufKW5aDlhvtsm5oYPcC&#10;0xH6A5KPjWNjy58uZgsiBBqbzkCi0AYSgq4vd9EbLa+1MfkGxn57ZSLbQR6E8pxK+AWWP7IGHI64&#10;ksowaAYF8pmTLB0COeRolnkuwSrJmVE0+jkqyATa/A2S1BuXqVUZ05PO7PLR1xxtvTxQe25C1P1A&#10;vkxLzTlD41AMPI1unrf7e4rv/2Cr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kCezHZAAAADQEA&#10;AA8AAAAAAAAAAQAgAAAAIgAAAGRycy9kb3ducmV2LnhtbFBLAQIUABQAAAAIAIdO4kCHqD2k4AEA&#10;AKgDAAAOAAAAAAAAAAEAIAAAACgBAABkcnMvZTJvRG9jLnhtbFBLBQYAAAAABgAGAFkBAAB6BQAA&#10;AAA=&#10;">
            <v:path arrowok="t"/>
            <v:fill focussize="0,0"/>
            <v:stroke/>
            <v:imagedata o:title=""/>
            <o:lock v:ext="edit"/>
          </v:line>
        </w:pict>
      </w:r>
      <w:r>
        <w:rPr>
          <w:rFonts w:ascii="黑体" w:hAnsi="黑体" w:eastAsia="黑体"/>
          <w:sz w:val="32"/>
          <w:szCs w:val="32"/>
        </w:rPr>
        <w:pict>
          <v:line id="_x0000_s2053" o:spid="_x0000_s2053" o:spt="20" style="position:absolute;left:0pt;margin-left:-518pt;margin-top:74.75pt;height:0.05pt;width:427pt;z-index:251643904;mso-width-relative:page;mso-height-relative:page;" coordsize="21600,21600" o:allowincell="f" o:gfxdata="UEsDBAoAAAAAAIdO4kAAAAAAAAAAAAAAAAAEAAAAZHJzL1BLAwQUAAAACACHTuJA4dJZWtoAAAAO&#10;AQAADwAAAGRycy9kb3ducmV2LnhtbE2PzU7DMBCE70i8g7VIXKrUTgpRCXF6AHLjQqHq1Y2XJCJe&#10;p7H7A0/PwgWOOzOa/aZcnd0gjjiF3pOGdK5AIDXe9tRqeHutkyWIEA1ZM3hCDZ8YYFVdXpSmsP5E&#10;L3hcx1ZwCYXCaOhiHAspQ9OhM2HuRyT23v3kTORzaqWdzInL3SAzpXLpTE/8oTMjPnTYfKwPTkOo&#10;N7ivv2bNTG0Xrcds//j8ZLS+vkrVPYiI5/gXhh98RoeKmXb+QDaIQUOSqkXOayJbN3e3IDiTpMuM&#10;pd2vlIOsSvl/RvUNUEsDBBQAAAAIAIdO4kBms5bv4QEAAKgDAAAOAAAAZHJzL2Uyb0RvYy54bWyt&#10;U82O0zAQviPxDpbvNGmgKxo13cOW5YKgEvAAU/8klvwn29u0L8ELIHGDE0fuvM0uj8HYDWWBC0Lk&#10;MBl7Pn+Z7/NkdXkwmuxFiMrZjs5nNSXCMseV7Tv69s31o6eUxASWg3ZWdPQoIr1cP3ywGn0rGjc4&#10;zUUgSGJjO/qODin5tqoiG4SBOHNeWCxKFwwkXIa+4gFGZDe6aur6ohpd4D44JmLE3c2pSNeFX0rB&#10;0ispo0hEdxR7SyWGEnc5VusVtH0APyg2tQH/0IUBZfGjZ6oNJCA3Qf1BZRQLLjqZZsyZykmpmCga&#10;UM28/k3N6wG8KFrQnOjPNsX/R8te7reBKI53t6TEgsE7unv/5fbdx29fP2C8+/yJYAVtGn1sEX1l&#10;t2FaRb8NWfNBBpPfqIYcirXHs7XikAjDzcWTplnWeAMMaxePF5mx+nnUh5ieC2dITjqqlc26oYX9&#10;i5hO0B+QvK0tGTu6XDQLJAQcG6khYWo8Com2L2ej04pfK63ziRj63ZUOZA95EMoztfALLH9kA3E4&#10;4Uopw6AdBPBnlpN09OiQxVmmuQUjOCVa4OjnrCATKP03SFSvbaYWZUwnndnlk6852zl+xOu58UH1&#10;A/oyLz3nCo5DMXAa3Txv99eY3//B1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dJZWtoAAAAO&#10;AQAADwAAAAAAAAABACAAAAAiAAAAZHJzL2Rvd25yZXYueG1sUEsBAhQAFAAAAAgAh07iQGazlu/h&#10;AQAAqAMAAA4AAAAAAAAAAQAgAAAAKQEAAGRycy9lMm9Eb2MueG1sUEsFBgAAAAAGAAYAWQEAAHwF&#10;AAAAAA==&#10;">
            <v:path arrowok="t"/>
            <v:fill focussize="0,0"/>
            <v:stroke/>
            <v:imagedata o:title=""/>
            <o:lock v:ext="edit"/>
          </v:line>
        </w:pict>
      </w:r>
      <w:r>
        <w:rPr>
          <w:rFonts w:ascii="黑体" w:hAnsi="黑体" w:eastAsia="黑体"/>
          <w:sz w:val="32"/>
          <w:szCs w:val="32"/>
        </w:rPr>
        <w:pict>
          <v:line id="_x0000_s2052" o:spid="_x0000_s2052" o:spt="20" style="position:absolute;left:0pt;margin-left:-490pt;margin-top:27.25pt;height:0.05pt;width:385pt;z-index:251645952;mso-width-relative:page;mso-height-relative:page;" coordsize="21600,21600" o:allowincell="f" o:gfxdata="UEsDBAoAAAAAAIdO4kAAAAAAAAAAAAAAAAAEAAAAZHJzL1BLAwQUAAAACACHTuJANzAnGdgAAAAL&#10;AQAADwAAAGRycy9kb3ducmV2LnhtbE2PzU7DMBCE70i8g7VIXKrUTqBVG+L0AOTGhQLiuo23SUS8&#10;TmP3B54e5wTHnR3NfFNsLrYXJxp951hDOlcgiGtnOm40vL9VyQqED8gGe8ek4Zs8bMrrqwJz4878&#10;SqdtaEQMYZ+jhjaEIZfS1y1Z9HM3EMff3o0WQzzHRpoRzzHc9jJTaiktdhwbWhzosaX6a3u0Gnz1&#10;QYfqZ1bP1Odd4yg7PL08o9a3N6l6ABHoEv7MMOFHdCgj084d2XjRa0jWKxXHBA2L+wWI6EiydFJ2&#10;k7IEWRby/4byF1BLAwQUAAAACACHTuJA7SzwduEBAACoAwAADgAAAGRycy9lMm9Eb2MueG1srVPN&#10;jtMwEL4j8Q6W7zRtoatu1HQPW5YLgkrAA0xtJ7HkP3m8TfsSvAASNzhx5M7bsDwGYzeUBS4IkcNk&#10;7Bl/nu/Ll9XVwRq2VxG1dw2fTaacKSe81K5r+JvXN4+WnGECJ8F4pxp+VMiv1g8frIZQq7nvvZEq&#10;MgJxWA+h4X1Koa4qFL2ygBMflKNi66OFRMvYVTLCQOjWVPPp9KIafJQheqEQaXdzKvJ1wW9bJdLL&#10;tkWVmGk4zZZKjCXucqzWK6i7CKHXYhwD/mEKC9rRpWeoDSRgt1H/AWW1iB59mybC28q3rRaqcCA2&#10;s+lvbF71EFThQuJgOMuE/w9WvNhvI9Oy4XOSx4Glb3T37vPXtx++fXlP8e7TR0YVkmkIWFP3tdvG&#10;cYVhGzPnQxttfhMbdijSHs/SqkNigjafLJeXiyldIah28XiREaufR0PE9Ex5y3LScKNd5g017J9j&#10;OrX+aMnbxrGh4ZeL+YIAgWzTGkiU2kBE0HXlLHqj5Y02Jp/A2O2uTWR7yEYozzjCL235kg1gf+or&#10;pdwGda9APnWSpWMghRx5mecRrJKcGUXWz1npTKDN33QSe+MytCo2HXlmlU+65mzn5ZE+z22IuutJ&#10;l1mZOVfIDkXA0brZb/fXlN//wd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cwJxnYAAAACwEA&#10;AA8AAAAAAAAAAQAgAAAAIgAAAGRycy9kb3ducmV2LnhtbFBLAQIUABQAAAAIAIdO4kDtLPB24QEA&#10;AKgDAAAOAAAAAAAAAAEAIAAAACcBAABkcnMvZTJvRG9jLnhtbFBLBQYAAAAABgAGAFkBAAB6BQAA&#10;AAA=&#10;">
            <v:path arrowok="t"/>
            <v:fill focussize="0,0"/>
            <v:stroke/>
            <v:imagedata o:title=""/>
            <o:lock v:ext="edit"/>
          </v:line>
        </w:pict>
      </w:r>
      <w:r>
        <w:rPr>
          <w:rFonts w:ascii="黑体" w:hAnsi="黑体" w:eastAsia="黑体"/>
          <w:sz w:val="32"/>
          <w:szCs w:val="32"/>
        </w:rPr>
        <w:pict>
          <v:line id="_x0000_s2051" o:spid="_x0000_s2051" o:spt="20" style="position:absolute;left:0pt;margin-left:-560pt;margin-top:36.75pt;height:0.05pt;width:427pt;z-index:251642880;mso-width-relative:page;mso-height-relative:page;" coordsize="21600,21600" o:allowincell="f" o:gfxdata="UEsDBAoAAAAAAIdO4kAAAAAAAAAAAAAAAAAEAAAAZHJzL1BLAwQUAAAACACHTuJAbzSBAdcAAAAM&#10;AQAADwAAAGRycy9kb3ducmV2LnhtbE2PPU/DMBCGdyT+g3VILFVqJxUBhTgdgGwsFBDrNTmSiPic&#10;xu4H/HquE4z33qP3o1yf3KgONIfBs4V0aUARN74duLPw9lond6BCRG5x9EwWvinAurq8KLFo/ZFf&#10;6LCJnRITDgVa6GOcCq1D05PDsPQTsfw+/ewwyjl3up3xKOZu1JkxuXY4sCT0ONFDT83XZu8shPqd&#10;dvXPolmYj1XnKds9Pj+htddXqbkHFekU/2A415fqUEmnrd9zG9RoIUlTCRDYwu3qBpQgSZbnomzP&#10;Sg66KvX/EdUvUEsDBBQAAAAIAIdO4kAHOwtC4QEAAKgDAAAOAAAAZHJzL2Uyb0RvYy54bWytU82O&#10;0zAQviPxDpbvNGmgCxs13cOW5YKgEuwDTP2TWPKfbG/TvgQvgMQNThy58zYsj7FjN5QFLgiRw2Ts&#10;+fxlvs+T5cXeaLITISpnOzqf1ZQIyxxXtu/o9durR88oiQksB+2s6OhBRHqxevhgOfpWNG5wmotA&#10;kMTGdvQdHVLybVVFNggDcea8sFiULhhIuAx9xQOMyG501dT1WTW6wH1wTMSIu+tjka4Kv5SCpddS&#10;RpGI7ij2lkoMJW5zrFZLaPsAflBsagP+oQsDyuJHT1RrSEBugvqDyigWXHQyzZgzlZNSMVE0oJp5&#10;/ZuaNwN4UbSgOdGfbIr/j5a92m0CURzv7iklFgze0e37L9/effz+9QPG28+fCFbQptHHFtGXdhOm&#10;VfSbkDXvZTD5jWrIvlh7OFkr9okw3Fw8aZrzGm+AYe3s8SIzVj+P+hDTC+EMyUlHtbJZN7SwexnT&#10;EfoDkre1JWNHzxfNAgkBx0ZqSJgaj0Ki7cvZ6LTiV0rrfCKGfnupA9lBHoTyTC38AssfWUMcjrhS&#10;yjBoBwH8ueUkHTw6ZHGWaW7BCE6JFjj6OSvIBEr/DRLVa5upRRnTSWd2+ehrzraOH/B6bnxQ/YC+&#10;zEvPuYLjUAycRjfP2/015vd/sN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zSBAdcAAAAMAQAA&#10;DwAAAAAAAAABACAAAAAiAAAAZHJzL2Rvd25yZXYueG1sUEsBAhQAFAAAAAgAh07iQAc7C0LhAQAA&#10;qAMAAA4AAAAAAAAAAQAgAAAAJgEAAGRycy9lMm9Eb2MueG1sUEsFBgAAAAAGAAYAWQEAAHkFAAAA&#10;AA==&#10;">
            <v:path arrowok="t"/>
            <v:fill focussize="0,0"/>
            <v:stroke/>
            <v:imagedata o:title=""/>
            <o:lock v:ext="edit"/>
          </v:line>
        </w:pict>
      </w:r>
      <w:r>
        <w:rPr>
          <w:rFonts w:hint="eastAsia" w:ascii="黑体" w:hAnsi="黑体" w:eastAsia="黑体"/>
          <w:sz w:val="32"/>
          <w:szCs w:val="32"/>
        </w:rPr>
        <w:t>八、建设</w:t>
      </w:r>
      <w:r>
        <w:rPr>
          <w:rFonts w:ascii="黑体" w:hAnsi="黑体" w:eastAsia="黑体"/>
          <w:sz w:val="32"/>
          <w:szCs w:val="32"/>
        </w:rPr>
        <w:t>项目拟采取的防治措施及</w:t>
      </w:r>
      <w:r>
        <w:rPr>
          <w:rFonts w:eastAsia="黑体"/>
          <w:sz w:val="32"/>
        </w:rPr>
        <w:t>预期治理效果</w:t>
      </w:r>
      <w:bookmarkEnd w:id="17"/>
    </w:p>
    <w:tbl>
      <w:tblPr>
        <w:tblStyle w:val="27"/>
        <w:tblW w:w="93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716"/>
        <w:gridCol w:w="757"/>
        <w:gridCol w:w="1957"/>
        <w:gridCol w:w="2727"/>
        <w:gridCol w:w="1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Borders>
              <w:tl2br w:val="nil"/>
              <w:tr2bl w:val="nil"/>
            </w:tcBorders>
            <w:vAlign w:val="center"/>
          </w:tcPr>
          <w:p>
            <w:pPr>
              <w:spacing w:line="300" w:lineRule="exact"/>
              <w:jc w:val="center"/>
              <w:rPr>
                <w:b/>
                <w:color w:val="auto"/>
                <w:szCs w:val="21"/>
                <w:u w:val="none"/>
              </w:rPr>
            </w:pPr>
            <w:r>
              <w:rPr>
                <w:color w:val="auto"/>
                <w:u w:val="none"/>
              </w:rPr>
              <w:pict>
                <v:line id="_x0000_s2050" o:spid="_x0000_s2050" o:spt="20" style="position:absolute;left:0pt;margin-left:-5.75pt;margin-top:-0.75pt;height:29.25pt;width:66.75pt;z-index:251664384;mso-width-relative:page;mso-height-relative:page;" stroked="t" coordsize="21600,21600" o:gfxdata="UEsDBAoAAAAAAIdO4kAAAAAAAAAAAAAAAAAEAAAAZHJzL1BLAwQUAAAACACHTuJAz0dDZ9YAAAAJ&#10;AQAADwAAAGRycy9kb3ducmV2LnhtbE2PQU+EMBCF7yb+h2ZMvO0WSFY2SNmDiQcTExX34LFLZylK&#10;p0i7gP/e4aSnmcl7efO98rC4Xkw4hs6TgnSbgEBqvOmoVXB8f9zsQYSoyejeEyr4wQCH6vqq1IXx&#10;M73hVMdWcAiFQiuwMQ6FlKGx6HTY+gGJtbMfnY58jq00o5453PUyS5I76XRH/MHqAR8sNl/1xXEK&#10;5d/npR8/Xl+e7b6eP/FpylGp25s0uQcRcYl/ZljxGR0qZjr5C5kgegWbNN2xdV14roYs43InBbs8&#10;AVmV8n+D6hdQSwMEFAAAAAgAh07iQCnWnrvaAQAAdAMAAA4AAABkcnMvZTJvRG9jLnhtbK1TS44T&#10;MRDdI3EHy3vSSSeZZFrpzGKiYYMgEnCAitvutuSfbJNOLsEFkNjBiiV7bjPDMSi7ez7ADuFFtV2f&#10;53rP1Zurk1bkyH2Q1tR0NplSwg2zjTRtTd+/u3mxpiREMA0oa3hNzzzQq+3zZ5veVby0nVUN9wRB&#10;TKh6V9MuRlcVRWAd1xAm1nGDQWG9hohH3xaNhx7RtSrK6fSi6K1vnLeMh4De3RCk24wvBGfxjRCB&#10;R6Jqir3FbH22h2SL7Qaq1oPrJBvbgH/oQoM0eOkD1A4ikA9e/gWlJfM2WBEnzOrCCiEZzxyQzWz6&#10;B5u3HTieuaA4wT3IFP4fLHt93Hsim5quUR4DGt/o7tP3249ffv74jPbu21eCEZSpd6HC7Guz9+Mp&#10;uL1PnE/C6/RFNuRU08tyXl4i2BnnYbaaL4ZyqPgpEobx9WK1KpeUMEyYr2aL1TLBF484zof4kltN&#10;0qamSpokAlRwfBXikHqfktzG3kil0A+VMqSv6cV8idczwHESCiJutUOCwbSUgGpxTln0GTFYJZtU&#10;nYqDbw/XypMjpFnJa2zst7R09Q5CN+TlUEqDSsuIo6ykTlqmNVYrg+ySeoNeaXewzTnLmP34tJn/&#10;OIZpdp6ec/Xjz7L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9HQ2fWAAAACQEAAA8AAAAAAAAA&#10;AQAgAAAAIgAAAGRycy9kb3ducmV2LnhtbFBLAQIUABQAAAAIAIdO4kAp1p672gEAAHQDAAAOAAAA&#10;AAAAAAEAIAAAACUBAABkcnMvZTJvRG9jLnhtbFBLBQYAAAAABgAGAFkBAABxBQAAAAA=&#10;">
                  <v:path arrowok="t"/>
                  <v:fill focussize="0,0"/>
                  <v:stroke weight="0.5pt" color="#000000" joinstyle="miter"/>
                  <v:imagedata o:title=""/>
                  <o:lock v:ext="edit"/>
                </v:line>
              </w:pict>
            </w:r>
            <w:r>
              <w:rPr>
                <w:b/>
                <w:color w:val="auto"/>
                <w:szCs w:val="21"/>
                <w:u w:val="none"/>
              </w:rPr>
              <w:t xml:space="preserve">    内容</w:t>
            </w:r>
          </w:p>
          <w:p>
            <w:pPr>
              <w:spacing w:line="300" w:lineRule="exact"/>
              <w:rPr>
                <w:b/>
                <w:color w:val="auto"/>
                <w:szCs w:val="21"/>
                <w:u w:val="none"/>
              </w:rPr>
            </w:pPr>
            <w:r>
              <w:rPr>
                <w:b/>
                <w:color w:val="auto"/>
                <w:szCs w:val="21"/>
                <w:u w:val="none"/>
              </w:rPr>
              <w:t>类型</w:t>
            </w:r>
          </w:p>
        </w:tc>
        <w:tc>
          <w:tcPr>
            <w:tcW w:w="1473" w:type="dxa"/>
            <w:gridSpan w:val="2"/>
            <w:tcBorders>
              <w:tl2br w:val="nil"/>
              <w:tr2bl w:val="nil"/>
            </w:tcBorders>
            <w:vAlign w:val="center"/>
          </w:tcPr>
          <w:p>
            <w:pPr>
              <w:spacing w:line="300" w:lineRule="exact"/>
              <w:jc w:val="center"/>
              <w:rPr>
                <w:b/>
                <w:color w:val="auto"/>
                <w:szCs w:val="21"/>
                <w:u w:val="none"/>
              </w:rPr>
            </w:pPr>
            <w:r>
              <w:rPr>
                <w:b/>
                <w:color w:val="auto"/>
                <w:szCs w:val="21"/>
                <w:u w:val="none"/>
              </w:rPr>
              <w:t>排放源</w:t>
            </w:r>
          </w:p>
          <w:p>
            <w:pPr>
              <w:spacing w:line="300" w:lineRule="exact"/>
              <w:jc w:val="center"/>
              <w:rPr>
                <w:b/>
                <w:color w:val="auto"/>
                <w:szCs w:val="21"/>
                <w:u w:val="none"/>
              </w:rPr>
            </w:pPr>
            <w:r>
              <w:rPr>
                <w:b/>
                <w:color w:val="auto"/>
                <w:szCs w:val="21"/>
                <w:u w:val="none"/>
              </w:rPr>
              <w:t>（编号）</w:t>
            </w:r>
          </w:p>
        </w:tc>
        <w:tc>
          <w:tcPr>
            <w:tcW w:w="1957" w:type="dxa"/>
            <w:tcBorders>
              <w:tl2br w:val="nil"/>
              <w:tr2bl w:val="nil"/>
            </w:tcBorders>
            <w:vAlign w:val="center"/>
          </w:tcPr>
          <w:p>
            <w:pPr>
              <w:spacing w:line="300" w:lineRule="exact"/>
              <w:jc w:val="center"/>
              <w:rPr>
                <w:b/>
                <w:color w:val="auto"/>
                <w:szCs w:val="21"/>
                <w:u w:val="none"/>
              </w:rPr>
            </w:pPr>
            <w:r>
              <w:rPr>
                <w:b/>
                <w:color w:val="auto"/>
                <w:szCs w:val="21"/>
                <w:u w:val="none"/>
              </w:rPr>
              <w:t>污染物</w:t>
            </w:r>
          </w:p>
          <w:p>
            <w:pPr>
              <w:spacing w:line="300" w:lineRule="exact"/>
              <w:jc w:val="center"/>
              <w:rPr>
                <w:b/>
                <w:color w:val="auto"/>
                <w:szCs w:val="21"/>
                <w:u w:val="none"/>
              </w:rPr>
            </w:pPr>
            <w:r>
              <w:rPr>
                <w:b/>
                <w:color w:val="auto"/>
                <w:szCs w:val="21"/>
                <w:u w:val="none"/>
              </w:rPr>
              <w:t>名  称</w:t>
            </w:r>
          </w:p>
        </w:tc>
        <w:tc>
          <w:tcPr>
            <w:tcW w:w="2727" w:type="dxa"/>
            <w:tcBorders>
              <w:tl2br w:val="nil"/>
              <w:tr2bl w:val="nil"/>
            </w:tcBorders>
            <w:vAlign w:val="center"/>
          </w:tcPr>
          <w:p>
            <w:pPr>
              <w:spacing w:line="300" w:lineRule="exact"/>
              <w:jc w:val="center"/>
              <w:rPr>
                <w:b/>
                <w:color w:val="auto"/>
                <w:szCs w:val="21"/>
                <w:u w:val="none"/>
              </w:rPr>
            </w:pPr>
            <w:r>
              <w:rPr>
                <w:b/>
                <w:color w:val="auto"/>
                <w:szCs w:val="21"/>
                <w:u w:val="none"/>
              </w:rPr>
              <w:t>防 治 措 施</w:t>
            </w:r>
          </w:p>
        </w:tc>
        <w:tc>
          <w:tcPr>
            <w:tcW w:w="1819" w:type="dxa"/>
            <w:tcBorders>
              <w:tl2br w:val="nil"/>
              <w:tr2bl w:val="nil"/>
            </w:tcBorders>
            <w:vAlign w:val="center"/>
          </w:tcPr>
          <w:p>
            <w:pPr>
              <w:spacing w:line="300" w:lineRule="exact"/>
              <w:jc w:val="center"/>
              <w:rPr>
                <w:b/>
                <w:color w:val="auto"/>
                <w:szCs w:val="21"/>
                <w:u w:val="none"/>
              </w:rPr>
            </w:pPr>
            <w:r>
              <w:rPr>
                <w:b/>
                <w:color w:val="auto"/>
                <w:szCs w:val="21"/>
                <w:u w:val="none"/>
              </w:rPr>
              <w:t>预期治理</w:t>
            </w:r>
          </w:p>
          <w:p>
            <w:pPr>
              <w:spacing w:line="300" w:lineRule="exact"/>
              <w:jc w:val="center"/>
              <w:rPr>
                <w:b/>
                <w:color w:val="auto"/>
                <w:szCs w:val="21"/>
                <w:u w:val="none"/>
              </w:rPr>
            </w:pPr>
            <w:r>
              <w:rPr>
                <w:b/>
                <w:color w:val="auto"/>
                <w:szCs w:val="21"/>
                <w:u w:val="none"/>
              </w:rPr>
              <w:t>效    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347" w:type="dxa"/>
            <w:vMerge w:val="restart"/>
            <w:tcBorders>
              <w:tl2br w:val="nil"/>
              <w:tr2bl w:val="nil"/>
            </w:tcBorders>
            <w:vAlign w:val="center"/>
          </w:tcPr>
          <w:p>
            <w:pPr>
              <w:spacing w:line="300" w:lineRule="exact"/>
              <w:jc w:val="center"/>
              <w:rPr>
                <w:color w:val="auto"/>
                <w:szCs w:val="21"/>
                <w:u w:val="none"/>
              </w:rPr>
            </w:pPr>
            <w:r>
              <w:rPr>
                <w:color w:val="auto"/>
                <w:szCs w:val="21"/>
                <w:u w:val="none"/>
              </w:rPr>
              <w:t>水污染物</w:t>
            </w:r>
          </w:p>
        </w:tc>
        <w:tc>
          <w:tcPr>
            <w:tcW w:w="716" w:type="dxa"/>
            <w:vMerge w:val="restart"/>
            <w:tcBorders>
              <w:tl2br w:val="nil"/>
              <w:tr2bl w:val="nil"/>
            </w:tcBorders>
            <w:vAlign w:val="center"/>
          </w:tcPr>
          <w:p>
            <w:pPr>
              <w:jc w:val="center"/>
              <w:rPr>
                <w:color w:val="auto"/>
                <w:szCs w:val="21"/>
                <w:u w:val="none"/>
              </w:rPr>
            </w:pPr>
            <w:r>
              <w:rPr>
                <w:rFonts w:hint="eastAsia"/>
                <w:color w:val="auto"/>
                <w:spacing w:val="4"/>
                <w:szCs w:val="21"/>
                <w:u w:val="none"/>
              </w:rPr>
              <w:t>施工期</w:t>
            </w:r>
          </w:p>
        </w:tc>
        <w:tc>
          <w:tcPr>
            <w:tcW w:w="757" w:type="dxa"/>
            <w:tcBorders>
              <w:tl2br w:val="nil"/>
              <w:tr2bl w:val="nil"/>
            </w:tcBorders>
            <w:vAlign w:val="center"/>
          </w:tcPr>
          <w:p>
            <w:pPr>
              <w:jc w:val="center"/>
              <w:rPr>
                <w:color w:val="auto"/>
                <w:szCs w:val="21"/>
                <w:u w:val="none"/>
              </w:rPr>
            </w:pPr>
            <w:r>
              <w:rPr>
                <w:rFonts w:hint="eastAsia"/>
                <w:color w:val="auto"/>
                <w:spacing w:val="4"/>
                <w:szCs w:val="21"/>
                <w:u w:val="none"/>
                <w:lang w:val="zh-CN"/>
              </w:rPr>
              <w:t>施工废水</w:t>
            </w:r>
          </w:p>
        </w:tc>
        <w:tc>
          <w:tcPr>
            <w:tcW w:w="1957" w:type="dxa"/>
            <w:tcBorders>
              <w:tl2br w:val="nil"/>
              <w:tr2bl w:val="nil"/>
            </w:tcBorders>
            <w:vAlign w:val="center"/>
          </w:tcPr>
          <w:p>
            <w:pPr>
              <w:jc w:val="center"/>
              <w:rPr>
                <w:color w:val="auto"/>
                <w:szCs w:val="21"/>
                <w:u w:val="none"/>
              </w:rPr>
            </w:pPr>
            <w:r>
              <w:rPr>
                <w:rFonts w:hint="eastAsia"/>
                <w:color w:val="auto"/>
                <w:spacing w:val="4"/>
                <w:szCs w:val="21"/>
                <w:u w:val="none"/>
                <w:lang w:val="zh-CN"/>
              </w:rPr>
              <w:t>SS、石油类</w:t>
            </w:r>
          </w:p>
        </w:tc>
        <w:tc>
          <w:tcPr>
            <w:tcW w:w="2727" w:type="dxa"/>
            <w:tcBorders>
              <w:tl2br w:val="nil"/>
              <w:tr2bl w:val="nil"/>
            </w:tcBorders>
            <w:vAlign w:val="center"/>
          </w:tcPr>
          <w:p>
            <w:pPr>
              <w:spacing w:line="300" w:lineRule="exact"/>
              <w:jc w:val="center"/>
              <w:rPr>
                <w:color w:val="auto"/>
                <w:szCs w:val="21"/>
                <w:u w:val="none"/>
              </w:rPr>
            </w:pPr>
            <w:r>
              <w:rPr>
                <w:rFonts w:hint="eastAsia"/>
                <w:bCs/>
                <w:color w:val="auto"/>
                <w:szCs w:val="21"/>
                <w:u w:val="none"/>
              </w:rPr>
              <w:t>沉淀后循环利用</w:t>
            </w:r>
          </w:p>
        </w:tc>
        <w:tc>
          <w:tcPr>
            <w:tcW w:w="1819" w:type="dxa"/>
            <w:vMerge w:val="restart"/>
            <w:tcBorders>
              <w:tl2br w:val="nil"/>
              <w:tr2bl w:val="nil"/>
            </w:tcBorders>
            <w:vAlign w:val="center"/>
          </w:tcPr>
          <w:p>
            <w:pPr>
              <w:spacing w:line="300" w:lineRule="exact"/>
              <w:jc w:val="center"/>
              <w:rPr>
                <w:color w:val="auto"/>
                <w:szCs w:val="21"/>
                <w:u w:val="none"/>
              </w:rPr>
            </w:pPr>
            <w:r>
              <w:rPr>
                <w:rFonts w:hint="eastAsia"/>
                <w:color w:val="auto"/>
                <w:szCs w:val="21"/>
                <w:u w:val="none"/>
              </w:rPr>
              <w:t>合理处置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347" w:type="dxa"/>
            <w:vMerge w:val="continue"/>
            <w:tcBorders>
              <w:tl2br w:val="nil"/>
              <w:tr2bl w:val="nil"/>
            </w:tcBorders>
            <w:vAlign w:val="center"/>
          </w:tcPr>
          <w:p>
            <w:pPr>
              <w:spacing w:line="300" w:lineRule="exact"/>
              <w:jc w:val="center"/>
              <w:rPr>
                <w:color w:val="auto"/>
                <w:szCs w:val="21"/>
                <w:u w:val="none"/>
              </w:rPr>
            </w:pPr>
          </w:p>
        </w:tc>
        <w:tc>
          <w:tcPr>
            <w:tcW w:w="716" w:type="dxa"/>
            <w:vMerge w:val="continue"/>
            <w:tcBorders>
              <w:tl2br w:val="nil"/>
              <w:tr2bl w:val="nil"/>
            </w:tcBorders>
            <w:vAlign w:val="center"/>
          </w:tcPr>
          <w:p>
            <w:pPr>
              <w:jc w:val="center"/>
              <w:rPr>
                <w:color w:val="auto"/>
                <w:szCs w:val="21"/>
                <w:u w:val="none"/>
              </w:rPr>
            </w:pPr>
          </w:p>
        </w:tc>
        <w:tc>
          <w:tcPr>
            <w:tcW w:w="757" w:type="dxa"/>
            <w:tcBorders>
              <w:tl2br w:val="nil"/>
              <w:tr2bl w:val="nil"/>
            </w:tcBorders>
            <w:vAlign w:val="center"/>
          </w:tcPr>
          <w:p>
            <w:pPr>
              <w:jc w:val="center"/>
              <w:rPr>
                <w:color w:val="auto"/>
                <w:szCs w:val="21"/>
                <w:u w:val="none"/>
              </w:rPr>
            </w:pPr>
            <w:r>
              <w:rPr>
                <w:rFonts w:hint="eastAsia"/>
                <w:color w:val="auto"/>
                <w:spacing w:val="4"/>
                <w:szCs w:val="21"/>
                <w:u w:val="none"/>
                <w:lang w:val="zh-CN"/>
              </w:rPr>
              <w:t>生活污水</w:t>
            </w:r>
          </w:p>
        </w:tc>
        <w:tc>
          <w:tcPr>
            <w:tcW w:w="1957" w:type="dxa"/>
            <w:tcBorders>
              <w:tl2br w:val="nil"/>
              <w:tr2bl w:val="nil"/>
            </w:tcBorders>
            <w:vAlign w:val="center"/>
          </w:tcPr>
          <w:p>
            <w:pPr>
              <w:jc w:val="center"/>
              <w:rPr>
                <w:color w:val="auto"/>
                <w:szCs w:val="21"/>
                <w:u w:val="none"/>
              </w:rPr>
            </w:pPr>
            <w:r>
              <w:rPr>
                <w:rFonts w:hint="eastAsia"/>
                <w:color w:val="auto"/>
                <w:spacing w:val="4"/>
                <w:szCs w:val="21"/>
                <w:u w:val="none"/>
              </w:rPr>
              <w:t>COD</w:t>
            </w:r>
            <w:r>
              <w:rPr>
                <w:rFonts w:hint="eastAsia"/>
                <w:color w:val="auto"/>
                <w:spacing w:val="4"/>
                <w:szCs w:val="21"/>
                <w:u w:val="none"/>
                <w:lang w:val="zh-CN"/>
              </w:rPr>
              <w:t>、</w:t>
            </w:r>
            <w:r>
              <w:rPr>
                <w:rFonts w:hint="eastAsia"/>
                <w:color w:val="auto"/>
                <w:spacing w:val="4"/>
                <w:szCs w:val="21"/>
                <w:u w:val="none"/>
              </w:rPr>
              <w:t>NH</w:t>
            </w:r>
            <w:r>
              <w:rPr>
                <w:rFonts w:hint="eastAsia"/>
                <w:color w:val="auto"/>
                <w:spacing w:val="4"/>
                <w:szCs w:val="21"/>
                <w:u w:val="none"/>
                <w:vertAlign w:val="subscript"/>
              </w:rPr>
              <w:t>3</w:t>
            </w:r>
            <w:r>
              <w:rPr>
                <w:rFonts w:hint="eastAsia"/>
                <w:color w:val="auto"/>
                <w:spacing w:val="4"/>
                <w:szCs w:val="21"/>
                <w:u w:val="none"/>
              </w:rPr>
              <w:t>-N</w:t>
            </w:r>
            <w:r>
              <w:rPr>
                <w:rFonts w:hint="eastAsia"/>
                <w:color w:val="auto"/>
                <w:spacing w:val="4"/>
                <w:szCs w:val="21"/>
                <w:u w:val="none"/>
                <w:lang w:val="zh-CN"/>
              </w:rPr>
              <w:t>、</w:t>
            </w:r>
            <w:r>
              <w:rPr>
                <w:rFonts w:hint="eastAsia"/>
                <w:color w:val="auto"/>
                <w:spacing w:val="4"/>
                <w:szCs w:val="21"/>
                <w:u w:val="none"/>
              </w:rPr>
              <w:t>BOD</w:t>
            </w:r>
            <w:r>
              <w:rPr>
                <w:rFonts w:hint="eastAsia"/>
                <w:color w:val="auto"/>
                <w:spacing w:val="4"/>
                <w:szCs w:val="21"/>
                <w:u w:val="none"/>
                <w:vertAlign w:val="subscript"/>
              </w:rPr>
              <w:t>5</w:t>
            </w:r>
            <w:r>
              <w:rPr>
                <w:rFonts w:hint="eastAsia"/>
                <w:color w:val="auto"/>
                <w:spacing w:val="4"/>
                <w:szCs w:val="21"/>
                <w:u w:val="none"/>
                <w:lang w:val="zh-CN"/>
              </w:rPr>
              <w:t>、</w:t>
            </w:r>
            <w:r>
              <w:rPr>
                <w:rFonts w:hint="eastAsia"/>
                <w:color w:val="auto"/>
                <w:spacing w:val="4"/>
                <w:szCs w:val="21"/>
                <w:u w:val="none"/>
              </w:rPr>
              <w:t>SS</w:t>
            </w:r>
          </w:p>
        </w:tc>
        <w:tc>
          <w:tcPr>
            <w:tcW w:w="2727" w:type="dxa"/>
            <w:tcBorders>
              <w:tl2br w:val="nil"/>
              <w:tr2bl w:val="nil"/>
            </w:tcBorders>
            <w:vAlign w:val="center"/>
          </w:tcPr>
          <w:p>
            <w:pPr>
              <w:spacing w:line="300" w:lineRule="exact"/>
              <w:rPr>
                <w:color w:val="auto"/>
                <w:szCs w:val="21"/>
                <w:u w:val="none"/>
              </w:rPr>
            </w:pPr>
            <w:r>
              <w:rPr>
                <w:rFonts w:hint="eastAsia"/>
                <w:color w:val="auto"/>
                <w:szCs w:val="21"/>
                <w:u w:val="none"/>
              </w:rPr>
              <w:t>依托周边居民生活污水收集措施，用作农肥不外排</w:t>
            </w:r>
          </w:p>
        </w:tc>
        <w:tc>
          <w:tcPr>
            <w:tcW w:w="1819" w:type="dxa"/>
            <w:vMerge w:val="continue"/>
            <w:tcBorders>
              <w:tl2br w:val="nil"/>
              <w:tr2bl w:val="nil"/>
            </w:tcBorders>
            <w:vAlign w:val="center"/>
          </w:tcPr>
          <w:p>
            <w:pPr>
              <w:spacing w:line="300" w:lineRule="exact"/>
              <w:jc w:val="center"/>
              <w:rPr>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1347" w:type="dxa"/>
            <w:vMerge w:val="continue"/>
            <w:tcBorders>
              <w:tl2br w:val="nil"/>
              <w:tr2bl w:val="nil"/>
            </w:tcBorders>
            <w:vAlign w:val="center"/>
          </w:tcPr>
          <w:p>
            <w:pPr>
              <w:spacing w:line="300" w:lineRule="exact"/>
              <w:jc w:val="center"/>
              <w:rPr>
                <w:color w:val="auto"/>
                <w:szCs w:val="21"/>
                <w:u w:val="none"/>
              </w:rPr>
            </w:pPr>
          </w:p>
        </w:tc>
        <w:tc>
          <w:tcPr>
            <w:tcW w:w="716" w:type="dxa"/>
            <w:tcBorders>
              <w:tl2br w:val="nil"/>
              <w:tr2bl w:val="nil"/>
            </w:tcBorders>
            <w:vAlign w:val="center"/>
          </w:tcPr>
          <w:p>
            <w:pPr>
              <w:jc w:val="center"/>
              <w:rPr>
                <w:color w:val="auto"/>
                <w:szCs w:val="21"/>
                <w:u w:val="none"/>
              </w:rPr>
            </w:pPr>
            <w:r>
              <w:rPr>
                <w:rFonts w:hint="eastAsia"/>
                <w:color w:val="auto"/>
                <w:spacing w:val="4"/>
                <w:szCs w:val="21"/>
                <w:u w:val="none"/>
              </w:rPr>
              <w:t>运营期</w:t>
            </w:r>
          </w:p>
        </w:tc>
        <w:tc>
          <w:tcPr>
            <w:tcW w:w="757" w:type="dxa"/>
            <w:tcBorders>
              <w:tl2br w:val="nil"/>
              <w:tr2bl w:val="nil"/>
            </w:tcBorders>
            <w:vAlign w:val="center"/>
          </w:tcPr>
          <w:p>
            <w:pPr>
              <w:jc w:val="center"/>
              <w:rPr>
                <w:rFonts w:hint="eastAsia" w:eastAsia="宋体"/>
                <w:color w:val="auto"/>
                <w:spacing w:val="4"/>
                <w:szCs w:val="21"/>
                <w:u w:val="none"/>
                <w:lang w:val="zh-CN" w:eastAsia="zh-CN"/>
              </w:rPr>
            </w:pPr>
            <w:r>
              <w:rPr>
                <w:rFonts w:hint="eastAsia" w:eastAsia="宋体"/>
                <w:color w:val="auto"/>
                <w:spacing w:val="4"/>
                <w:szCs w:val="21"/>
                <w:u w:val="none"/>
                <w:lang w:val="zh-CN" w:eastAsia="zh-CN"/>
              </w:rPr>
              <w:t>进厂污水及</w:t>
            </w:r>
            <w:r>
              <w:rPr>
                <w:rFonts w:hint="eastAsia"/>
                <w:color w:val="auto"/>
                <w:spacing w:val="4"/>
                <w:szCs w:val="21"/>
                <w:u w:val="none"/>
                <w:lang w:val="zh-CN" w:eastAsia="zh-CN"/>
              </w:rPr>
              <w:t>项目</w:t>
            </w:r>
            <w:r>
              <w:rPr>
                <w:rFonts w:hint="eastAsia" w:eastAsia="宋体"/>
                <w:color w:val="auto"/>
                <w:spacing w:val="4"/>
                <w:szCs w:val="21"/>
                <w:u w:val="none"/>
                <w:lang w:val="zh-CN" w:eastAsia="zh-CN"/>
              </w:rPr>
              <w:t>自身产污水</w:t>
            </w:r>
          </w:p>
        </w:tc>
        <w:tc>
          <w:tcPr>
            <w:tcW w:w="1957" w:type="dxa"/>
            <w:tcBorders>
              <w:tl2br w:val="nil"/>
              <w:tr2bl w:val="nil"/>
            </w:tcBorders>
            <w:vAlign w:val="center"/>
          </w:tcPr>
          <w:p>
            <w:pPr>
              <w:rPr>
                <w:rFonts w:hint="default" w:eastAsia="宋体"/>
                <w:color w:val="auto"/>
                <w:u w:val="none"/>
                <w:lang w:val="en-US" w:eastAsia="zh-CN"/>
              </w:rPr>
            </w:pPr>
            <w:r>
              <w:rPr>
                <w:color w:val="auto"/>
                <w:u w:val="none"/>
              </w:rPr>
              <w:t>COD</w:t>
            </w:r>
            <w:r>
              <w:rPr>
                <w:color w:val="auto"/>
                <w:u w:val="none"/>
                <w:lang w:val="zh-CN"/>
              </w:rPr>
              <w:t>、</w:t>
            </w:r>
            <w:r>
              <w:rPr>
                <w:color w:val="auto"/>
                <w:u w:val="none"/>
              </w:rPr>
              <w:t>NH</w:t>
            </w:r>
            <w:r>
              <w:rPr>
                <w:color w:val="auto"/>
                <w:u w:val="none"/>
                <w:vertAlign w:val="subscript"/>
              </w:rPr>
              <w:t>3</w:t>
            </w:r>
            <w:r>
              <w:rPr>
                <w:color w:val="auto"/>
                <w:u w:val="none"/>
              </w:rPr>
              <w:t>-N</w:t>
            </w:r>
            <w:r>
              <w:rPr>
                <w:color w:val="auto"/>
                <w:u w:val="none"/>
                <w:lang w:val="zh-CN"/>
              </w:rPr>
              <w:t>、</w:t>
            </w:r>
            <w:r>
              <w:rPr>
                <w:color w:val="auto"/>
                <w:u w:val="none"/>
              </w:rPr>
              <w:t>BOD</w:t>
            </w:r>
            <w:r>
              <w:rPr>
                <w:color w:val="auto"/>
                <w:u w:val="none"/>
                <w:vertAlign w:val="subscript"/>
              </w:rPr>
              <w:t>5</w:t>
            </w:r>
            <w:r>
              <w:rPr>
                <w:color w:val="auto"/>
                <w:u w:val="none"/>
                <w:lang w:val="zh-CN"/>
              </w:rPr>
              <w:t>、</w:t>
            </w:r>
            <w:r>
              <w:rPr>
                <w:color w:val="auto"/>
                <w:u w:val="none"/>
              </w:rPr>
              <w:t>SS</w:t>
            </w:r>
            <w:r>
              <w:rPr>
                <w:rFonts w:hint="eastAsia"/>
                <w:color w:val="auto"/>
                <w:u w:val="none"/>
                <w:lang w:eastAsia="zh-CN"/>
              </w:rPr>
              <w:t>、</w:t>
            </w:r>
            <w:r>
              <w:rPr>
                <w:rFonts w:hint="eastAsia"/>
                <w:color w:val="auto"/>
                <w:u w:val="none"/>
                <w:lang w:val="en-US" w:eastAsia="zh-CN"/>
              </w:rPr>
              <w:t>TP、TN</w:t>
            </w:r>
          </w:p>
        </w:tc>
        <w:tc>
          <w:tcPr>
            <w:tcW w:w="2727" w:type="dxa"/>
            <w:tcBorders>
              <w:tl2br w:val="nil"/>
              <w:tr2bl w:val="nil"/>
            </w:tcBorders>
            <w:vAlign w:val="center"/>
          </w:tcPr>
          <w:p>
            <w:pPr>
              <w:spacing w:line="300" w:lineRule="exact"/>
              <w:jc w:val="center"/>
              <w:rPr>
                <w:rFonts w:hint="eastAsia" w:eastAsia="宋体"/>
                <w:color w:val="auto"/>
                <w:szCs w:val="21"/>
                <w:u w:val="none"/>
                <w:lang w:eastAsia="zh-CN"/>
              </w:rPr>
            </w:pPr>
            <w:r>
              <w:rPr>
                <w:rFonts w:hint="eastAsia"/>
                <w:color w:val="auto"/>
                <w:szCs w:val="21"/>
                <w:u w:val="none"/>
                <w:lang w:eastAsia="zh-CN"/>
              </w:rPr>
              <w:t>化粪池；格栅渠</w:t>
            </w:r>
            <w:r>
              <w:rPr>
                <w:rFonts w:hint="eastAsia"/>
                <w:color w:val="auto"/>
                <w:szCs w:val="21"/>
                <w:u w:val="none"/>
                <w:lang w:val="en-US" w:eastAsia="zh-CN"/>
              </w:rPr>
              <w:t>+调节池（含储泥池）+</w:t>
            </w:r>
            <w:r>
              <w:rPr>
                <w:rFonts w:hint="eastAsia" w:cs="Times New Roman"/>
                <w:color w:val="auto"/>
                <w:szCs w:val="21"/>
                <w:u w:val="none"/>
                <w:lang w:val="en-US" w:eastAsia="zh-CN"/>
              </w:rPr>
              <w:t>一体化A/O+生化膜设备+紫外线消毒池</w:t>
            </w:r>
          </w:p>
        </w:tc>
        <w:tc>
          <w:tcPr>
            <w:tcW w:w="1819" w:type="dxa"/>
            <w:tcBorders>
              <w:tl2br w:val="nil"/>
              <w:tr2bl w:val="nil"/>
            </w:tcBorders>
            <w:vAlign w:val="center"/>
          </w:tcPr>
          <w:p>
            <w:pPr>
              <w:spacing w:line="300" w:lineRule="exact"/>
              <w:jc w:val="center"/>
              <w:rPr>
                <w:color w:val="auto"/>
                <w:szCs w:val="21"/>
                <w:u w:val="none"/>
              </w:rPr>
            </w:pPr>
            <w:r>
              <w:rPr>
                <w:rFonts w:hint="eastAsia"/>
                <w:color w:val="auto"/>
                <w:szCs w:val="21"/>
                <w:u w:val="none"/>
              </w:rPr>
              <w:t>《城镇污水处理厂污染物排放标准》（</w:t>
            </w:r>
            <w:r>
              <w:rPr>
                <w:color w:val="auto"/>
                <w:szCs w:val="21"/>
                <w:u w:val="none"/>
              </w:rPr>
              <w:t>GB18918-2002</w:t>
            </w:r>
            <w:r>
              <w:rPr>
                <w:rFonts w:hint="eastAsia"/>
                <w:color w:val="auto"/>
                <w:szCs w:val="21"/>
                <w:u w:val="none"/>
              </w:rPr>
              <w:t>）一级</w:t>
            </w:r>
            <w:r>
              <w:rPr>
                <w:rFonts w:hint="eastAsia"/>
                <w:color w:val="auto"/>
                <w:szCs w:val="21"/>
                <w:u w:val="none"/>
                <w:lang w:val="en-US" w:eastAsia="zh-CN"/>
              </w:rPr>
              <w:t>B</w:t>
            </w:r>
            <w:r>
              <w:rPr>
                <w:rFonts w:hint="eastAsia"/>
                <w:color w:val="auto"/>
                <w:szCs w:val="21"/>
                <w:u w:val="none"/>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347" w:type="dxa"/>
            <w:vMerge w:val="restart"/>
            <w:tcBorders>
              <w:tl2br w:val="nil"/>
              <w:tr2bl w:val="nil"/>
            </w:tcBorders>
            <w:vAlign w:val="center"/>
          </w:tcPr>
          <w:p>
            <w:pPr>
              <w:spacing w:line="300" w:lineRule="exact"/>
              <w:jc w:val="center"/>
              <w:rPr>
                <w:color w:val="auto"/>
                <w:szCs w:val="21"/>
                <w:u w:val="none"/>
              </w:rPr>
            </w:pPr>
            <w:r>
              <w:rPr>
                <w:color w:val="auto"/>
                <w:szCs w:val="21"/>
                <w:u w:val="none"/>
              </w:rPr>
              <w:t>空气污染物</w:t>
            </w:r>
          </w:p>
        </w:tc>
        <w:tc>
          <w:tcPr>
            <w:tcW w:w="716" w:type="dxa"/>
            <w:tcBorders>
              <w:tl2br w:val="nil"/>
              <w:tr2bl w:val="nil"/>
            </w:tcBorders>
            <w:vAlign w:val="center"/>
          </w:tcPr>
          <w:p>
            <w:pPr>
              <w:jc w:val="center"/>
              <w:rPr>
                <w:color w:val="auto"/>
                <w:szCs w:val="21"/>
                <w:u w:val="none"/>
              </w:rPr>
            </w:pPr>
            <w:r>
              <w:rPr>
                <w:color w:val="auto"/>
                <w:spacing w:val="4"/>
                <w:szCs w:val="21"/>
                <w:u w:val="none"/>
              </w:rPr>
              <w:t>施工期</w:t>
            </w:r>
          </w:p>
        </w:tc>
        <w:tc>
          <w:tcPr>
            <w:tcW w:w="757" w:type="dxa"/>
            <w:tcBorders>
              <w:tl2br w:val="nil"/>
              <w:tr2bl w:val="nil"/>
            </w:tcBorders>
            <w:vAlign w:val="center"/>
          </w:tcPr>
          <w:p>
            <w:pPr>
              <w:jc w:val="center"/>
              <w:rPr>
                <w:color w:val="auto"/>
                <w:u w:val="none"/>
              </w:rPr>
            </w:pPr>
            <w:r>
              <w:rPr>
                <w:rFonts w:hint="eastAsia"/>
                <w:color w:val="auto"/>
                <w:spacing w:val="4"/>
                <w:szCs w:val="21"/>
                <w:u w:val="none"/>
              </w:rPr>
              <w:t>施工场地</w:t>
            </w:r>
          </w:p>
        </w:tc>
        <w:tc>
          <w:tcPr>
            <w:tcW w:w="1957" w:type="dxa"/>
            <w:tcBorders>
              <w:tl2br w:val="nil"/>
              <w:tr2bl w:val="nil"/>
            </w:tcBorders>
            <w:vAlign w:val="center"/>
          </w:tcPr>
          <w:p>
            <w:pPr>
              <w:rPr>
                <w:color w:val="auto"/>
                <w:u w:val="none"/>
              </w:rPr>
            </w:pPr>
            <w:r>
              <w:rPr>
                <w:color w:val="auto"/>
                <w:u w:val="none"/>
              </w:rPr>
              <w:t>扬尘、汽车尾气、装修废气</w:t>
            </w:r>
          </w:p>
        </w:tc>
        <w:tc>
          <w:tcPr>
            <w:tcW w:w="2727" w:type="dxa"/>
            <w:tcBorders>
              <w:tl2br w:val="nil"/>
              <w:tr2bl w:val="nil"/>
            </w:tcBorders>
            <w:vAlign w:val="center"/>
          </w:tcPr>
          <w:p>
            <w:pPr>
              <w:spacing w:line="300" w:lineRule="exact"/>
              <w:jc w:val="center"/>
              <w:rPr>
                <w:bCs/>
                <w:color w:val="auto"/>
                <w:szCs w:val="21"/>
                <w:u w:val="none"/>
              </w:rPr>
            </w:pPr>
            <w:r>
              <w:rPr>
                <w:rFonts w:hint="eastAsia"/>
                <w:color w:val="auto"/>
                <w:szCs w:val="21"/>
                <w:u w:val="none"/>
              </w:rPr>
              <w:t>洒水抑尘、控制车辆运输等</w:t>
            </w:r>
          </w:p>
        </w:tc>
        <w:tc>
          <w:tcPr>
            <w:tcW w:w="1819" w:type="dxa"/>
            <w:tcBorders>
              <w:tl2br w:val="nil"/>
              <w:tr2bl w:val="nil"/>
            </w:tcBorders>
            <w:vAlign w:val="center"/>
          </w:tcPr>
          <w:p>
            <w:pPr>
              <w:spacing w:line="300" w:lineRule="exact"/>
              <w:jc w:val="center"/>
              <w:rPr>
                <w:color w:val="auto"/>
                <w:szCs w:val="21"/>
                <w:u w:val="none"/>
              </w:rPr>
            </w:pPr>
            <w:r>
              <w:rPr>
                <w:color w:val="auto"/>
                <w:szCs w:val="21"/>
                <w:u w:val="none"/>
              </w:rPr>
              <w:t>达标排放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347" w:type="dxa"/>
            <w:vMerge w:val="continue"/>
            <w:tcBorders>
              <w:tl2br w:val="nil"/>
              <w:tr2bl w:val="nil"/>
            </w:tcBorders>
            <w:vAlign w:val="center"/>
          </w:tcPr>
          <w:p>
            <w:pPr>
              <w:spacing w:line="300" w:lineRule="exact"/>
              <w:jc w:val="center"/>
              <w:rPr>
                <w:color w:val="auto"/>
                <w:szCs w:val="21"/>
                <w:u w:val="none"/>
              </w:rPr>
            </w:pPr>
          </w:p>
        </w:tc>
        <w:tc>
          <w:tcPr>
            <w:tcW w:w="716" w:type="dxa"/>
            <w:tcBorders>
              <w:tl2br w:val="nil"/>
              <w:tr2bl w:val="nil"/>
            </w:tcBorders>
            <w:vAlign w:val="center"/>
          </w:tcPr>
          <w:p>
            <w:pPr>
              <w:jc w:val="center"/>
              <w:rPr>
                <w:color w:val="auto"/>
                <w:szCs w:val="21"/>
                <w:u w:val="none"/>
              </w:rPr>
            </w:pPr>
            <w:r>
              <w:rPr>
                <w:rFonts w:hint="eastAsia"/>
                <w:color w:val="auto"/>
                <w:spacing w:val="4"/>
                <w:szCs w:val="21"/>
                <w:u w:val="none"/>
              </w:rPr>
              <w:t>运营期</w:t>
            </w:r>
          </w:p>
        </w:tc>
        <w:tc>
          <w:tcPr>
            <w:tcW w:w="757" w:type="dxa"/>
            <w:tcBorders>
              <w:tl2br w:val="nil"/>
              <w:tr2bl w:val="nil"/>
            </w:tcBorders>
            <w:vAlign w:val="center"/>
          </w:tcPr>
          <w:p>
            <w:pPr>
              <w:jc w:val="center"/>
              <w:rPr>
                <w:color w:val="auto"/>
                <w:szCs w:val="21"/>
                <w:u w:val="none"/>
              </w:rPr>
            </w:pPr>
            <w:r>
              <w:rPr>
                <w:rFonts w:hint="eastAsia"/>
                <w:color w:val="auto"/>
                <w:spacing w:val="4"/>
                <w:szCs w:val="21"/>
                <w:u w:val="none"/>
              </w:rPr>
              <w:t>厂区</w:t>
            </w:r>
          </w:p>
        </w:tc>
        <w:tc>
          <w:tcPr>
            <w:tcW w:w="1957" w:type="dxa"/>
            <w:tcBorders>
              <w:tl2br w:val="nil"/>
              <w:tr2bl w:val="nil"/>
            </w:tcBorders>
            <w:vAlign w:val="center"/>
          </w:tcPr>
          <w:p>
            <w:pPr>
              <w:spacing w:line="300" w:lineRule="exact"/>
              <w:jc w:val="center"/>
              <w:rPr>
                <w:color w:val="auto"/>
                <w:szCs w:val="21"/>
                <w:u w:val="none"/>
              </w:rPr>
            </w:pPr>
            <w:r>
              <w:rPr>
                <w:rFonts w:hint="eastAsia"/>
                <w:bCs/>
                <w:color w:val="auto"/>
                <w:sz w:val="21"/>
                <w:szCs w:val="21"/>
                <w:u w:val="none"/>
              </w:rPr>
              <w:t>NH</w:t>
            </w:r>
            <w:r>
              <w:rPr>
                <w:rFonts w:hint="eastAsia"/>
                <w:bCs/>
                <w:color w:val="auto"/>
                <w:sz w:val="21"/>
                <w:szCs w:val="21"/>
                <w:u w:val="none"/>
                <w:vertAlign w:val="subscript"/>
              </w:rPr>
              <w:t>3</w:t>
            </w:r>
            <w:r>
              <w:rPr>
                <w:rFonts w:hint="eastAsia"/>
                <w:bCs/>
                <w:color w:val="auto"/>
                <w:sz w:val="21"/>
                <w:szCs w:val="21"/>
                <w:u w:val="none"/>
              </w:rPr>
              <w:t>、H</w:t>
            </w:r>
            <w:r>
              <w:rPr>
                <w:rFonts w:hint="eastAsia"/>
                <w:bCs/>
                <w:color w:val="auto"/>
                <w:sz w:val="21"/>
                <w:szCs w:val="21"/>
                <w:u w:val="none"/>
                <w:vertAlign w:val="subscript"/>
              </w:rPr>
              <w:t>2</w:t>
            </w:r>
            <w:r>
              <w:rPr>
                <w:rFonts w:hint="eastAsia"/>
                <w:bCs/>
                <w:color w:val="auto"/>
                <w:sz w:val="21"/>
                <w:szCs w:val="21"/>
                <w:u w:val="none"/>
              </w:rPr>
              <w:t>S、臭气浓度</w:t>
            </w:r>
          </w:p>
        </w:tc>
        <w:tc>
          <w:tcPr>
            <w:tcW w:w="2727" w:type="dxa"/>
            <w:tcBorders>
              <w:tl2br w:val="nil"/>
              <w:tr2bl w:val="nil"/>
            </w:tcBorders>
            <w:vAlign w:val="center"/>
          </w:tcPr>
          <w:p>
            <w:pPr>
              <w:spacing w:line="300" w:lineRule="exact"/>
              <w:rPr>
                <w:color w:val="auto"/>
                <w:szCs w:val="21"/>
                <w:u w:val="none"/>
              </w:rPr>
            </w:pPr>
            <w:r>
              <w:rPr>
                <w:rFonts w:hint="eastAsia"/>
                <w:color w:val="auto"/>
                <w:szCs w:val="21"/>
                <w:u w:val="none"/>
                <w:lang w:eastAsia="zh-CN"/>
              </w:rPr>
              <w:t>处理池体</w:t>
            </w:r>
            <w:r>
              <w:rPr>
                <w:rFonts w:hint="eastAsia"/>
                <w:color w:val="auto"/>
                <w:szCs w:val="21"/>
                <w:u w:val="none"/>
              </w:rPr>
              <w:t>密闭、合理布局、污水处理</w:t>
            </w:r>
            <w:r>
              <w:rPr>
                <w:rFonts w:hint="eastAsia"/>
                <w:color w:val="auto"/>
                <w:szCs w:val="21"/>
                <w:u w:val="none"/>
                <w:lang w:eastAsia="zh-CN"/>
              </w:rPr>
              <w:t>区</w:t>
            </w:r>
            <w:r>
              <w:rPr>
                <w:rFonts w:hint="eastAsia"/>
                <w:color w:val="auto"/>
                <w:szCs w:val="21"/>
                <w:u w:val="none"/>
              </w:rPr>
              <w:t>外围设置5m宽的绿化</w:t>
            </w:r>
            <w:r>
              <w:rPr>
                <w:rFonts w:hint="eastAsia"/>
                <w:color w:val="auto"/>
                <w:szCs w:val="21"/>
                <w:u w:val="none"/>
                <w:lang w:eastAsia="zh-CN"/>
              </w:rPr>
              <w:t>带</w:t>
            </w:r>
          </w:p>
        </w:tc>
        <w:tc>
          <w:tcPr>
            <w:tcW w:w="1819" w:type="dxa"/>
            <w:tcBorders>
              <w:tl2br w:val="nil"/>
              <w:tr2bl w:val="nil"/>
            </w:tcBorders>
            <w:vAlign w:val="center"/>
          </w:tcPr>
          <w:p>
            <w:pPr>
              <w:spacing w:line="300" w:lineRule="exact"/>
              <w:jc w:val="center"/>
              <w:rPr>
                <w:color w:val="auto"/>
                <w:szCs w:val="21"/>
                <w:u w:val="none"/>
              </w:rPr>
            </w:pPr>
            <w:r>
              <w:rPr>
                <w:color w:val="auto"/>
                <w:szCs w:val="21"/>
                <w:u w:val="none"/>
              </w:rPr>
              <w:t>《城镇污水处理厂污染物排放标准》（GB18918-2002）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1347" w:type="dxa"/>
            <w:vMerge w:val="restart"/>
            <w:tcBorders>
              <w:tl2br w:val="nil"/>
              <w:tr2bl w:val="nil"/>
            </w:tcBorders>
            <w:vAlign w:val="center"/>
          </w:tcPr>
          <w:p>
            <w:pPr>
              <w:spacing w:line="300" w:lineRule="exact"/>
              <w:jc w:val="center"/>
              <w:rPr>
                <w:color w:val="auto"/>
                <w:szCs w:val="21"/>
                <w:u w:val="none"/>
              </w:rPr>
            </w:pPr>
            <w:r>
              <w:rPr>
                <w:color w:val="auto"/>
                <w:szCs w:val="21"/>
                <w:u w:val="none"/>
              </w:rPr>
              <w:t>固体废物</w:t>
            </w:r>
          </w:p>
        </w:tc>
        <w:tc>
          <w:tcPr>
            <w:tcW w:w="716" w:type="dxa"/>
            <w:vMerge w:val="restart"/>
            <w:tcBorders>
              <w:tl2br w:val="nil"/>
              <w:tr2bl w:val="nil"/>
            </w:tcBorders>
            <w:vAlign w:val="center"/>
          </w:tcPr>
          <w:p>
            <w:pPr>
              <w:spacing w:line="360" w:lineRule="auto"/>
              <w:jc w:val="center"/>
              <w:rPr>
                <w:color w:val="auto"/>
                <w:szCs w:val="21"/>
                <w:u w:val="none"/>
              </w:rPr>
            </w:pPr>
            <w:r>
              <w:rPr>
                <w:color w:val="auto"/>
                <w:spacing w:val="4"/>
                <w:szCs w:val="21"/>
                <w:u w:val="none"/>
              </w:rPr>
              <w:t>施工期</w:t>
            </w:r>
          </w:p>
        </w:tc>
        <w:tc>
          <w:tcPr>
            <w:tcW w:w="757" w:type="dxa"/>
            <w:vMerge w:val="restart"/>
            <w:tcBorders>
              <w:tl2br w:val="nil"/>
              <w:tr2bl w:val="nil"/>
            </w:tcBorders>
            <w:vAlign w:val="center"/>
          </w:tcPr>
          <w:p>
            <w:pPr>
              <w:jc w:val="center"/>
              <w:rPr>
                <w:color w:val="auto"/>
                <w:szCs w:val="21"/>
                <w:u w:val="none"/>
              </w:rPr>
            </w:pPr>
            <w:r>
              <w:rPr>
                <w:rFonts w:hint="eastAsia"/>
                <w:color w:val="auto"/>
                <w:spacing w:val="4"/>
                <w:szCs w:val="21"/>
                <w:u w:val="none"/>
              </w:rPr>
              <w:t>施工场地</w:t>
            </w:r>
          </w:p>
        </w:tc>
        <w:tc>
          <w:tcPr>
            <w:tcW w:w="1957" w:type="dxa"/>
            <w:tcBorders>
              <w:tl2br w:val="nil"/>
              <w:tr2bl w:val="nil"/>
            </w:tcBorders>
            <w:vAlign w:val="center"/>
          </w:tcPr>
          <w:p>
            <w:pPr>
              <w:jc w:val="center"/>
              <w:rPr>
                <w:color w:val="auto"/>
                <w:szCs w:val="21"/>
                <w:u w:val="none"/>
              </w:rPr>
            </w:pPr>
            <w:r>
              <w:rPr>
                <w:color w:val="auto"/>
                <w:spacing w:val="4"/>
                <w:szCs w:val="21"/>
                <w:u w:val="none"/>
              </w:rPr>
              <w:t>建筑垃圾</w:t>
            </w:r>
          </w:p>
        </w:tc>
        <w:tc>
          <w:tcPr>
            <w:tcW w:w="2727" w:type="dxa"/>
            <w:vMerge w:val="restart"/>
            <w:tcBorders>
              <w:tl2br w:val="nil"/>
              <w:tr2bl w:val="nil"/>
            </w:tcBorders>
            <w:vAlign w:val="center"/>
          </w:tcPr>
          <w:p>
            <w:pPr>
              <w:jc w:val="center"/>
              <w:rPr>
                <w:color w:val="auto"/>
                <w:szCs w:val="21"/>
                <w:u w:val="none"/>
              </w:rPr>
            </w:pPr>
            <w:r>
              <w:rPr>
                <w:color w:val="auto"/>
                <w:szCs w:val="21"/>
                <w:u w:val="none"/>
              </w:rPr>
              <w:t>送当地政府</w:t>
            </w:r>
            <w:r>
              <w:rPr>
                <w:rFonts w:hint="eastAsia"/>
                <w:color w:val="auto"/>
                <w:szCs w:val="21"/>
                <w:u w:val="none"/>
              </w:rPr>
              <w:t>指</w:t>
            </w:r>
            <w:r>
              <w:rPr>
                <w:color w:val="auto"/>
                <w:szCs w:val="21"/>
                <w:u w:val="none"/>
              </w:rPr>
              <w:t>定建筑垃圾</w:t>
            </w:r>
            <w:r>
              <w:rPr>
                <w:rFonts w:hint="eastAsia"/>
                <w:color w:val="auto"/>
                <w:szCs w:val="21"/>
                <w:u w:val="none"/>
              </w:rPr>
              <w:t>处理场所</w:t>
            </w:r>
            <w:r>
              <w:rPr>
                <w:color w:val="auto"/>
                <w:szCs w:val="21"/>
                <w:u w:val="none"/>
              </w:rPr>
              <w:t>处置</w:t>
            </w:r>
          </w:p>
        </w:tc>
        <w:tc>
          <w:tcPr>
            <w:tcW w:w="1819" w:type="dxa"/>
            <w:vMerge w:val="restart"/>
            <w:tcBorders>
              <w:tl2br w:val="nil"/>
              <w:tr2bl w:val="nil"/>
            </w:tcBorders>
            <w:vAlign w:val="center"/>
          </w:tcPr>
          <w:p>
            <w:pPr>
              <w:spacing w:line="300" w:lineRule="exact"/>
              <w:jc w:val="center"/>
              <w:rPr>
                <w:color w:val="auto"/>
                <w:szCs w:val="21"/>
                <w:u w:val="none"/>
              </w:rPr>
            </w:pPr>
            <w:r>
              <w:rPr>
                <w:rFonts w:hint="eastAsia"/>
                <w:color w:val="auto"/>
                <w:szCs w:val="21"/>
                <w:u w:val="none"/>
              </w:rPr>
              <w:t>合理处置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 w:hRule="atLeast"/>
          <w:jc w:val="center"/>
        </w:trPr>
        <w:tc>
          <w:tcPr>
            <w:tcW w:w="1347" w:type="dxa"/>
            <w:vMerge w:val="continue"/>
            <w:tcBorders>
              <w:tl2br w:val="nil"/>
              <w:tr2bl w:val="nil"/>
            </w:tcBorders>
            <w:vAlign w:val="center"/>
          </w:tcPr>
          <w:p>
            <w:pPr>
              <w:spacing w:line="300" w:lineRule="exact"/>
              <w:jc w:val="center"/>
              <w:rPr>
                <w:color w:val="auto"/>
                <w:szCs w:val="21"/>
                <w:u w:val="none"/>
              </w:rPr>
            </w:pPr>
          </w:p>
        </w:tc>
        <w:tc>
          <w:tcPr>
            <w:tcW w:w="716" w:type="dxa"/>
            <w:vMerge w:val="continue"/>
            <w:tcBorders>
              <w:tl2br w:val="nil"/>
              <w:tr2bl w:val="nil"/>
            </w:tcBorders>
            <w:vAlign w:val="center"/>
          </w:tcPr>
          <w:p>
            <w:pPr>
              <w:spacing w:line="360" w:lineRule="auto"/>
              <w:jc w:val="center"/>
              <w:rPr>
                <w:color w:val="auto"/>
                <w:szCs w:val="21"/>
                <w:u w:val="none"/>
              </w:rPr>
            </w:pPr>
          </w:p>
        </w:tc>
        <w:tc>
          <w:tcPr>
            <w:tcW w:w="757" w:type="dxa"/>
            <w:vMerge w:val="continue"/>
            <w:tcBorders>
              <w:tl2br w:val="nil"/>
              <w:tr2bl w:val="nil"/>
            </w:tcBorders>
            <w:vAlign w:val="center"/>
          </w:tcPr>
          <w:p>
            <w:pPr>
              <w:jc w:val="center"/>
              <w:rPr>
                <w:color w:val="auto"/>
                <w:szCs w:val="21"/>
                <w:u w:val="none"/>
              </w:rPr>
            </w:pPr>
          </w:p>
        </w:tc>
        <w:tc>
          <w:tcPr>
            <w:tcW w:w="1957" w:type="dxa"/>
            <w:tcBorders>
              <w:tl2br w:val="nil"/>
              <w:tr2bl w:val="nil"/>
            </w:tcBorders>
            <w:vAlign w:val="center"/>
          </w:tcPr>
          <w:p>
            <w:pPr>
              <w:jc w:val="center"/>
              <w:rPr>
                <w:color w:val="auto"/>
                <w:szCs w:val="21"/>
                <w:u w:val="none"/>
              </w:rPr>
            </w:pPr>
            <w:r>
              <w:rPr>
                <w:color w:val="auto"/>
                <w:spacing w:val="4"/>
                <w:szCs w:val="21"/>
                <w:u w:val="none"/>
              </w:rPr>
              <w:t>废弃包装材料</w:t>
            </w:r>
          </w:p>
        </w:tc>
        <w:tc>
          <w:tcPr>
            <w:tcW w:w="2727" w:type="dxa"/>
            <w:vMerge w:val="continue"/>
            <w:tcBorders>
              <w:tl2br w:val="nil"/>
              <w:tr2bl w:val="nil"/>
            </w:tcBorders>
            <w:vAlign w:val="center"/>
          </w:tcPr>
          <w:p>
            <w:pPr>
              <w:spacing w:line="300" w:lineRule="exact"/>
              <w:jc w:val="center"/>
              <w:rPr>
                <w:color w:val="auto"/>
                <w:szCs w:val="21"/>
                <w:u w:val="none"/>
              </w:rPr>
            </w:pPr>
          </w:p>
        </w:tc>
        <w:tc>
          <w:tcPr>
            <w:tcW w:w="1819" w:type="dxa"/>
            <w:vMerge w:val="continue"/>
            <w:tcBorders>
              <w:tl2br w:val="nil"/>
              <w:tr2bl w:val="nil"/>
            </w:tcBorders>
            <w:vAlign w:val="center"/>
          </w:tcPr>
          <w:p>
            <w:pPr>
              <w:spacing w:line="300" w:lineRule="exact"/>
              <w:jc w:val="center"/>
              <w:rPr>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1347" w:type="dxa"/>
            <w:vMerge w:val="continue"/>
            <w:tcBorders>
              <w:tl2br w:val="nil"/>
              <w:tr2bl w:val="nil"/>
            </w:tcBorders>
            <w:vAlign w:val="center"/>
          </w:tcPr>
          <w:p>
            <w:pPr>
              <w:spacing w:line="300" w:lineRule="exact"/>
              <w:jc w:val="center"/>
              <w:rPr>
                <w:color w:val="auto"/>
                <w:szCs w:val="21"/>
                <w:u w:val="none"/>
              </w:rPr>
            </w:pPr>
          </w:p>
        </w:tc>
        <w:tc>
          <w:tcPr>
            <w:tcW w:w="716" w:type="dxa"/>
            <w:vMerge w:val="continue"/>
            <w:tcBorders>
              <w:tl2br w:val="nil"/>
              <w:tr2bl w:val="nil"/>
            </w:tcBorders>
            <w:vAlign w:val="center"/>
          </w:tcPr>
          <w:p>
            <w:pPr>
              <w:spacing w:line="360" w:lineRule="auto"/>
              <w:jc w:val="center"/>
              <w:rPr>
                <w:color w:val="auto"/>
                <w:szCs w:val="21"/>
                <w:u w:val="none"/>
              </w:rPr>
            </w:pPr>
          </w:p>
        </w:tc>
        <w:tc>
          <w:tcPr>
            <w:tcW w:w="757" w:type="dxa"/>
            <w:vMerge w:val="continue"/>
            <w:tcBorders>
              <w:tl2br w:val="nil"/>
              <w:tr2bl w:val="nil"/>
            </w:tcBorders>
            <w:vAlign w:val="center"/>
          </w:tcPr>
          <w:p>
            <w:pPr>
              <w:jc w:val="center"/>
              <w:rPr>
                <w:color w:val="auto"/>
                <w:szCs w:val="21"/>
                <w:u w:val="none"/>
              </w:rPr>
            </w:pPr>
          </w:p>
        </w:tc>
        <w:tc>
          <w:tcPr>
            <w:tcW w:w="1957" w:type="dxa"/>
            <w:tcBorders>
              <w:tl2br w:val="nil"/>
              <w:tr2bl w:val="nil"/>
            </w:tcBorders>
            <w:vAlign w:val="center"/>
          </w:tcPr>
          <w:p>
            <w:pPr>
              <w:jc w:val="center"/>
              <w:rPr>
                <w:color w:val="auto"/>
                <w:szCs w:val="21"/>
                <w:u w:val="none"/>
              </w:rPr>
            </w:pPr>
            <w:r>
              <w:rPr>
                <w:rFonts w:hint="eastAsia"/>
                <w:color w:val="auto"/>
                <w:spacing w:val="4"/>
                <w:szCs w:val="21"/>
                <w:u w:val="none"/>
              </w:rPr>
              <w:t>废弃土方</w:t>
            </w:r>
          </w:p>
        </w:tc>
        <w:tc>
          <w:tcPr>
            <w:tcW w:w="2727" w:type="dxa"/>
            <w:tcBorders>
              <w:tl2br w:val="nil"/>
              <w:tr2bl w:val="nil"/>
            </w:tcBorders>
            <w:vAlign w:val="center"/>
          </w:tcPr>
          <w:p>
            <w:pPr>
              <w:jc w:val="center"/>
              <w:rPr>
                <w:color w:val="auto"/>
                <w:szCs w:val="21"/>
                <w:u w:val="none"/>
              </w:rPr>
            </w:pPr>
            <w:r>
              <w:rPr>
                <w:rFonts w:hint="eastAsia"/>
                <w:color w:val="auto"/>
                <w:szCs w:val="21"/>
                <w:u w:val="none"/>
              </w:rPr>
              <w:t>厂内回填及修建道路</w:t>
            </w:r>
          </w:p>
        </w:tc>
        <w:tc>
          <w:tcPr>
            <w:tcW w:w="1819" w:type="dxa"/>
            <w:vMerge w:val="continue"/>
            <w:tcBorders>
              <w:tl2br w:val="nil"/>
              <w:tr2bl w:val="nil"/>
            </w:tcBorders>
            <w:vAlign w:val="center"/>
          </w:tcPr>
          <w:p>
            <w:pPr>
              <w:spacing w:line="300" w:lineRule="exact"/>
              <w:jc w:val="center"/>
              <w:rPr>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1347" w:type="dxa"/>
            <w:vMerge w:val="continue"/>
            <w:tcBorders>
              <w:tl2br w:val="nil"/>
              <w:tr2bl w:val="nil"/>
            </w:tcBorders>
            <w:vAlign w:val="center"/>
          </w:tcPr>
          <w:p>
            <w:pPr>
              <w:spacing w:line="300" w:lineRule="exact"/>
              <w:jc w:val="center"/>
              <w:rPr>
                <w:color w:val="auto"/>
                <w:szCs w:val="21"/>
                <w:u w:val="none"/>
              </w:rPr>
            </w:pPr>
          </w:p>
        </w:tc>
        <w:tc>
          <w:tcPr>
            <w:tcW w:w="716" w:type="dxa"/>
            <w:vMerge w:val="continue"/>
            <w:tcBorders>
              <w:tl2br w:val="nil"/>
              <w:tr2bl w:val="nil"/>
            </w:tcBorders>
            <w:vAlign w:val="center"/>
          </w:tcPr>
          <w:p>
            <w:pPr>
              <w:spacing w:line="360" w:lineRule="auto"/>
              <w:jc w:val="center"/>
              <w:rPr>
                <w:color w:val="auto"/>
                <w:szCs w:val="21"/>
                <w:u w:val="none"/>
              </w:rPr>
            </w:pPr>
          </w:p>
        </w:tc>
        <w:tc>
          <w:tcPr>
            <w:tcW w:w="757" w:type="dxa"/>
            <w:vMerge w:val="continue"/>
            <w:tcBorders>
              <w:tl2br w:val="nil"/>
              <w:tr2bl w:val="nil"/>
            </w:tcBorders>
            <w:vAlign w:val="center"/>
          </w:tcPr>
          <w:p>
            <w:pPr>
              <w:jc w:val="center"/>
              <w:rPr>
                <w:color w:val="auto"/>
                <w:szCs w:val="21"/>
                <w:u w:val="none"/>
              </w:rPr>
            </w:pPr>
          </w:p>
        </w:tc>
        <w:tc>
          <w:tcPr>
            <w:tcW w:w="1957" w:type="dxa"/>
            <w:tcBorders>
              <w:tl2br w:val="nil"/>
              <w:tr2bl w:val="nil"/>
            </w:tcBorders>
            <w:vAlign w:val="center"/>
          </w:tcPr>
          <w:p>
            <w:pPr>
              <w:jc w:val="center"/>
              <w:rPr>
                <w:color w:val="auto"/>
                <w:szCs w:val="21"/>
                <w:u w:val="none"/>
              </w:rPr>
            </w:pPr>
            <w:r>
              <w:rPr>
                <w:color w:val="auto"/>
                <w:spacing w:val="4"/>
                <w:szCs w:val="21"/>
                <w:u w:val="none"/>
              </w:rPr>
              <w:t>生活垃圾</w:t>
            </w:r>
          </w:p>
        </w:tc>
        <w:tc>
          <w:tcPr>
            <w:tcW w:w="2727" w:type="dxa"/>
            <w:tcBorders>
              <w:tl2br w:val="nil"/>
              <w:tr2bl w:val="nil"/>
            </w:tcBorders>
            <w:vAlign w:val="center"/>
          </w:tcPr>
          <w:p>
            <w:pPr>
              <w:jc w:val="center"/>
              <w:rPr>
                <w:color w:val="auto"/>
                <w:szCs w:val="21"/>
                <w:u w:val="none"/>
              </w:rPr>
            </w:pPr>
            <w:r>
              <w:rPr>
                <w:color w:val="auto"/>
                <w:szCs w:val="21"/>
                <w:u w:val="none"/>
              </w:rPr>
              <w:t>由环卫部门统一处置</w:t>
            </w:r>
          </w:p>
        </w:tc>
        <w:tc>
          <w:tcPr>
            <w:tcW w:w="1819" w:type="dxa"/>
            <w:vMerge w:val="continue"/>
            <w:tcBorders>
              <w:tl2br w:val="nil"/>
              <w:tr2bl w:val="nil"/>
            </w:tcBorders>
            <w:vAlign w:val="center"/>
          </w:tcPr>
          <w:p>
            <w:pPr>
              <w:spacing w:line="300" w:lineRule="exact"/>
              <w:jc w:val="center"/>
              <w:rPr>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347" w:type="dxa"/>
            <w:vMerge w:val="continue"/>
            <w:tcBorders>
              <w:tl2br w:val="nil"/>
              <w:tr2bl w:val="nil"/>
            </w:tcBorders>
            <w:vAlign w:val="center"/>
          </w:tcPr>
          <w:p>
            <w:pPr>
              <w:spacing w:line="300" w:lineRule="exact"/>
              <w:jc w:val="center"/>
              <w:rPr>
                <w:color w:val="auto"/>
                <w:szCs w:val="21"/>
                <w:u w:val="none"/>
              </w:rPr>
            </w:pPr>
          </w:p>
        </w:tc>
        <w:tc>
          <w:tcPr>
            <w:tcW w:w="716" w:type="dxa"/>
            <w:vMerge w:val="restart"/>
            <w:tcBorders>
              <w:tl2br w:val="nil"/>
              <w:tr2bl w:val="nil"/>
            </w:tcBorders>
            <w:vAlign w:val="center"/>
          </w:tcPr>
          <w:p>
            <w:pPr>
              <w:spacing w:line="360" w:lineRule="auto"/>
              <w:jc w:val="center"/>
              <w:rPr>
                <w:color w:val="auto"/>
                <w:szCs w:val="21"/>
                <w:u w:val="none"/>
              </w:rPr>
            </w:pPr>
            <w:r>
              <w:rPr>
                <w:rFonts w:hint="eastAsia"/>
                <w:color w:val="auto"/>
                <w:spacing w:val="4"/>
                <w:szCs w:val="21"/>
                <w:u w:val="none"/>
              </w:rPr>
              <w:t>运营期</w:t>
            </w:r>
          </w:p>
        </w:tc>
        <w:tc>
          <w:tcPr>
            <w:tcW w:w="757" w:type="dxa"/>
            <w:tcBorders>
              <w:tl2br w:val="nil"/>
              <w:tr2bl w:val="nil"/>
            </w:tcBorders>
            <w:vAlign w:val="center"/>
          </w:tcPr>
          <w:p>
            <w:pPr>
              <w:jc w:val="center"/>
              <w:rPr>
                <w:color w:val="auto"/>
                <w:szCs w:val="21"/>
                <w:u w:val="none"/>
              </w:rPr>
            </w:pPr>
            <w:r>
              <w:rPr>
                <w:rFonts w:hint="eastAsia"/>
                <w:color w:val="auto"/>
                <w:spacing w:val="4"/>
                <w:szCs w:val="21"/>
                <w:u w:val="none"/>
              </w:rPr>
              <w:t>格栅井</w:t>
            </w:r>
          </w:p>
        </w:tc>
        <w:tc>
          <w:tcPr>
            <w:tcW w:w="1957" w:type="dxa"/>
            <w:tcBorders>
              <w:tl2br w:val="nil"/>
              <w:tr2bl w:val="nil"/>
            </w:tcBorders>
            <w:vAlign w:val="center"/>
          </w:tcPr>
          <w:p>
            <w:pPr>
              <w:pStyle w:val="39"/>
              <w:rPr>
                <w:color w:val="auto"/>
                <w:u w:val="none"/>
              </w:rPr>
            </w:pPr>
            <w:r>
              <w:rPr>
                <w:rFonts w:hint="eastAsia" w:ascii="Times New Roman" w:hAnsi="Times New Roman" w:eastAsia="宋体"/>
                <w:bCs/>
                <w:color w:val="auto"/>
                <w:u w:val="none"/>
              </w:rPr>
              <w:t>栅渣</w:t>
            </w:r>
          </w:p>
        </w:tc>
        <w:tc>
          <w:tcPr>
            <w:tcW w:w="2727" w:type="dxa"/>
            <w:tcBorders>
              <w:tl2br w:val="nil"/>
              <w:tr2bl w:val="nil"/>
            </w:tcBorders>
            <w:vAlign w:val="center"/>
          </w:tcPr>
          <w:p>
            <w:pPr>
              <w:pStyle w:val="39"/>
              <w:rPr>
                <w:color w:val="auto"/>
                <w:u w:val="none"/>
              </w:rPr>
            </w:pPr>
            <w:r>
              <w:rPr>
                <w:rFonts w:hint="eastAsia" w:ascii="Times New Roman" w:hAnsi="Times New Roman" w:eastAsia="宋体"/>
                <w:bCs/>
                <w:color w:val="auto"/>
                <w:u w:val="none"/>
              </w:rPr>
              <w:t>交由环卫部门处理</w:t>
            </w:r>
          </w:p>
        </w:tc>
        <w:tc>
          <w:tcPr>
            <w:tcW w:w="1819" w:type="dxa"/>
            <w:vMerge w:val="restart"/>
            <w:tcBorders>
              <w:tl2br w:val="nil"/>
              <w:tr2bl w:val="nil"/>
            </w:tcBorders>
            <w:vAlign w:val="center"/>
          </w:tcPr>
          <w:p>
            <w:pPr>
              <w:spacing w:line="300" w:lineRule="exact"/>
              <w:jc w:val="center"/>
              <w:rPr>
                <w:color w:val="auto"/>
                <w:szCs w:val="21"/>
                <w:u w:val="none"/>
              </w:rPr>
            </w:pPr>
            <w:r>
              <w:rPr>
                <w:rFonts w:hint="eastAsia"/>
                <w:color w:val="auto"/>
                <w:szCs w:val="21"/>
                <w:u w:val="none"/>
              </w:rPr>
              <w:t>合理处置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347" w:type="dxa"/>
            <w:vMerge w:val="continue"/>
            <w:tcBorders>
              <w:tl2br w:val="nil"/>
              <w:tr2bl w:val="nil"/>
            </w:tcBorders>
            <w:vAlign w:val="center"/>
          </w:tcPr>
          <w:p>
            <w:pPr>
              <w:spacing w:line="300" w:lineRule="exact"/>
              <w:jc w:val="center"/>
              <w:rPr>
                <w:color w:val="auto"/>
                <w:szCs w:val="21"/>
                <w:u w:val="none"/>
              </w:rPr>
            </w:pPr>
          </w:p>
        </w:tc>
        <w:tc>
          <w:tcPr>
            <w:tcW w:w="716" w:type="dxa"/>
            <w:vMerge w:val="continue"/>
            <w:tcBorders>
              <w:tl2br w:val="nil"/>
              <w:tr2bl w:val="nil"/>
            </w:tcBorders>
            <w:vAlign w:val="center"/>
          </w:tcPr>
          <w:p>
            <w:pPr>
              <w:spacing w:line="360" w:lineRule="auto"/>
              <w:jc w:val="center"/>
              <w:rPr>
                <w:rFonts w:hint="eastAsia"/>
                <w:color w:val="auto"/>
                <w:spacing w:val="4"/>
                <w:szCs w:val="21"/>
                <w:u w:val="none"/>
              </w:rPr>
            </w:pPr>
          </w:p>
        </w:tc>
        <w:tc>
          <w:tcPr>
            <w:tcW w:w="757" w:type="dxa"/>
            <w:tcBorders>
              <w:tl2br w:val="nil"/>
              <w:tr2bl w:val="nil"/>
            </w:tcBorders>
            <w:vAlign w:val="center"/>
          </w:tcPr>
          <w:p>
            <w:pPr>
              <w:jc w:val="center"/>
              <w:rPr>
                <w:rFonts w:hint="eastAsia" w:eastAsia="宋体"/>
                <w:color w:val="auto"/>
                <w:spacing w:val="4"/>
                <w:szCs w:val="21"/>
                <w:u w:val="none"/>
                <w:lang w:eastAsia="zh-CN"/>
              </w:rPr>
            </w:pPr>
            <w:r>
              <w:rPr>
                <w:rFonts w:hint="eastAsia"/>
                <w:color w:val="auto"/>
                <w:spacing w:val="4"/>
                <w:szCs w:val="21"/>
                <w:u w:val="none"/>
                <w:lang w:eastAsia="zh-CN"/>
              </w:rPr>
              <w:t>消毒系统</w:t>
            </w:r>
          </w:p>
        </w:tc>
        <w:tc>
          <w:tcPr>
            <w:tcW w:w="1957" w:type="dxa"/>
            <w:tcBorders>
              <w:tl2br w:val="nil"/>
              <w:tr2bl w:val="nil"/>
            </w:tcBorders>
            <w:vAlign w:val="center"/>
          </w:tcPr>
          <w:p>
            <w:pPr>
              <w:pStyle w:val="39"/>
              <w:rPr>
                <w:rFonts w:hint="eastAsia" w:ascii="Times New Roman" w:hAnsi="Times New Roman" w:eastAsia="宋体"/>
                <w:bCs/>
                <w:color w:val="auto"/>
                <w:u w:val="none"/>
                <w:lang w:eastAsia="zh-CN"/>
              </w:rPr>
            </w:pPr>
            <w:r>
              <w:rPr>
                <w:rFonts w:hint="eastAsia" w:ascii="Times New Roman" w:hAnsi="Times New Roman" w:eastAsia="宋体"/>
                <w:bCs/>
                <w:color w:val="auto"/>
                <w:u w:val="none"/>
                <w:lang w:val="en-US" w:eastAsia="zh-CN"/>
              </w:rPr>
              <w:t>废紫外灯管</w:t>
            </w:r>
          </w:p>
        </w:tc>
        <w:tc>
          <w:tcPr>
            <w:tcW w:w="2727" w:type="dxa"/>
            <w:tcBorders>
              <w:tl2br w:val="nil"/>
              <w:tr2bl w:val="nil"/>
            </w:tcBorders>
            <w:vAlign w:val="center"/>
          </w:tcPr>
          <w:p>
            <w:pPr>
              <w:pStyle w:val="39"/>
              <w:rPr>
                <w:rFonts w:hint="eastAsia" w:ascii="Times New Roman" w:hAnsi="Times New Roman" w:eastAsia="宋体"/>
                <w:bCs/>
                <w:color w:val="auto"/>
                <w:u w:val="none"/>
              </w:rPr>
            </w:pPr>
            <w:r>
              <w:rPr>
                <w:rFonts w:hint="eastAsia" w:ascii="Times New Roman" w:hAnsi="Times New Roman" w:eastAsia="宋体"/>
                <w:bCs/>
                <w:color w:val="auto"/>
                <w:u w:val="none"/>
              </w:rPr>
              <w:t>收集于危废暂存间后交由有资质单位处理</w:t>
            </w:r>
          </w:p>
        </w:tc>
        <w:tc>
          <w:tcPr>
            <w:tcW w:w="1819" w:type="dxa"/>
            <w:vMerge w:val="continue"/>
            <w:tcBorders>
              <w:tl2br w:val="nil"/>
              <w:tr2bl w:val="nil"/>
            </w:tcBorders>
            <w:vAlign w:val="center"/>
          </w:tcPr>
          <w:p>
            <w:pPr>
              <w:spacing w:line="300" w:lineRule="exact"/>
              <w:jc w:val="center"/>
              <w:rPr>
                <w:rFonts w:hint="eastAsia"/>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47" w:type="dxa"/>
            <w:vMerge w:val="continue"/>
            <w:tcBorders>
              <w:tl2br w:val="nil"/>
              <w:tr2bl w:val="nil"/>
            </w:tcBorders>
            <w:vAlign w:val="center"/>
          </w:tcPr>
          <w:p>
            <w:pPr>
              <w:spacing w:line="300" w:lineRule="exact"/>
              <w:jc w:val="center"/>
              <w:rPr>
                <w:color w:val="auto"/>
                <w:szCs w:val="21"/>
                <w:u w:val="none"/>
              </w:rPr>
            </w:pPr>
          </w:p>
        </w:tc>
        <w:tc>
          <w:tcPr>
            <w:tcW w:w="716" w:type="dxa"/>
            <w:vMerge w:val="continue"/>
            <w:tcBorders>
              <w:tl2br w:val="nil"/>
              <w:tr2bl w:val="nil"/>
            </w:tcBorders>
            <w:vAlign w:val="center"/>
          </w:tcPr>
          <w:p>
            <w:pPr>
              <w:spacing w:line="360" w:lineRule="auto"/>
              <w:jc w:val="center"/>
              <w:rPr>
                <w:color w:val="auto"/>
                <w:szCs w:val="21"/>
                <w:u w:val="none"/>
              </w:rPr>
            </w:pPr>
          </w:p>
        </w:tc>
        <w:tc>
          <w:tcPr>
            <w:tcW w:w="757" w:type="dxa"/>
            <w:tcBorders>
              <w:tl2br w:val="nil"/>
              <w:tr2bl w:val="nil"/>
            </w:tcBorders>
            <w:vAlign w:val="center"/>
          </w:tcPr>
          <w:p>
            <w:pPr>
              <w:jc w:val="center"/>
              <w:rPr>
                <w:rFonts w:hint="eastAsia" w:eastAsia="宋体"/>
                <w:color w:val="auto"/>
                <w:szCs w:val="21"/>
                <w:u w:val="none"/>
                <w:lang w:eastAsia="zh-CN"/>
              </w:rPr>
            </w:pPr>
            <w:r>
              <w:rPr>
                <w:rFonts w:hint="eastAsia"/>
                <w:color w:val="auto"/>
                <w:spacing w:val="4"/>
                <w:szCs w:val="21"/>
                <w:u w:val="none"/>
                <w:lang w:eastAsia="zh-CN"/>
              </w:rPr>
              <w:t>调节池</w:t>
            </w:r>
          </w:p>
        </w:tc>
        <w:tc>
          <w:tcPr>
            <w:tcW w:w="1957" w:type="dxa"/>
            <w:tcBorders>
              <w:tl2br w:val="nil"/>
              <w:tr2bl w:val="nil"/>
            </w:tcBorders>
            <w:vAlign w:val="center"/>
          </w:tcPr>
          <w:p>
            <w:pPr>
              <w:pStyle w:val="39"/>
              <w:rPr>
                <w:color w:val="auto"/>
                <w:u w:val="none"/>
              </w:rPr>
            </w:pPr>
            <w:r>
              <w:rPr>
                <w:rFonts w:hint="eastAsia" w:ascii="Times New Roman" w:hAnsi="Times New Roman" w:eastAsia="宋体"/>
                <w:bCs/>
                <w:color w:val="auto"/>
                <w:u w:val="none"/>
              </w:rPr>
              <w:t>污泥</w:t>
            </w:r>
          </w:p>
        </w:tc>
        <w:tc>
          <w:tcPr>
            <w:tcW w:w="2727" w:type="dxa"/>
            <w:tcBorders>
              <w:tl2br w:val="nil"/>
              <w:tr2bl w:val="nil"/>
            </w:tcBorders>
            <w:vAlign w:val="center"/>
          </w:tcPr>
          <w:p>
            <w:pPr>
              <w:widowControl/>
              <w:jc w:val="left"/>
              <w:rPr>
                <w:rFonts w:hint="default"/>
                <w:color w:val="auto"/>
                <w:szCs w:val="21"/>
                <w:u w:val="none"/>
                <w:lang w:val="en-US"/>
              </w:rPr>
            </w:pPr>
            <w:r>
              <w:rPr>
                <w:rFonts w:hint="eastAsia"/>
                <w:color w:val="auto"/>
                <w:szCs w:val="21"/>
                <w:u w:val="none"/>
                <w:lang w:eastAsia="zh-CN"/>
              </w:rPr>
              <w:t>压榨后含水率低于</w:t>
            </w:r>
            <w:r>
              <w:rPr>
                <w:rFonts w:hint="eastAsia"/>
                <w:color w:val="auto"/>
                <w:szCs w:val="21"/>
                <w:u w:val="none"/>
                <w:lang w:val="en-US" w:eastAsia="zh-CN"/>
              </w:rPr>
              <w:t>70%，送邵阳市污泥处置中心处理</w:t>
            </w:r>
          </w:p>
        </w:tc>
        <w:tc>
          <w:tcPr>
            <w:tcW w:w="1819" w:type="dxa"/>
            <w:vMerge w:val="continue"/>
            <w:tcBorders>
              <w:tl2br w:val="nil"/>
              <w:tr2bl w:val="nil"/>
            </w:tcBorders>
            <w:vAlign w:val="center"/>
          </w:tcPr>
          <w:p>
            <w:pPr>
              <w:spacing w:line="300" w:lineRule="exact"/>
              <w:jc w:val="center"/>
              <w:rPr>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347" w:type="dxa"/>
            <w:vMerge w:val="continue"/>
            <w:tcBorders>
              <w:tl2br w:val="nil"/>
              <w:tr2bl w:val="nil"/>
            </w:tcBorders>
            <w:vAlign w:val="center"/>
          </w:tcPr>
          <w:p>
            <w:pPr>
              <w:spacing w:line="300" w:lineRule="exact"/>
              <w:jc w:val="center"/>
              <w:rPr>
                <w:color w:val="auto"/>
                <w:szCs w:val="21"/>
                <w:u w:val="none"/>
              </w:rPr>
            </w:pPr>
          </w:p>
        </w:tc>
        <w:tc>
          <w:tcPr>
            <w:tcW w:w="716" w:type="dxa"/>
            <w:vMerge w:val="continue"/>
            <w:tcBorders>
              <w:tl2br w:val="nil"/>
              <w:tr2bl w:val="nil"/>
            </w:tcBorders>
            <w:vAlign w:val="center"/>
          </w:tcPr>
          <w:p>
            <w:pPr>
              <w:spacing w:line="360" w:lineRule="auto"/>
              <w:jc w:val="center"/>
              <w:rPr>
                <w:color w:val="auto"/>
                <w:szCs w:val="21"/>
                <w:u w:val="none"/>
              </w:rPr>
            </w:pPr>
          </w:p>
        </w:tc>
        <w:tc>
          <w:tcPr>
            <w:tcW w:w="757" w:type="dxa"/>
            <w:tcBorders>
              <w:tl2br w:val="nil"/>
              <w:tr2bl w:val="nil"/>
            </w:tcBorders>
            <w:vAlign w:val="center"/>
          </w:tcPr>
          <w:p>
            <w:pPr>
              <w:jc w:val="center"/>
              <w:rPr>
                <w:color w:val="auto"/>
                <w:szCs w:val="21"/>
                <w:u w:val="none"/>
              </w:rPr>
            </w:pPr>
            <w:r>
              <w:rPr>
                <w:rFonts w:hint="eastAsia"/>
                <w:color w:val="auto"/>
                <w:spacing w:val="4"/>
                <w:szCs w:val="21"/>
                <w:u w:val="none"/>
              </w:rPr>
              <w:t>厂区</w:t>
            </w:r>
          </w:p>
        </w:tc>
        <w:tc>
          <w:tcPr>
            <w:tcW w:w="1957" w:type="dxa"/>
            <w:tcBorders>
              <w:tl2br w:val="nil"/>
              <w:tr2bl w:val="nil"/>
            </w:tcBorders>
            <w:vAlign w:val="center"/>
          </w:tcPr>
          <w:p>
            <w:pPr>
              <w:pStyle w:val="39"/>
              <w:rPr>
                <w:color w:val="auto"/>
                <w:u w:val="none"/>
              </w:rPr>
            </w:pPr>
            <w:r>
              <w:rPr>
                <w:rFonts w:ascii="Times New Roman" w:hAnsi="Times New Roman" w:eastAsia="宋体"/>
                <w:bCs/>
                <w:color w:val="auto"/>
                <w:u w:val="none"/>
              </w:rPr>
              <w:t>生活垃圾</w:t>
            </w:r>
          </w:p>
        </w:tc>
        <w:tc>
          <w:tcPr>
            <w:tcW w:w="2727" w:type="dxa"/>
            <w:tcBorders>
              <w:tl2br w:val="nil"/>
              <w:tr2bl w:val="nil"/>
            </w:tcBorders>
            <w:vAlign w:val="center"/>
          </w:tcPr>
          <w:p>
            <w:pPr>
              <w:pStyle w:val="39"/>
              <w:rPr>
                <w:color w:val="auto"/>
                <w:u w:val="none"/>
              </w:rPr>
            </w:pPr>
            <w:r>
              <w:rPr>
                <w:rFonts w:ascii="Times New Roman" w:hAnsi="Times New Roman" w:eastAsia="宋体"/>
                <w:bCs/>
                <w:color w:val="auto"/>
                <w:u w:val="none"/>
              </w:rPr>
              <w:t>由环卫部门收集处理</w:t>
            </w:r>
          </w:p>
        </w:tc>
        <w:tc>
          <w:tcPr>
            <w:tcW w:w="1819" w:type="dxa"/>
            <w:vMerge w:val="continue"/>
            <w:tcBorders>
              <w:tl2br w:val="nil"/>
              <w:tr2bl w:val="nil"/>
            </w:tcBorders>
            <w:vAlign w:val="center"/>
          </w:tcPr>
          <w:p>
            <w:pPr>
              <w:spacing w:line="300" w:lineRule="exact"/>
              <w:jc w:val="center"/>
              <w:rPr>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47" w:type="dxa"/>
            <w:vMerge w:val="continue"/>
            <w:tcBorders>
              <w:tl2br w:val="nil"/>
              <w:tr2bl w:val="nil"/>
            </w:tcBorders>
            <w:vAlign w:val="center"/>
          </w:tcPr>
          <w:p>
            <w:pPr>
              <w:spacing w:line="300" w:lineRule="exact"/>
              <w:jc w:val="center"/>
              <w:rPr>
                <w:color w:val="auto"/>
                <w:szCs w:val="21"/>
                <w:u w:val="none"/>
              </w:rPr>
            </w:pPr>
          </w:p>
        </w:tc>
        <w:tc>
          <w:tcPr>
            <w:tcW w:w="716" w:type="dxa"/>
            <w:vMerge w:val="continue"/>
            <w:tcBorders>
              <w:tl2br w:val="nil"/>
              <w:tr2bl w:val="nil"/>
            </w:tcBorders>
            <w:vAlign w:val="center"/>
          </w:tcPr>
          <w:p>
            <w:pPr>
              <w:spacing w:line="360" w:lineRule="auto"/>
              <w:jc w:val="center"/>
              <w:rPr>
                <w:color w:val="auto"/>
                <w:szCs w:val="21"/>
                <w:u w:val="none"/>
              </w:rPr>
            </w:pPr>
          </w:p>
        </w:tc>
        <w:tc>
          <w:tcPr>
            <w:tcW w:w="757" w:type="dxa"/>
            <w:tcBorders>
              <w:tl2br w:val="nil"/>
              <w:tr2bl w:val="nil"/>
            </w:tcBorders>
            <w:vAlign w:val="center"/>
          </w:tcPr>
          <w:p>
            <w:pPr>
              <w:jc w:val="center"/>
              <w:rPr>
                <w:color w:val="auto"/>
                <w:szCs w:val="21"/>
                <w:u w:val="none"/>
              </w:rPr>
            </w:pPr>
            <w:r>
              <w:rPr>
                <w:rFonts w:hint="eastAsia"/>
                <w:color w:val="auto"/>
                <w:spacing w:val="4"/>
                <w:szCs w:val="21"/>
                <w:u w:val="none"/>
              </w:rPr>
              <w:t>加药间</w:t>
            </w:r>
          </w:p>
        </w:tc>
        <w:tc>
          <w:tcPr>
            <w:tcW w:w="1957" w:type="dxa"/>
            <w:tcBorders>
              <w:tl2br w:val="nil"/>
              <w:tr2bl w:val="nil"/>
            </w:tcBorders>
            <w:vAlign w:val="center"/>
          </w:tcPr>
          <w:p>
            <w:pPr>
              <w:pStyle w:val="39"/>
              <w:rPr>
                <w:color w:val="auto"/>
                <w:u w:val="none"/>
              </w:rPr>
            </w:pPr>
            <w:r>
              <w:rPr>
                <w:rFonts w:hint="eastAsia" w:ascii="Times New Roman" w:hAnsi="Times New Roman" w:eastAsia="宋体"/>
                <w:bCs/>
                <w:color w:val="auto"/>
                <w:u w:val="none"/>
              </w:rPr>
              <w:t>废包装</w:t>
            </w:r>
          </w:p>
        </w:tc>
        <w:tc>
          <w:tcPr>
            <w:tcW w:w="2727" w:type="dxa"/>
            <w:tcBorders>
              <w:tl2br w:val="nil"/>
              <w:tr2bl w:val="nil"/>
            </w:tcBorders>
            <w:vAlign w:val="center"/>
          </w:tcPr>
          <w:p>
            <w:pPr>
              <w:pStyle w:val="39"/>
              <w:rPr>
                <w:color w:val="auto"/>
                <w:u w:val="none"/>
              </w:rPr>
            </w:pPr>
            <w:r>
              <w:rPr>
                <w:rFonts w:hint="eastAsia" w:ascii="Times New Roman" w:hAnsi="Times New Roman" w:eastAsia="宋体"/>
                <w:bCs/>
                <w:color w:val="auto"/>
                <w:u w:val="none"/>
              </w:rPr>
              <w:t>综合外售</w:t>
            </w:r>
          </w:p>
        </w:tc>
        <w:tc>
          <w:tcPr>
            <w:tcW w:w="1819" w:type="dxa"/>
            <w:vMerge w:val="continue"/>
            <w:tcBorders>
              <w:tl2br w:val="nil"/>
              <w:tr2bl w:val="nil"/>
            </w:tcBorders>
            <w:vAlign w:val="center"/>
          </w:tcPr>
          <w:p>
            <w:pPr>
              <w:spacing w:line="300" w:lineRule="exact"/>
              <w:jc w:val="center"/>
              <w:rPr>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347" w:type="dxa"/>
            <w:tcBorders>
              <w:tl2br w:val="nil"/>
              <w:tr2bl w:val="nil"/>
            </w:tcBorders>
            <w:vAlign w:val="center"/>
          </w:tcPr>
          <w:p>
            <w:pPr>
              <w:spacing w:line="300" w:lineRule="exact"/>
              <w:jc w:val="center"/>
              <w:rPr>
                <w:color w:val="auto"/>
                <w:szCs w:val="21"/>
                <w:u w:val="none"/>
              </w:rPr>
            </w:pPr>
            <w:r>
              <w:rPr>
                <w:color w:val="auto"/>
                <w:szCs w:val="21"/>
                <w:u w:val="none"/>
              </w:rPr>
              <w:t>噪声</w:t>
            </w:r>
          </w:p>
        </w:tc>
        <w:tc>
          <w:tcPr>
            <w:tcW w:w="1473" w:type="dxa"/>
            <w:gridSpan w:val="2"/>
            <w:tcBorders>
              <w:tl2br w:val="nil"/>
              <w:tr2bl w:val="nil"/>
            </w:tcBorders>
            <w:vAlign w:val="center"/>
          </w:tcPr>
          <w:p>
            <w:pPr>
              <w:spacing w:line="300" w:lineRule="exact"/>
              <w:jc w:val="center"/>
              <w:rPr>
                <w:color w:val="auto"/>
                <w:szCs w:val="21"/>
                <w:u w:val="none"/>
              </w:rPr>
            </w:pPr>
            <w:r>
              <w:rPr>
                <w:color w:val="auto"/>
                <w:szCs w:val="21"/>
                <w:u w:val="none"/>
              </w:rPr>
              <w:t>厂界噪声</w:t>
            </w:r>
          </w:p>
        </w:tc>
        <w:tc>
          <w:tcPr>
            <w:tcW w:w="1957" w:type="dxa"/>
            <w:tcBorders>
              <w:tl2br w:val="nil"/>
              <w:tr2bl w:val="nil"/>
            </w:tcBorders>
            <w:vAlign w:val="center"/>
          </w:tcPr>
          <w:p>
            <w:pPr>
              <w:spacing w:line="300" w:lineRule="exact"/>
              <w:jc w:val="center"/>
              <w:rPr>
                <w:color w:val="auto"/>
                <w:szCs w:val="21"/>
                <w:u w:val="none"/>
              </w:rPr>
            </w:pPr>
            <w:r>
              <w:rPr>
                <w:color w:val="auto"/>
                <w:szCs w:val="21"/>
                <w:u w:val="none"/>
              </w:rPr>
              <w:t>设备噪声</w:t>
            </w:r>
          </w:p>
        </w:tc>
        <w:tc>
          <w:tcPr>
            <w:tcW w:w="2727" w:type="dxa"/>
            <w:tcBorders>
              <w:tl2br w:val="nil"/>
              <w:tr2bl w:val="nil"/>
            </w:tcBorders>
            <w:vAlign w:val="center"/>
          </w:tcPr>
          <w:p>
            <w:pPr>
              <w:spacing w:line="300" w:lineRule="exact"/>
              <w:jc w:val="center"/>
              <w:rPr>
                <w:color w:val="auto"/>
                <w:szCs w:val="21"/>
                <w:u w:val="none"/>
              </w:rPr>
            </w:pPr>
            <w:r>
              <w:rPr>
                <w:color w:val="auto"/>
                <w:szCs w:val="21"/>
                <w:u w:val="none"/>
              </w:rPr>
              <w:t>企业通过减振降噪，达标排放</w:t>
            </w:r>
          </w:p>
        </w:tc>
        <w:tc>
          <w:tcPr>
            <w:tcW w:w="1819" w:type="dxa"/>
            <w:tcBorders>
              <w:tl2br w:val="nil"/>
              <w:tr2bl w:val="nil"/>
            </w:tcBorders>
            <w:vAlign w:val="center"/>
          </w:tcPr>
          <w:p>
            <w:pPr>
              <w:spacing w:line="300" w:lineRule="exact"/>
              <w:jc w:val="center"/>
              <w:rPr>
                <w:color w:val="auto"/>
                <w:szCs w:val="21"/>
                <w:u w:val="none"/>
              </w:rPr>
            </w:pPr>
            <w:r>
              <w:rPr>
                <w:color w:val="auto"/>
                <w:szCs w:val="21"/>
                <w:u w:val="none"/>
              </w:rPr>
              <w:t>达标</w:t>
            </w:r>
            <w:r>
              <w:rPr>
                <w:rFonts w:hint="eastAsia"/>
                <w:color w:val="auto"/>
                <w:szCs w:val="21"/>
                <w:u w:val="none"/>
              </w:rPr>
              <w:t>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47" w:type="dxa"/>
            <w:tcBorders>
              <w:tl2br w:val="nil"/>
              <w:tr2bl w:val="nil"/>
            </w:tcBorders>
            <w:vAlign w:val="center"/>
          </w:tcPr>
          <w:p>
            <w:pPr>
              <w:spacing w:line="300" w:lineRule="exact"/>
              <w:jc w:val="center"/>
              <w:rPr>
                <w:color w:val="auto"/>
                <w:szCs w:val="21"/>
                <w:u w:val="none"/>
              </w:rPr>
            </w:pPr>
            <w:r>
              <w:rPr>
                <w:rFonts w:hint="eastAsia"/>
                <w:color w:val="auto"/>
                <w:szCs w:val="21"/>
                <w:u w:val="none"/>
              </w:rPr>
              <w:t>其他</w:t>
            </w:r>
          </w:p>
        </w:tc>
        <w:tc>
          <w:tcPr>
            <w:tcW w:w="7976" w:type="dxa"/>
            <w:gridSpan w:val="5"/>
            <w:tcBorders>
              <w:tl2br w:val="nil"/>
              <w:tr2bl w:val="nil"/>
            </w:tcBorders>
            <w:vAlign w:val="center"/>
          </w:tcPr>
          <w:p>
            <w:pPr>
              <w:spacing w:line="300" w:lineRule="exact"/>
              <w:jc w:val="center"/>
              <w:rPr>
                <w:color w:val="auto"/>
                <w:szCs w:val="21"/>
                <w:u w:val="none"/>
              </w:rPr>
            </w:pPr>
            <w:r>
              <w:rPr>
                <w:color w:val="auto"/>
                <w:szCs w:val="21"/>
                <w:u w:val="none"/>
              </w:rPr>
              <w:t>环境风险：</w:t>
            </w:r>
            <w:r>
              <w:rPr>
                <w:rFonts w:hint="eastAsia"/>
                <w:color w:val="auto"/>
                <w:szCs w:val="21"/>
                <w:u w:val="none"/>
              </w:rPr>
              <w:t>修建事故池，各建筑物地面硬化、防渗、防腐处理；厂区绿化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3" w:type="dxa"/>
            <w:gridSpan w:val="6"/>
            <w:tcBorders>
              <w:tl2br w:val="nil"/>
              <w:tr2bl w:val="nil"/>
            </w:tcBorders>
          </w:tcPr>
          <w:p>
            <w:pPr>
              <w:spacing w:line="360" w:lineRule="auto"/>
              <w:rPr>
                <w:b/>
                <w:bCs/>
                <w:color w:val="auto"/>
                <w:sz w:val="24"/>
                <w:szCs w:val="24"/>
                <w:u w:val="none"/>
              </w:rPr>
            </w:pPr>
            <w:r>
              <w:rPr>
                <w:b/>
                <w:bCs/>
                <w:color w:val="auto"/>
                <w:sz w:val="24"/>
                <w:szCs w:val="24"/>
                <w:u w:val="none"/>
              </w:rPr>
              <w:t>生态保护措施及预期效果：</w:t>
            </w:r>
          </w:p>
          <w:p>
            <w:pPr>
              <w:adjustRightInd w:val="0"/>
              <w:snapToGrid w:val="0"/>
              <w:spacing w:line="360" w:lineRule="auto"/>
              <w:ind w:firstLine="462" w:firstLineChars="200"/>
              <w:rPr>
                <w:color w:val="auto"/>
                <w:sz w:val="24"/>
                <w:szCs w:val="24"/>
                <w:u w:val="none"/>
              </w:rPr>
            </w:pPr>
            <w:r>
              <w:rPr>
                <w:rFonts w:hint="eastAsia"/>
                <w:color w:val="auto"/>
                <w:sz w:val="24"/>
                <w:szCs w:val="24"/>
                <w:u w:val="none"/>
              </w:rPr>
              <w:t>在污水处理厂区周围合理培植乔木、灌木、草坪相结合的绿化带，并形成较密的树林，重新建立 起有序的陆地生态系统，有利于改善建设区域的生态环境。项目建设有利于水生生物的生长和维持生态平衡，生物多样性和数量将会在一定程度上有所丰富。</w:t>
            </w:r>
          </w:p>
        </w:tc>
      </w:tr>
    </w:tbl>
    <w:p>
      <w:pPr>
        <w:snapToGrid w:val="0"/>
        <w:jc w:val="left"/>
        <w:outlineLvl w:val="0"/>
      </w:pPr>
      <w:r>
        <w:br w:type="page"/>
      </w:r>
      <w:bookmarkStart w:id="18" w:name="_Toc2552"/>
      <w:r>
        <w:rPr>
          <w:rFonts w:hint="eastAsia" w:eastAsia="黑体"/>
          <w:sz w:val="32"/>
        </w:rPr>
        <w:t>九、</w:t>
      </w:r>
      <w:r>
        <w:rPr>
          <w:rFonts w:eastAsia="黑体"/>
          <w:sz w:val="32"/>
        </w:rPr>
        <w:t>结论与建议</w:t>
      </w:r>
      <w:bookmarkEnd w:id="18"/>
    </w:p>
    <w:tbl>
      <w:tblPr>
        <w:tblStyle w:val="27"/>
        <w:tblW w:w="937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85" w:type="dxa"/>
          <w:bottom w:w="0" w:type="dxa"/>
          <w:right w:w="85" w:type="dxa"/>
        </w:tblCellMar>
      </w:tblPr>
      <w:tblGrid>
        <w:gridCol w:w="23"/>
        <w:gridCol w:w="8966"/>
        <w:gridCol w:w="39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85" w:type="dxa"/>
            <w:bottom w:w="0" w:type="dxa"/>
            <w:right w:w="85" w:type="dxa"/>
          </w:tblCellMar>
        </w:tblPrEx>
        <w:trPr>
          <w:gridBefore w:val="1"/>
          <w:wBefore w:w="23" w:type="dxa"/>
          <w:trHeight w:val="13397" w:hRule="atLeast"/>
          <w:jc w:val="center"/>
        </w:trPr>
        <w:tc>
          <w:tcPr>
            <w:tcW w:w="9356" w:type="dxa"/>
            <w:gridSpan w:val="2"/>
          </w:tcPr>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bCs/>
                <w:color w:val="auto"/>
                <w:kern w:val="24"/>
                <w:sz w:val="28"/>
                <w:szCs w:val="28"/>
              </w:rPr>
            </w:pPr>
            <w:r>
              <w:rPr>
                <w:rFonts w:hint="eastAsia"/>
                <w:b/>
                <w:bCs/>
                <w:color w:val="auto"/>
                <w:kern w:val="24"/>
                <w:sz w:val="28"/>
                <w:szCs w:val="28"/>
              </w:rPr>
              <w:t>9.1</w:t>
            </w:r>
            <w:r>
              <w:rPr>
                <w:rFonts w:hint="default" w:ascii="Times New Roman" w:hAnsi="Times New Roman" w:eastAsia="宋体" w:cs="Times New Roman"/>
                <w:b/>
                <w:bCs/>
                <w:color w:val="auto"/>
                <w:kern w:val="24"/>
                <w:sz w:val="28"/>
                <w:szCs w:val="28"/>
              </w:rPr>
              <w:t>结论</w:t>
            </w:r>
          </w:p>
          <w:p>
            <w:pPr>
              <w:keepNext w:val="0"/>
              <w:keepLines w:val="0"/>
              <w:pageBreakBefore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9.1.1 项目概况</w:t>
            </w:r>
          </w:p>
          <w:p>
            <w:pPr>
              <w:keepNext w:val="0"/>
              <w:keepLines w:val="0"/>
              <w:pageBreakBefore w:val="0"/>
              <w:widowControl w:val="0"/>
              <w:kinsoku/>
              <w:wordWrap/>
              <w:overflowPunct/>
              <w:topLinePunct w:val="0"/>
              <w:bidi w:val="0"/>
              <w:adjustRightInd w:val="0"/>
              <w:snapToGrid w:val="0"/>
              <w:spacing w:line="360" w:lineRule="auto"/>
              <w:ind w:firstLine="462" w:firstLineChars="200"/>
              <w:textAlignment w:val="auto"/>
              <w:rPr>
                <w:color w:val="auto"/>
                <w:sz w:val="24"/>
                <w:szCs w:val="24"/>
                <w:u w:val="none"/>
              </w:rPr>
            </w:pPr>
            <w:r>
              <w:rPr>
                <w:rFonts w:ascii="Times New Roman" w:hAnsi="Times New Roman"/>
                <w:color w:val="auto"/>
                <w:sz w:val="24"/>
                <w:szCs w:val="24"/>
                <w:u w:val="none"/>
              </w:rPr>
              <w:t>随着</w:t>
            </w:r>
            <w:r>
              <w:rPr>
                <w:rFonts w:hint="eastAsia" w:ascii="Times New Roman" w:hAnsi="Times New Roman"/>
                <w:color w:val="auto"/>
                <w:sz w:val="24"/>
                <w:szCs w:val="24"/>
                <w:u w:val="none"/>
                <w:lang w:eastAsia="zh-CN"/>
              </w:rPr>
              <w:t>城镇建设的发展，镇区面积不断扩张，农村涌入人口日益增多，该镇</w:t>
            </w:r>
            <w:r>
              <w:rPr>
                <w:rFonts w:ascii="Times New Roman" w:hAnsi="Times New Roman"/>
                <w:color w:val="auto"/>
                <w:sz w:val="24"/>
                <w:szCs w:val="24"/>
                <w:u w:val="none"/>
              </w:rPr>
              <w:t>污废水量也不断增加，未经处理的生活污水直接排入</w:t>
            </w:r>
            <w:r>
              <w:rPr>
                <w:rFonts w:hint="eastAsia" w:ascii="Times New Roman" w:hAnsi="Times New Roman"/>
                <w:color w:val="auto"/>
                <w:sz w:val="24"/>
                <w:szCs w:val="24"/>
                <w:u w:val="none"/>
                <w:lang w:eastAsia="zh-CN"/>
              </w:rPr>
              <w:t>邵水河</w:t>
            </w:r>
            <w:r>
              <w:rPr>
                <w:rFonts w:ascii="Times New Roman" w:hAnsi="Times New Roman"/>
                <w:color w:val="auto"/>
                <w:sz w:val="24"/>
                <w:szCs w:val="24"/>
                <w:u w:val="none"/>
              </w:rPr>
              <w:t>，严重污染</w:t>
            </w:r>
            <w:r>
              <w:rPr>
                <w:rFonts w:hint="eastAsia" w:ascii="Times New Roman" w:hAnsi="Times New Roman"/>
                <w:color w:val="auto"/>
                <w:sz w:val="24"/>
                <w:szCs w:val="24"/>
                <w:u w:val="none"/>
                <w:lang w:eastAsia="zh-CN"/>
              </w:rPr>
              <w:t>其</w:t>
            </w:r>
            <w:r>
              <w:rPr>
                <w:rFonts w:ascii="Times New Roman" w:hAnsi="Times New Roman"/>
                <w:color w:val="auto"/>
                <w:sz w:val="24"/>
                <w:szCs w:val="24"/>
                <w:u w:val="none"/>
              </w:rPr>
              <w:t>水质，对生态环境及人们身体健康产生严重影响。为保护流域水质</w:t>
            </w:r>
            <w:r>
              <w:rPr>
                <w:rFonts w:hint="eastAsia" w:ascii="Times New Roman" w:hAnsi="Times New Roman"/>
                <w:color w:val="auto"/>
                <w:sz w:val="24"/>
                <w:szCs w:val="24"/>
                <w:u w:val="none"/>
                <w:lang w:eastAsia="zh-CN"/>
              </w:rPr>
              <w:t>及群众健康</w:t>
            </w:r>
            <w:r>
              <w:rPr>
                <w:rFonts w:hint="eastAsia"/>
                <w:color w:val="auto"/>
                <w:sz w:val="24"/>
                <w:szCs w:val="24"/>
                <w:u w:val="none"/>
                <w:lang w:eastAsia="zh-CN"/>
              </w:rPr>
              <w:t>，</w:t>
            </w:r>
            <w:r>
              <w:rPr>
                <w:color w:val="auto"/>
                <w:sz w:val="24"/>
                <w:szCs w:val="24"/>
                <w:u w:val="none"/>
              </w:rPr>
              <w:t>由</w:t>
            </w:r>
            <w:r>
              <w:rPr>
                <w:rFonts w:hint="eastAsia"/>
                <w:color w:val="auto"/>
                <w:sz w:val="24"/>
                <w:szCs w:val="24"/>
                <w:u w:val="none"/>
                <w:lang w:eastAsia="zh-CN"/>
              </w:rPr>
              <w:t>邵阳市双清区住房和城乡建设局</w:t>
            </w:r>
            <w:r>
              <w:rPr>
                <w:color w:val="auto"/>
                <w:sz w:val="24"/>
                <w:szCs w:val="24"/>
                <w:u w:val="none"/>
              </w:rPr>
              <w:t>牵头，结合</w:t>
            </w:r>
            <w:r>
              <w:rPr>
                <w:rFonts w:hint="eastAsia"/>
                <w:color w:val="auto"/>
                <w:sz w:val="24"/>
                <w:szCs w:val="24"/>
                <w:u w:val="none"/>
                <w:lang w:eastAsia="zh-CN"/>
              </w:rPr>
              <w:t>中央补助资金、</w:t>
            </w:r>
            <w:r>
              <w:rPr>
                <w:rFonts w:hint="eastAsia" w:ascii="Times New Roman" w:hAnsi="Times New Roman" w:eastAsia="宋体" w:cs="Times New Roman"/>
                <w:color w:val="auto"/>
                <w:sz w:val="24"/>
                <w:szCs w:val="24"/>
                <w:u w:val="none"/>
                <w:lang w:eastAsia="zh-CN"/>
              </w:rPr>
              <w:t>发行地方政府专项债券</w:t>
            </w:r>
            <w:r>
              <w:rPr>
                <w:rFonts w:hint="eastAsia"/>
                <w:color w:val="auto"/>
                <w:sz w:val="24"/>
                <w:szCs w:val="24"/>
                <w:u w:val="none"/>
                <w:lang w:eastAsia="zh-CN"/>
              </w:rPr>
              <w:t>及自筹资金</w:t>
            </w:r>
            <w:r>
              <w:rPr>
                <w:color w:val="auto"/>
                <w:sz w:val="24"/>
                <w:szCs w:val="24"/>
                <w:u w:val="none"/>
              </w:rPr>
              <w:t>，总投资</w:t>
            </w:r>
            <w:r>
              <w:rPr>
                <w:rFonts w:hint="eastAsia"/>
                <w:color w:val="auto"/>
                <w:sz w:val="24"/>
                <w:szCs w:val="24"/>
                <w:u w:val="none"/>
                <w:lang w:val="en-US" w:eastAsia="zh-CN"/>
              </w:rPr>
              <w:t>3024.23</w:t>
            </w:r>
            <w:r>
              <w:rPr>
                <w:color w:val="auto"/>
                <w:sz w:val="24"/>
                <w:szCs w:val="24"/>
                <w:u w:val="none"/>
              </w:rPr>
              <w:t>万元，拟在</w:t>
            </w:r>
            <w:r>
              <w:rPr>
                <w:rFonts w:hint="eastAsia"/>
                <w:color w:val="auto"/>
                <w:sz w:val="24"/>
                <w:szCs w:val="24"/>
                <w:u w:val="none"/>
                <w:lang w:eastAsia="zh-CN"/>
              </w:rPr>
              <w:t>邵阳市汽车小镇建设用地的西南侧，地邵水河西岸，X019县道南侧</w:t>
            </w:r>
            <w:r>
              <w:rPr>
                <w:color w:val="auto"/>
                <w:sz w:val="24"/>
                <w:szCs w:val="24"/>
                <w:u w:val="none"/>
              </w:rPr>
              <w:t>建设</w:t>
            </w:r>
            <w:r>
              <w:rPr>
                <w:rFonts w:hint="eastAsia"/>
                <w:color w:val="auto"/>
                <w:sz w:val="24"/>
                <w:szCs w:val="24"/>
                <w:u w:val="none"/>
                <w:lang w:eastAsia="zh-CN"/>
              </w:rPr>
              <w:t>双清区渡头桥污水处理厂及周边配套管网工程</w:t>
            </w:r>
            <w:r>
              <w:rPr>
                <w:color w:val="auto"/>
                <w:sz w:val="24"/>
                <w:szCs w:val="24"/>
                <w:u w:val="none"/>
              </w:rPr>
              <w:t>。通过建设完善的城镇污水收集以及处理系统，减少排入周边水体及覆盖区域内河涌的污染物总量，最大限度减少污染物排入邵水河。</w:t>
            </w:r>
            <w:r>
              <w:rPr>
                <w:rFonts w:hint="eastAsia"/>
                <w:color w:val="auto"/>
                <w:sz w:val="24"/>
                <w:szCs w:val="24"/>
                <w:u w:val="none"/>
                <w:lang w:eastAsia="zh-CN"/>
              </w:rPr>
              <w:t>整个项目</w:t>
            </w:r>
            <w:r>
              <w:rPr>
                <w:rFonts w:hint="eastAsia"/>
                <w:color w:val="auto"/>
                <w:sz w:val="24"/>
                <w:szCs w:val="24"/>
                <w:u w:val="none"/>
              </w:rPr>
              <w:t>分两期进行建设，近期建成处理污水量为</w:t>
            </w:r>
            <w:r>
              <w:rPr>
                <w:rFonts w:hint="eastAsia"/>
                <w:color w:val="auto"/>
                <w:sz w:val="24"/>
                <w:szCs w:val="24"/>
                <w:u w:val="none"/>
                <w:lang w:val="en-US" w:eastAsia="zh-CN"/>
              </w:rPr>
              <w:t>1</w:t>
            </w:r>
            <w:r>
              <w:rPr>
                <w:rFonts w:hint="eastAsia"/>
                <w:color w:val="auto"/>
                <w:sz w:val="24"/>
                <w:szCs w:val="24"/>
                <w:u w:val="none"/>
              </w:rPr>
              <w:t>000m</w:t>
            </w:r>
            <w:r>
              <w:rPr>
                <w:rFonts w:hint="eastAsia"/>
                <w:color w:val="auto"/>
                <w:sz w:val="24"/>
                <w:szCs w:val="24"/>
                <w:u w:val="none"/>
                <w:vertAlign w:val="superscript"/>
              </w:rPr>
              <w:t>3</w:t>
            </w:r>
            <w:r>
              <w:rPr>
                <w:rFonts w:hint="eastAsia"/>
                <w:color w:val="auto"/>
                <w:sz w:val="24"/>
                <w:szCs w:val="24"/>
                <w:u w:val="none"/>
              </w:rPr>
              <w:t>/d，远期预留处理污水量</w:t>
            </w:r>
            <w:r>
              <w:rPr>
                <w:rFonts w:hint="eastAsia"/>
                <w:color w:val="auto"/>
                <w:sz w:val="24"/>
                <w:szCs w:val="24"/>
                <w:u w:val="none"/>
                <w:lang w:val="en-US" w:eastAsia="zh-CN"/>
              </w:rPr>
              <w:t>2</w:t>
            </w:r>
            <w:r>
              <w:rPr>
                <w:rFonts w:hint="eastAsia"/>
                <w:color w:val="auto"/>
                <w:sz w:val="24"/>
                <w:szCs w:val="24"/>
                <w:u w:val="none"/>
              </w:rPr>
              <w:t>000m</w:t>
            </w:r>
            <w:r>
              <w:rPr>
                <w:rFonts w:hint="eastAsia"/>
                <w:color w:val="auto"/>
                <w:sz w:val="24"/>
                <w:szCs w:val="24"/>
                <w:u w:val="none"/>
                <w:vertAlign w:val="superscript"/>
              </w:rPr>
              <w:t>3</w:t>
            </w:r>
            <w:r>
              <w:rPr>
                <w:rFonts w:hint="eastAsia"/>
                <w:color w:val="auto"/>
                <w:sz w:val="24"/>
                <w:szCs w:val="24"/>
                <w:u w:val="none"/>
              </w:rPr>
              <w:t>/d，本环评针对近期工程。</w:t>
            </w:r>
          </w:p>
          <w:p>
            <w:pPr>
              <w:keepNext w:val="0"/>
              <w:keepLines w:val="0"/>
              <w:pageBreakBefore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9.1.</w:t>
            </w:r>
            <w:r>
              <w:rPr>
                <w:rFonts w:hint="eastAsia"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 xml:space="preserve"> 区域环境质量结论</w:t>
            </w:r>
          </w:p>
          <w:p>
            <w:pPr>
              <w:keepNext w:val="0"/>
              <w:keepLines w:val="0"/>
              <w:pageBreakBefore w:val="0"/>
              <w:widowControl/>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（1）大气环境质量现状：项目所在区域二氧化硫、二氧化氮、一氧化碳、可吸入颗粒物（PM</w:t>
            </w:r>
            <w:r>
              <w:rPr>
                <w:rFonts w:hint="default" w:ascii="Times New Roman" w:hAnsi="Times New Roman" w:eastAsia="宋体" w:cs="Times New Roman"/>
                <w:color w:val="auto"/>
                <w:sz w:val="24"/>
                <w:szCs w:val="24"/>
                <w:vertAlign w:val="subscript"/>
              </w:rPr>
              <w:t>10</w:t>
            </w:r>
            <w:r>
              <w:rPr>
                <w:rFonts w:hint="default" w:ascii="Times New Roman" w:hAnsi="Times New Roman" w:eastAsia="宋体" w:cs="Times New Roman"/>
                <w:color w:val="auto"/>
                <w:sz w:val="24"/>
                <w:szCs w:val="24"/>
              </w:rPr>
              <w:t>）各监测因子的监测值均符合《环境空气质量标准》（GB3095-2012）中的二级标准要求，PM</w:t>
            </w:r>
            <w:r>
              <w:rPr>
                <w:rFonts w:hint="default" w:ascii="Times New Roman" w:hAnsi="Times New Roman" w:eastAsia="宋体" w:cs="Times New Roman"/>
                <w:color w:val="auto"/>
                <w:sz w:val="24"/>
                <w:szCs w:val="24"/>
                <w:vertAlign w:val="subscript"/>
              </w:rPr>
              <w:t>2.5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臭氧未达到《环境空气质量标准》（GB3095-2012）中的二级标准要求；硫化氢和氨的监测值均低于《环境影响评价技术导则－大气环境》（HJ 2.2-2018）中的附录D其他污染物空气质量浓度参考限值。</w:t>
            </w:r>
          </w:p>
          <w:p>
            <w:pPr>
              <w:keepNext w:val="0"/>
              <w:keepLines w:val="0"/>
              <w:pageBreakBefore w:val="0"/>
              <w:widowControl/>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（2）地表水环境现状：</w:t>
            </w:r>
            <w:r>
              <w:rPr>
                <w:rFonts w:hint="default" w:ascii="Times New Roman" w:hAnsi="Times New Roman" w:eastAsia="宋体" w:cs="Times New Roman"/>
                <w:color w:val="auto"/>
                <w:sz w:val="24"/>
                <w:szCs w:val="24"/>
                <w:lang w:val="en-US" w:eastAsia="zh-CN"/>
              </w:rPr>
              <w:t>根据现状监测数据，</w:t>
            </w:r>
            <w:r>
              <w:rPr>
                <w:rFonts w:hint="default" w:ascii="Times New Roman" w:hAnsi="Times New Roman" w:eastAsia="宋体" w:cs="Times New Roman"/>
                <w:color w:val="auto"/>
                <w:sz w:val="24"/>
                <w:szCs w:val="24"/>
              </w:rPr>
              <w:t>W1、W2</w:t>
            </w:r>
            <w:r>
              <w:rPr>
                <w:rFonts w:hint="eastAsia" w:cs="Times New Roman"/>
                <w:color w:val="auto"/>
                <w:sz w:val="24"/>
                <w:szCs w:val="24"/>
                <w:lang w:eastAsia="zh-CN"/>
              </w:rPr>
              <w:t>两</w:t>
            </w:r>
            <w:r>
              <w:rPr>
                <w:rFonts w:hint="default" w:ascii="Times New Roman" w:hAnsi="Times New Roman" w:eastAsia="宋体" w:cs="Times New Roman"/>
                <w:color w:val="auto"/>
                <w:sz w:val="24"/>
                <w:szCs w:val="24"/>
              </w:rPr>
              <w:t>个断面总氮均超过《地表水环境质量标准》（GB3838-2002）中的Ⅲ类水体，其他因子均能满足Ⅲ类水体要求。</w:t>
            </w:r>
          </w:p>
          <w:p>
            <w:pPr>
              <w:keepNext w:val="0"/>
              <w:keepLines w:val="0"/>
              <w:pageBreakBefore w:val="0"/>
              <w:kinsoku/>
              <w:wordWrap/>
              <w:overflowPunct/>
              <w:topLinePunct w:val="0"/>
              <w:autoSpaceDE/>
              <w:autoSpaceDN/>
              <w:bidi w:val="0"/>
              <w:adjustRightInd w:val="0"/>
              <w:snapToGrid w:val="0"/>
              <w:spacing w:line="360" w:lineRule="auto"/>
              <w:ind w:firstLine="462" w:firstLineChars="200"/>
              <w:textAlignment w:val="auto"/>
              <w:rPr>
                <w:rFonts w:hint="eastAsia"/>
                <w:sz w:val="24"/>
                <w:szCs w:val="24"/>
              </w:rPr>
            </w:pPr>
            <w:r>
              <w:rPr>
                <w:rFonts w:hint="default" w:ascii="Times New Roman" w:hAnsi="Times New Roman" w:eastAsia="宋体" w:cs="Times New Roman"/>
                <w:color w:val="auto"/>
                <w:sz w:val="24"/>
                <w:szCs w:val="24"/>
              </w:rPr>
              <w:t>（3）地下水现状：</w:t>
            </w:r>
            <w:r>
              <w:rPr>
                <w:rFonts w:hint="eastAsia"/>
                <w:sz w:val="24"/>
                <w:szCs w:val="24"/>
              </w:rPr>
              <w:t>根据现状监测结果，项目</w:t>
            </w:r>
            <w:r>
              <w:rPr>
                <w:rFonts w:hint="eastAsia"/>
                <w:sz w:val="24"/>
                <w:szCs w:val="24"/>
                <w:lang w:eastAsia="zh-CN"/>
              </w:rPr>
              <w:t>监测点位</w:t>
            </w:r>
            <w:r>
              <w:rPr>
                <w:rFonts w:hint="eastAsia"/>
                <w:sz w:val="24"/>
                <w:szCs w:val="24"/>
                <w:lang w:val="en-US" w:eastAsia="zh-CN"/>
              </w:rPr>
              <w:t>D2、D3</w:t>
            </w:r>
            <w:r>
              <w:rPr>
                <w:rFonts w:hint="eastAsia"/>
                <w:sz w:val="24"/>
                <w:szCs w:val="24"/>
              </w:rPr>
              <w:t>监测项目均能满足《地下水质量标准》（</w:t>
            </w:r>
            <w:r>
              <w:rPr>
                <w:sz w:val="24"/>
                <w:szCs w:val="24"/>
              </w:rPr>
              <w:t>GB/T14848-2017</w:t>
            </w:r>
            <w:r>
              <w:rPr>
                <w:rFonts w:hint="eastAsia"/>
                <w:sz w:val="24"/>
                <w:szCs w:val="24"/>
              </w:rPr>
              <w:t>）中的Ⅲ类标准，</w:t>
            </w:r>
            <w:r>
              <w:rPr>
                <w:rFonts w:hint="eastAsia"/>
                <w:sz w:val="24"/>
                <w:szCs w:val="24"/>
                <w:lang w:eastAsia="zh-CN"/>
              </w:rPr>
              <w:t>监测点位</w:t>
            </w:r>
            <w:r>
              <w:rPr>
                <w:rFonts w:hint="eastAsia"/>
                <w:sz w:val="24"/>
                <w:szCs w:val="24"/>
                <w:lang w:val="en-US" w:eastAsia="zh-CN"/>
              </w:rPr>
              <w:t>D1除</w:t>
            </w:r>
            <w:r>
              <w:rPr>
                <w:rFonts w:hint="eastAsia"/>
                <w:sz w:val="24"/>
                <w:szCs w:val="24"/>
              </w:rPr>
              <w:t>总大肠菌群超标外，其他监测项目均能满足《地下水质量标准》（</w:t>
            </w:r>
            <w:r>
              <w:rPr>
                <w:sz w:val="24"/>
                <w:szCs w:val="24"/>
              </w:rPr>
              <w:t>GB/T14848-2017</w:t>
            </w:r>
            <w:r>
              <w:rPr>
                <w:rFonts w:hint="eastAsia"/>
                <w:sz w:val="24"/>
                <w:szCs w:val="24"/>
              </w:rPr>
              <w:t>）中的Ⅲ类标准。总大肠菌群超标原因可能是由于区域农业污染源或生活污染源对其造成污染染。</w:t>
            </w:r>
          </w:p>
          <w:p>
            <w:pPr>
              <w:keepNext w:val="0"/>
              <w:keepLines w:val="0"/>
              <w:pageBreakBefore w:val="0"/>
              <w:widowControl/>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（4）土壤环境现状：现状监测结果表明，项目所在区域土壤监测点各因子监测浓度均符合《土壤环境质量标准 建设用地土壤污染风险管控标准（试行）》(GB36600-2018)表1第二类用地土壤污染风险筛选值。</w:t>
            </w:r>
          </w:p>
          <w:p>
            <w:pPr>
              <w:keepNext w:val="0"/>
              <w:keepLines w:val="0"/>
              <w:pageBreakBefore w:val="0"/>
              <w:widowControl/>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（5）声环境现状：项目所在地声环境质量现状监测均满足《声环境质量标准》（GB3096-2008）</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类标准，评价区声环境质量现状满足功能区划要求。</w:t>
            </w:r>
          </w:p>
          <w:p>
            <w:pPr>
              <w:keepNext w:val="0"/>
              <w:keepLines w:val="0"/>
              <w:pageBreakBefore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9.1.</w:t>
            </w:r>
            <w:r>
              <w:rPr>
                <w:rFonts w:hint="eastAsia"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rPr>
              <w:t xml:space="preserve"> 产业政策及规划符合性</w:t>
            </w:r>
          </w:p>
          <w:p>
            <w:pPr>
              <w:keepNext w:val="0"/>
              <w:keepLines w:val="0"/>
              <w:pageBreakBefore w:val="0"/>
              <w:widowControl/>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4"/>
                <w:u w:val="wave"/>
              </w:rPr>
            </w:pPr>
            <w:r>
              <w:rPr>
                <w:rFonts w:hint="default" w:ascii="Times New Roman" w:hAnsi="Times New Roman" w:eastAsia="宋体" w:cs="Times New Roman"/>
                <w:color w:val="auto"/>
                <w:sz w:val="24"/>
                <w:szCs w:val="24"/>
              </w:rPr>
              <w:t>本项目符合国家现行的产业政策的要求，同时符合项目所在区域“三线一单”的要求。</w:t>
            </w:r>
          </w:p>
          <w:p>
            <w:pPr>
              <w:pStyle w:val="25"/>
              <w:keepNext w:val="0"/>
              <w:keepLines w:val="0"/>
              <w:pageBreakBefore w:val="0"/>
              <w:kinsoku/>
              <w:wordWrap/>
              <w:overflowPunct/>
              <w:topLinePunct w:val="0"/>
              <w:autoSpaceDE/>
              <w:autoSpaceDN/>
              <w:bidi w:val="0"/>
              <w:adjustRightInd w:val="0"/>
              <w:snapToGrid w:val="0"/>
              <w:spacing w:beforeLines="0"/>
              <w:ind w:firstLine="462" w:firstLineChars="20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9.1.4项目选址及平面布置可行性</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color w:val="auto"/>
                <w:sz w:val="24"/>
                <w:szCs w:val="24"/>
                <w:u w:val="none"/>
              </w:rPr>
            </w:pPr>
            <w:r>
              <w:rPr>
                <w:rFonts w:hint="eastAsia"/>
                <w:color w:val="auto"/>
                <w:sz w:val="24"/>
                <w:szCs w:val="24"/>
                <w:highlight w:val="none"/>
                <w:u w:val="none"/>
              </w:rPr>
              <w:t>本项目</w:t>
            </w:r>
            <w:r>
              <w:rPr>
                <w:rFonts w:hint="eastAsia"/>
                <w:color w:val="auto"/>
                <w:sz w:val="24"/>
                <w:szCs w:val="22"/>
                <w:highlight w:val="none"/>
                <w:u w:val="none"/>
              </w:rPr>
              <w:t>厂址位置地势</w:t>
            </w:r>
            <w:r>
              <w:rPr>
                <w:rFonts w:hint="eastAsia"/>
                <w:color w:val="auto"/>
                <w:sz w:val="24"/>
                <w:szCs w:val="22"/>
                <w:highlight w:val="none"/>
                <w:u w:val="none"/>
                <w:lang w:eastAsia="zh-CN"/>
              </w:rPr>
              <w:t>相对</w:t>
            </w:r>
            <w:r>
              <w:rPr>
                <w:rFonts w:hint="eastAsia"/>
                <w:color w:val="auto"/>
                <w:sz w:val="24"/>
                <w:szCs w:val="22"/>
                <w:highlight w:val="none"/>
                <w:u w:val="none"/>
              </w:rPr>
              <w:t>较低，</w:t>
            </w:r>
            <w:r>
              <w:rPr>
                <w:rFonts w:hint="eastAsia" w:ascii="Times New Roman" w:hAnsi="Times New Roman" w:eastAsia="宋体" w:cs="Times New Roman"/>
                <w:color w:val="auto"/>
                <w:spacing w:val="-7"/>
                <w:sz w:val="24"/>
                <w:szCs w:val="22"/>
                <w:u w:val="none"/>
                <w:lang w:val="en-US" w:eastAsia="zh-CN"/>
              </w:rPr>
              <w:t>污水可由进污干管重力自流进入污水处理厂，</w:t>
            </w:r>
            <w:r>
              <w:rPr>
                <w:rFonts w:hint="eastAsia"/>
                <w:color w:val="auto"/>
                <w:spacing w:val="-7"/>
                <w:sz w:val="24"/>
                <w:szCs w:val="22"/>
                <w:u w:val="none"/>
              </w:rPr>
              <w:t>沿途</w:t>
            </w:r>
            <w:r>
              <w:rPr>
                <w:rFonts w:hint="eastAsia"/>
                <w:color w:val="auto"/>
                <w:spacing w:val="-7"/>
                <w:sz w:val="24"/>
                <w:szCs w:val="22"/>
                <w:u w:val="none"/>
                <w:lang w:eastAsia="zh-CN"/>
              </w:rPr>
              <w:t>可</w:t>
            </w:r>
            <w:r>
              <w:rPr>
                <w:rFonts w:hint="eastAsia"/>
                <w:color w:val="auto"/>
                <w:spacing w:val="-7"/>
                <w:sz w:val="24"/>
                <w:szCs w:val="22"/>
                <w:u w:val="none"/>
              </w:rPr>
              <w:t>不设提升泵</w:t>
            </w:r>
            <w:r>
              <w:rPr>
                <w:rFonts w:hint="eastAsia"/>
                <w:color w:val="auto"/>
                <w:spacing w:val="-7"/>
                <w:sz w:val="24"/>
                <w:szCs w:val="22"/>
                <w:u w:val="none"/>
                <w:lang w:eastAsia="zh-CN"/>
              </w:rPr>
              <w:t>，可减少项目投资</w:t>
            </w:r>
            <w:r>
              <w:rPr>
                <w:rFonts w:hint="eastAsia"/>
                <w:color w:val="auto"/>
                <w:sz w:val="24"/>
                <w:szCs w:val="22"/>
                <w:highlight w:val="none"/>
                <w:u w:val="none"/>
              </w:rPr>
              <w:t>。</w:t>
            </w:r>
            <w:r>
              <w:rPr>
                <w:rFonts w:hint="eastAsia"/>
                <w:color w:val="auto"/>
                <w:sz w:val="24"/>
                <w:szCs w:val="22"/>
                <w:highlight w:val="none"/>
                <w:u w:val="none"/>
                <w:lang w:eastAsia="zh-CN"/>
              </w:rPr>
              <w:t>项目用地不占用基本农田，不</w:t>
            </w:r>
            <w:r>
              <w:rPr>
                <w:rFonts w:hint="eastAsia"/>
                <w:color w:val="auto"/>
                <w:sz w:val="24"/>
                <w:szCs w:val="22"/>
                <w:highlight w:val="none"/>
                <w:u w:val="none"/>
                <w:lang w:val="en-US" w:eastAsia="zh-CN"/>
              </w:rPr>
              <w:t>涉及自然保护区、风景名胜区等，</w:t>
            </w:r>
            <w:r>
              <w:rPr>
                <w:rFonts w:hint="eastAsia"/>
                <w:color w:val="auto"/>
                <w:sz w:val="24"/>
                <w:szCs w:val="22"/>
                <w:highlight w:val="none"/>
                <w:u w:val="none"/>
                <w:lang w:eastAsia="zh-CN"/>
              </w:rPr>
              <w:t>卫生防护距离</w:t>
            </w:r>
            <w:r>
              <w:rPr>
                <w:rFonts w:hint="eastAsia"/>
                <w:color w:val="auto"/>
                <w:sz w:val="24"/>
                <w:szCs w:val="22"/>
                <w:highlight w:val="none"/>
                <w:u w:val="none"/>
                <w:lang w:val="en-US" w:eastAsia="zh-CN"/>
              </w:rPr>
              <w:t>100m范围内无环境敏感点，不涉及居民搬迁，无明显的环境制约因素。</w:t>
            </w:r>
            <w:r>
              <w:rPr>
                <w:rFonts w:ascii="宋体" w:hAnsi="宋体" w:eastAsia="宋体" w:cs="宋体"/>
                <w:color w:val="FF0000"/>
                <w:sz w:val="24"/>
                <w:szCs w:val="24"/>
                <w:u w:val="wave"/>
              </w:rPr>
              <w:t>污水处理厂临近受纳水体</w:t>
            </w:r>
            <w:r>
              <w:rPr>
                <w:rFonts w:hint="eastAsia" w:ascii="宋体" w:hAnsi="宋体" w:eastAsia="宋体" w:cs="宋体"/>
                <w:color w:val="FF0000"/>
                <w:sz w:val="24"/>
                <w:szCs w:val="24"/>
                <w:u w:val="wave"/>
                <w:lang w:eastAsia="zh-CN"/>
              </w:rPr>
              <w:t>邵水</w:t>
            </w:r>
            <w:r>
              <w:rPr>
                <w:rFonts w:ascii="宋体" w:hAnsi="宋体" w:eastAsia="宋体" w:cs="宋体"/>
                <w:color w:val="FF0000"/>
                <w:sz w:val="24"/>
                <w:szCs w:val="24"/>
                <w:u w:val="wave"/>
              </w:rPr>
              <w:t>路布置，</w:t>
            </w:r>
            <w:r>
              <w:rPr>
                <w:rFonts w:hint="default" w:eastAsia="宋体"/>
                <w:color w:val="FF0000"/>
                <w:sz w:val="24"/>
                <w:szCs w:val="22"/>
                <w:highlight w:val="none"/>
                <w:u w:val="wave"/>
                <w:lang w:val="en-US" w:eastAsia="zh-CN"/>
              </w:rPr>
              <w:t>污水经处理后可就近排入临近的</w:t>
            </w:r>
            <w:r>
              <w:rPr>
                <w:rFonts w:hint="eastAsia"/>
                <w:color w:val="FF0000"/>
                <w:sz w:val="24"/>
                <w:szCs w:val="22"/>
                <w:highlight w:val="none"/>
                <w:u w:val="wave"/>
                <w:lang w:val="en-US" w:eastAsia="zh-CN"/>
              </w:rPr>
              <w:t>邵水</w:t>
            </w:r>
            <w:r>
              <w:rPr>
                <w:rFonts w:hint="default" w:eastAsia="宋体"/>
                <w:color w:val="FF0000"/>
                <w:sz w:val="24"/>
                <w:szCs w:val="22"/>
                <w:highlight w:val="none"/>
                <w:u w:val="wave"/>
                <w:lang w:val="en-US" w:eastAsia="zh-CN"/>
              </w:rPr>
              <w:t>，有利于排水</w:t>
            </w:r>
            <w:r>
              <w:rPr>
                <w:rFonts w:hint="eastAsia"/>
                <w:color w:val="FF0000"/>
                <w:sz w:val="24"/>
                <w:szCs w:val="22"/>
                <w:highlight w:val="none"/>
                <w:u w:val="wave"/>
                <w:lang w:val="en-US" w:eastAsia="zh-CN"/>
              </w:rPr>
              <w:t>，项目拟设排污口不在渡头桥镇惠民水厂</w:t>
            </w:r>
            <w:r>
              <w:rPr>
                <w:rFonts w:hint="eastAsia" w:ascii="Times New Roman" w:hAnsi="Times New Roman" w:cs="Times New Roman"/>
                <w:color w:val="FF0000"/>
                <w:sz w:val="24"/>
                <w:highlight w:val="none"/>
                <w:u w:val="wave"/>
                <w:lang w:val="en-US" w:eastAsia="zh-CN"/>
              </w:rPr>
              <w:t>水源地（邵水）</w:t>
            </w:r>
            <w:r>
              <w:rPr>
                <w:rFonts w:hint="eastAsia"/>
                <w:color w:val="FF0000"/>
                <w:sz w:val="24"/>
                <w:szCs w:val="22"/>
                <w:highlight w:val="none"/>
                <w:u w:val="wave"/>
                <w:lang w:val="en-US" w:eastAsia="zh-CN"/>
              </w:rPr>
              <w:t>划定的饮用水源保护区范围内，</w:t>
            </w:r>
            <w:r>
              <w:rPr>
                <w:rFonts w:hint="eastAsia" w:eastAsia="宋体"/>
                <w:color w:val="auto"/>
                <w:sz w:val="24"/>
                <w:szCs w:val="22"/>
                <w:highlight w:val="none"/>
                <w:u w:val="none"/>
                <w:lang w:val="en-US" w:eastAsia="zh-CN"/>
              </w:rPr>
              <w:t>因此</w:t>
            </w:r>
            <w:r>
              <w:rPr>
                <w:rFonts w:hint="eastAsia"/>
                <w:color w:val="auto"/>
                <w:sz w:val="24"/>
                <w:szCs w:val="24"/>
                <w:u w:val="none"/>
              </w:rPr>
              <w:t>，项目选址</w:t>
            </w:r>
            <w:r>
              <w:rPr>
                <w:rFonts w:hint="eastAsia"/>
                <w:color w:val="auto"/>
                <w:sz w:val="24"/>
                <w:szCs w:val="24"/>
                <w:u w:val="none"/>
                <w:lang w:eastAsia="zh-CN"/>
              </w:rPr>
              <w:t>可行</w:t>
            </w:r>
            <w:r>
              <w:rPr>
                <w:rFonts w:hint="eastAsia"/>
                <w:color w:val="auto"/>
                <w:sz w:val="24"/>
                <w:szCs w:val="24"/>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eastAsia="宋体"/>
                <w:color w:val="auto"/>
                <w:sz w:val="24"/>
                <w:szCs w:val="24"/>
                <w:u w:val="none"/>
                <w:lang w:eastAsia="zh-CN"/>
              </w:rPr>
            </w:pPr>
            <w:r>
              <w:rPr>
                <w:rFonts w:hint="eastAsia"/>
                <w:color w:val="auto"/>
                <w:sz w:val="24"/>
                <w:szCs w:val="24"/>
                <w:u w:val="none"/>
              </w:rPr>
              <w:t>项目厂区按照不同的功能区分为办公区、污水区和污泥区。污水区位于厂区</w:t>
            </w:r>
            <w:r>
              <w:rPr>
                <w:rFonts w:hint="eastAsia"/>
                <w:color w:val="auto"/>
                <w:sz w:val="24"/>
                <w:szCs w:val="24"/>
                <w:u w:val="none"/>
                <w:lang w:eastAsia="zh-CN"/>
              </w:rPr>
              <w:t>南</w:t>
            </w:r>
            <w:r>
              <w:rPr>
                <w:rFonts w:hint="eastAsia"/>
                <w:color w:val="auto"/>
                <w:sz w:val="24"/>
                <w:szCs w:val="24"/>
                <w:u w:val="none"/>
              </w:rPr>
              <w:t>侧，污泥区位于厂内</w:t>
            </w:r>
            <w:r>
              <w:rPr>
                <w:rFonts w:hint="eastAsia"/>
                <w:color w:val="auto"/>
                <w:sz w:val="24"/>
                <w:szCs w:val="24"/>
                <w:u w:val="none"/>
                <w:lang w:eastAsia="zh-CN"/>
              </w:rPr>
              <w:t>东南</w:t>
            </w:r>
            <w:r>
              <w:rPr>
                <w:rFonts w:hint="eastAsia"/>
                <w:color w:val="auto"/>
                <w:sz w:val="24"/>
                <w:szCs w:val="24"/>
                <w:u w:val="none"/>
              </w:rPr>
              <w:t>面，区域主要风向为东</w:t>
            </w:r>
            <w:r>
              <w:rPr>
                <w:rFonts w:hint="eastAsia"/>
                <w:color w:val="auto"/>
                <w:sz w:val="24"/>
                <w:szCs w:val="24"/>
                <w:u w:val="none"/>
                <w:lang w:eastAsia="zh-CN"/>
              </w:rPr>
              <w:t>北</w:t>
            </w:r>
            <w:r>
              <w:rPr>
                <w:rFonts w:hint="eastAsia"/>
                <w:color w:val="auto"/>
                <w:sz w:val="24"/>
                <w:szCs w:val="24"/>
                <w:u w:val="none"/>
              </w:rPr>
              <w:t>风，办公区</w:t>
            </w:r>
            <w:r>
              <w:rPr>
                <w:rFonts w:hint="eastAsia"/>
                <w:color w:val="auto"/>
                <w:sz w:val="24"/>
                <w:szCs w:val="24"/>
                <w:u w:val="none"/>
                <w:lang w:eastAsia="zh-CN"/>
              </w:rPr>
              <w:t>位于</w:t>
            </w:r>
            <w:r>
              <w:rPr>
                <w:rFonts w:hint="eastAsia"/>
                <w:color w:val="auto"/>
                <w:sz w:val="24"/>
                <w:szCs w:val="24"/>
                <w:u w:val="none"/>
              </w:rPr>
              <w:t>厂区东</w:t>
            </w:r>
            <w:r>
              <w:rPr>
                <w:rFonts w:hint="eastAsia"/>
                <w:color w:val="auto"/>
                <w:sz w:val="24"/>
                <w:szCs w:val="24"/>
                <w:u w:val="none"/>
                <w:lang w:eastAsia="zh-CN"/>
              </w:rPr>
              <w:t>北</w:t>
            </w:r>
            <w:r>
              <w:rPr>
                <w:rFonts w:hint="eastAsia"/>
                <w:color w:val="auto"/>
                <w:sz w:val="24"/>
                <w:szCs w:val="24"/>
                <w:u w:val="none"/>
              </w:rPr>
              <w:t>侧，位于其上风向，降低其运营过程中产生的恶臭气味对</w:t>
            </w:r>
            <w:r>
              <w:rPr>
                <w:rFonts w:hint="eastAsia"/>
                <w:color w:val="auto"/>
                <w:sz w:val="24"/>
                <w:szCs w:val="24"/>
                <w:u w:val="none"/>
                <w:lang w:eastAsia="zh-CN"/>
              </w:rPr>
              <w:t>工作</w:t>
            </w:r>
            <w:r>
              <w:rPr>
                <w:rFonts w:hint="eastAsia"/>
                <w:color w:val="auto"/>
                <w:sz w:val="24"/>
                <w:szCs w:val="24"/>
                <w:u w:val="none"/>
              </w:rPr>
              <w:t>人员的影响；</w:t>
            </w:r>
            <w:r>
              <w:rPr>
                <w:rFonts w:hint="default" w:ascii="Times New Roman" w:hAnsi="Times New Roman" w:eastAsia="宋体" w:cs="Times New Roman"/>
                <w:color w:val="auto"/>
                <w:kern w:val="2"/>
                <w:sz w:val="24"/>
                <w:szCs w:val="22"/>
                <w:u w:val="none"/>
                <w:lang w:val="en-US" w:eastAsia="zh-CN" w:bidi="ar-SA"/>
              </w:rPr>
              <w:t>厂界四周均设绿化带，厂区绿化以花草树木为主，可有效降低恶臭气体及噪声对外环境的影响。</w:t>
            </w:r>
            <w:r>
              <w:rPr>
                <w:rFonts w:hint="eastAsia"/>
                <w:color w:val="auto"/>
                <w:sz w:val="24"/>
                <w:szCs w:val="24"/>
                <w:u w:val="none"/>
              </w:rPr>
              <w:t>项目所在区域地势</w:t>
            </w:r>
            <w:r>
              <w:rPr>
                <w:rFonts w:hint="eastAsia"/>
                <w:color w:val="auto"/>
                <w:sz w:val="24"/>
                <w:szCs w:val="24"/>
                <w:u w:val="none"/>
                <w:lang w:eastAsia="zh-CN"/>
              </w:rPr>
              <w:t>北</w:t>
            </w:r>
            <w:r>
              <w:rPr>
                <w:rFonts w:hint="eastAsia"/>
                <w:color w:val="auto"/>
                <w:sz w:val="24"/>
                <w:szCs w:val="24"/>
                <w:u w:val="none"/>
              </w:rPr>
              <w:t>高</w:t>
            </w:r>
            <w:r>
              <w:rPr>
                <w:rFonts w:hint="eastAsia"/>
                <w:color w:val="auto"/>
                <w:sz w:val="24"/>
                <w:szCs w:val="24"/>
                <w:u w:val="none"/>
                <w:lang w:eastAsia="zh-CN"/>
              </w:rPr>
              <w:t>南</w:t>
            </w:r>
            <w:r>
              <w:rPr>
                <w:rFonts w:hint="eastAsia"/>
                <w:color w:val="auto"/>
                <w:sz w:val="24"/>
                <w:szCs w:val="24"/>
                <w:u w:val="none"/>
              </w:rPr>
              <w:t>低，污水均可以自流入污水区，极大的节省了能源及人力。</w:t>
            </w:r>
            <w:r>
              <w:rPr>
                <w:rFonts w:hint="eastAsia"/>
                <w:color w:val="auto"/>
                <w:sz w:val="24"/>
                <w:szCs w:val="24"/>
                <w:u w:val="none"/>
                <w:lang w:eastAsia="zh-CN"/>
              </w:rPr>
              <w:t>排放池靠近纳污水体一侧布置，不需穿越建筑物，</w:t>
            </w:r>
            <w:r>
              <w:rPr>
                <w:rFonts w:hint="default" w:eastAsia="宋体"/>
                <w:color w:val="auto"/>
                <w:sz w:val="24"/>
                <w:szCs w:val="22"/>
                <w:highlight w:val="none"/>
                <w:u w:val="none"/>
                <w:lang w:val="en-US" w:eastAsia="zh-CN"/>
              </w:rPr>
              <w:t>污水经处理后可就近排入</w:t>
            </w:r>
            <w:r>
              <w:rPr>
                <w:rFonts w:hint="eastAsia"/>
                <w:color w:val="auto"/>
                <w:sz w:val="24"/>
                <w:szCs w:val="22"/>
                <w:highlight w:val="none"/>
                <w:u w:val="none"/>
                <w:lang w:val="en-US" w:eastAsia="zh-CN"/>
              </w:rPr>
              <w:t>邵水</w:t>
            </w:r>
            <w:r>
              <w:rPr>
                <w:rFonts w:hint="default" w:eastAsia="宋体"/>
                <w:color w:val="auto"/>
                <w:sz w:val="24"/>
                <w:szCs w:val="22"/>
                <w:highlight w:val="none"/>
                <w:u w:val="none"/>
                <w:lang w:val="en-US" w:eastAsia="zh-CN"/>
              </w:rPr>
              <w:t>，有利于排水。</w:t>
            </w:r>
            <w:r>
              <w:rPr>
                <w:rFonts w:hint="eastAsia" w:eastAsia="宋体"/>
                <w:color w:val="auto"/>
                <w:sz w:val="24"/>
                <w:szCs w:val="22"/>
                <w:highlight w:val="none"/>
                <w:u w:val="none"/>
                <w:lang w:val="en-US" w:eastAsia="zh-CN"/>
              </w:rPr>
              <w:t>因此，项目</w:t>
            </w:r>
            <w:r>
              <w:rPr>
                <w:rFonts w:hint="eastAsia"/>
                <w:color w:val="auto"/>
                <w:sz w:val="24"/>
                <w:u w:val="none"/>
              </w:rPr>
              <w:t>平面布局较合理。</w:t>
            </w:r>
          </w:p>
          <w:p>
            <w:pPr>
              <w:pStyle w:val="25"/>
              <w:keepNext w:val="0"/>
              <w:keepLines w:val="0"/>
              <w:pageBreakBefore w:val="0"/>
              <w:kinsoku/>
              <w:wordWrap/>
              <w:overflowPunct/>
              <w:topLinePunct w:val="0"/>
              <w:autoSpaceDE/>
              <w:autoSpaceDN/>
              <w:bidi w:val="0"/>
              <w:adjustRightInd w:val="0"/>
              <w:snapToGrid w:val="0"/>
              <w:spacing w:beforeLines="0"/>
              <w:ind w:firstLine="462" w:firstLineChars="200"/>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9.1.</w:t>
            </w:r>
            <w:r>
              <w:rPr>
                <w:rFonts w:hint="eastAsia" w:ascii="Times New Roman" w:hAnsi="Times New Roman" w:eastAsia="宋体" w:cs="Times New Roman"/>
                <w:b/>
                <w:color w:val="auto"/>
                <w:lang w:val="en-US" w:eastAsia="zh-CN"/>
              </w:rPr>
              <w:t>5</w:t>
            </w:r>
            <w:r>
              <w:rPr>
                <w:rFonts w:hint="default" w:ascii="Times New Roman" w:hAnsi="Times New Roman" w:eastAsia="宋体" w:cs="Times New Roman"/>
                <w:b/>
                <w:color w:val="auto"/>
              </w:rPr>
              <w:t xml:space="preserve"> 环境影响分析和环保措施结论</w:t>
            </w:r>
          </w:p>
          <w:p>
            <w:pPr>
              <w:keepNext w:val="0"/>
              <w:keepLines w:val="0"/>
              <w:pageBreakBefore w:val="0"/>
              <w:widowControl/>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（1）废气影响</w:t>
            </w:r>
          </w:p>
          <w:p>
            <w:pPr>
              <w:keepNext w:val="0"/>
              <w:keepLines w:val="0"/>
              <w:pageBreakBefore w:val="0"/>
              <w:widowControl/>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评价区域内氨气、硫化氢最大落地浓度均满足相应环境质量标准的要求，对环境影响很小</w:t>
            </w:r>
            <w:r>
              <w:rPr>
                <w:rFonts w:hint="default" w:ascii="Times New Roman" w:hAnsi="Times New Roman" w:eastAsia="宋体" w:cs="Times New Roman"/>
                <w:color w:val="auto"/>
                <w:sz w:val="24"/>
                <w:szCs w:val="24"/>
                <w:lang w:eastAsia="zh-CN"/>
              </w:rPr>
              <w:t>；项目设置的卫生防护距离范围内无敏感点。</w:t>
            </w:r>
          </w:p>
          <w:p>
            <w:pPr>
              <w:keepNext w:val="0"/>
              <w:keepLines w:val="0"/>
              <w:pageBreakBefore w:val="0"/>
              <w:widowControl/>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（2）地表水环境影响 </w:t>
            </w:r>
          </w:p>
          <w:p>
            <w:pPr>
              <w:keepNext w:val="0"/>
              <w:keepLines w:val="0"/>
              <w:pageBreakBefore w:val="0"/>
              <w:widowControl/>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项目枯水期正常排放时，COD、氨氮水质均可达到《地表水环境质量标准》 （GB3838-2002）Ⅲ类标准，总体而言，正常排放对</w:t>
            </w:r>
            <w:r>
              <w:rPr>
                <w:rFonts w:hint="default" w:ascii="Times New Roman" w:hAnsi="Times New Roman" w:eastAsia="宋体" w:cs="Times New Roman"/>
                <w:color w:val="auto"/>
                <w:sz w:val="24"/>
                <w:szCs w:val="24"/>
                <w:lang w:eastAsia="zh-CN"/>
              </w:rPr>
              <w:t>邵水河</w:t>
            </w:r>
            <w:r>
              <w:rPr>
                <w:rFonts w:hint="default" w:ascii="Times New Roman" w:hAnsi="Times New Roman" w:eastAsia="宋体" w:cs="Times New Roman"/>
                <w:color w:val="auto"/>
                <w:sz w:val="24"/>
                <w:szCs w:val="24"/>
              </w:rPr>
              <w:t>环境影响不大。</w:t>
            </w:r>
          </w:p>
          <w:p>
            <w:pPr>
              <w:keepNext w:val="0"/>
              <w:keepLines w:val="0"/>
              <w:pageBreakBefore w:val="0"/>
              <w:widowControl/>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（3）地下水环境影响 </w:t>
            </w:r>
          </w:p>
          <w:p>
            <w:pPr>
              <w:keepNext w:val="0"/>
              <w:keepLines w:val="0"/>
              <w:pageBreakBefore w:val="0"/>
              <w:widowControl/>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采用源头控制、分区防渗、地下水长期监测等措施，防止地下水发生污染，在项目运营过程中加强监控管理，定期维护，及时发现泄漏事故，并采取积极有效的应急措施。在采取以上措施后，建设项目对地下水环境影响较小。</w:t>
            </w:r>
          </w:p>
          <w:p>
            <w:pPr>
              <w:keepNext w:val="0"/>
              <w:keepLines w:val="0"/>
              <w:pageBreakBefore w:val="0"/>
              <w:widowControl/>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（4）噪声影响 </w:t>
            </w:r>
          </w:p>
          <w:p>
            <w:pPr>
              <w:keepNext w:val="0"/>
              <w:keepLines w:val="0"/>
              <w:pageBreakBefore w:val="0"/>
              <w:widowControl/>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工程完成后厂界噪声能完全满足《工业企业厂界环境噪声排放标准》（GB12348-2008）</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类（昼间</w:t>
            </w:r>
            <w:r>
              <w:rPr>
                <w:rFonts w:hint="default" w:ascii="Times New Roman" w:hAnsi="Times New Roman" w:eastAsia="宋体" w:cs="Times New Roman"/>
                <w:color w:val="auto"/>
                <w:sz w:val="24"/>
                <w:szCs w:val="24"/>
                <w:lang w:val="en-US" w:eastAsia="zh-CN"/>
              </w:rPr>
              <w:t>60</w:t>
            </w:r>
            <w:r>
              <w:rPr>
                <w:rFonts w:hint="default" w:ascii="Times New Roman" w:hAnsi="Times New Roman" w:eastAsia="宋体" w:cs="Times New Roman"/>
                <w:color w:val="auto"/>
                <w:sz w:val="24"/>
                <w:szCs w:val="24"/>
              </w:rPr>
              <w:t>dB（A）、夜间</w:t>
            </w:r>
            <w:r>
              <w:rPr>
                <w:rFonts w:hint="default" w:ascii="Times New Roman" w:hAnsi="Times New Roman" w:eastAsia="宋体" w:cs="Times New Roman"/>
                <w:color w:val="auto"/>
                <w:sz w:val="24"/>
                <w:szCs w:val="24"/>
                <w:lang w:val="en-US" w:eastAsia="zh-CN"/>
              </w:rPr>
              <w:t>50</w:t>
            </w:r>
            <w:r>
              <w:rPr>
                <w:rFonts w:hint="default" w:ascii="Times New Roman" w:hAnsi="Times New Roman" w:eastAsia="宋体" w:cs="Times New Roman"/>
                <w:color w:val="auto"/>
                <w:sz w:val="24"/>
                <w:szCs w:val="24"/>
              </w:rPr>
              <w:t xml:space="preserve">dB（A））标准，实际影响不会很大，经过距离衰减并设置绿化隔离带后，对周边影响较小。 </w:t>
            </w:r>
          </w:p>
          <w:p>
            <w:pPr>
              <w:keepNext w:val="0"/>
              <w:keepLines w:val="0"/>
              <w:pageBreakBefore w:val="0"/>
              <w:widowControl/>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（5）防护距离 </w:t>
            </w:r>
          </w:p>
          <w:p>
            <w:pPr>
              <w:keepNext w:val="0"/>
              <w:keepLines w:val="0"/>
              <w:pageBreakBefore w:val="0"/>
              <w:widowControl/>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由上述计算结果可知，本项目设置100m的卫生防护距离，该区域内没有规划居住用地。本环评要求项目建成后，防护距离范围内不得新建居民、学校和医院等环境敏感目标。</w:t>
            </w:r>
          </w:p>
          <w:p>
            <w:pPr>
              <w:keepNext w:val="0"/>
              <w:keepLines w:val="0"/>
              <w:pageBreakBefore w:val="0"/>
              <w:widowControl/>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（6）固体废物影响 </w:t>
            </w:r>
          </w:p>
          <w:p>
            <w:pPr>
              <w:keepNext w:val="0"/>
              <w:keepLines w:val="0"/>
              <w:pageBreakBefore w:val="0"/>
              <w:widowControl/>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污泥</w:t>
            </w:r>
            <w:r>
              <w:rPr>
                <w:rFonts w:hint="default" w:ascii="Times New Roman" w:hAnsi="Times New Roman" w:eastAsia="宋体" w:cs="Times New Roman"/>
                <w:color w:val="auto"/>
                <w:sz w:val="24"/>
                <w:szCs w:val="24"/>
                <w:lang w:eastAsia="zh-CN"/>
              </w:rPr>
              <w:t>干化后，含水率低于</w:t>
            </w:r>
            <w:r>
              <w:rPr>
                <w:rFonts w:hint="default" w:ascii="Times New Roman" w:hAnsi="Times New Roman" w:eastAsia="宋体" w:cs="Times New Roman"/>
                <w:color w:val="auto"/>
                <w:sz w:val="24"/>
                <w:szCs w:val="24"/>
                <w:lang w:val="en-US" w:eastAsia="zh-CN"/>
              </w:rPr>
              <w:t>7</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送邵阳市污泥处置中心处理；</w:t>
            </w:r>
            <w:r>
              <w:rPr>
                <w:rFonts w:hint="default" w:ascii="Times New Roman" w:hAnsi="Times New Roman" w:eastAsia="宋体" w:cs="Times New Roman"/>
                <w:color w:val="auto"/>
                <w:sz w:val="24"/>
                <w:szCs w:val="24"/>
              </w:rPr>
              <w:t>格栅渣与生活垃圾一同收集后交由环卫部门清运；废泥膜交由厂家回收；包装袋主要是塑料，后外售综合利用，对环境影响小。危险废物暂存于厂区危废间，达到一定量交有危废处理资质的单位处置，对周围环境影响较小。</w:t>
            </w:r>
          </w:p>
          <w:p>
            <w:pPr>
              <w:keepNext w:val="0"/>
              <w:keepLines w:val="0"/>
              <w:pageBreakBefore w:val="0"/>
              <w:widowControl/>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（7）生态环境影响 </w:t>
            </w:r>
          </w:p>
          <w:p>
            <w:pPr>
              <w:keepNext w:val="0"/>
              <w:keepLines w:val="0"/>
              <w:pageBreakBefore w:val="0"/>
              <w:widowControl/>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sz w:val="24"/>
                <w:szCs w:val="24"/>
              </w:rPr>
              <w:t>本项目用地范围内无珍稀濒危及保护动植物，无基本农田，对陆生、水生生态系统的影响较小，同时，随着工程的建设完成后，厂区绿化工程有利于重新建立起有序的陆地生态系统，改善建设区域的生态环境。</w:t>
            </w:r>
          </w:p>
          <w:p>
            <w:pPr>
              <w:keepNext w:val="0"/>
              <w:keepLines w:val="0"/>
              <w:pageBreakBefore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bCs/>
                <w:color w:val="auto"/>
                <w:kern w:val="24"/>
                <w:sz w:val="24"/>
              </w:rPr>
              <w:t>9.1.</w:t>
            </w:r>
            <w:r>
              <w:rPr>
                <w:rFonts w:hint="eastAsia" w:ascii="Times New Roman" w:hAnsi="Times New Roman" w:eastAsia="宋体" w:cs="Times New Roman"/>
                <w:b/>
                <w:bCs/>
                <w:color w:val="auto"/>
                <w:kern w:val="24"/>
                <w:sz w:val="24"/>
                <w:lang w:val="en-US" w:eastAsia="zh-CN"/>
              </w:rPr>
              <w:t>6</w:t>
            </w:r>
            <w:r>
              <w:rPr>
                <w:rFonts w:hint="default" w:ascii="Times New Roman" w:hAnsi="Times New Roman" w:eastAsia="宋体" w:cs="Times New Roman"/>
                <w:b/>
                <w:bCs/>
                <w:color w:val="auto"/>
                <w:kern w:val="24"/>
                <w:sz w:val="24"/>
              </w:rPr>
              <w:t xml:space="preserve"> 环评总</w:t>
            </w:r>
            <w:r>
              <w:rPr>
                <w:rFonts w:hint="default" w:ascii="Times New Roman" w:hAnsi="Times New Roman" w:eastAsia="宋体" w:cs="Times New Roman"/>
                <w:b/>
                <w:color w:val="auto"/>
                <w:sz w:val="24"/>
              </w:rPr>
              <w:t>结论</w:t>
            </w:r>
          </w:p>
          <w:p>
            <w:pPr>
              <w:keepNext w:val="0"/>
              <w:keepLines w:val="0"/>
              <w:pageBreakBefore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综上所述，本项目符合国家产业政策和环保政策，选址可行，平面布局基本合理，所在地环境质量现状基本满足环境功能要求；拟采用的各项污染治理防治措施经济合理、技术可行，本项目产生的各类污染物均能实现达标排放，对环境影响小；同时本项目将</w:t>
            </w:r>
            <w:r>
              <w:rPr>
                <w:rFonts w:hint="default" w:ascii="Times New Roman" w:hAnsi="Times New Roman" w:eastAsia="宋体" w:cs="Times New Roman"/>
                <w:color w:val="auto"/>
                <w:sz w:val="24"/>
                <w:szCs w:val="24"/>
              </w:rPr>
              <w:t>服务范围内生活污水将由溢流或散排到有序的治理，使水体中受纳的污染物总量大大降低，起到改善</w:t>
            </w:r>
            <w:r>
              <w:rPr>
                <w:rFonts w:hint="default" w:ascii="Times New Roman" w:hAnsi="Times New Roman" w:eastAsia="宋体" w:cs="Times New Roman"/>
                <w:color w:val="auto"/>
                <w:sz w:val="24"/>
                <w:szCs w:val="24"/>
                <w:lang w:eastAsia="zh-CN"/>
              </w:rPr>
              <w:t>邵水河</w:t>
            </w:r>
            <w:r>
              <w:rPr>
                <w:rFonts w:hint="default" w:ascii="Times New Roman" w:hAnsi="Times New Roman" w:eastAsia="宋体" w:cs="Times New Roman"/>
                <w:color w:val="auto"/>
                <w:sz w:val="24"/>
                <w:szCs w:val="24"/>
              </w:rPr>
              <w:t>水质的作用。因此，</w:t>
            </w:r>
            <w:r>
              <w:rPr>
                <w:rFonts w:hint="default" w:ascii="Times New Roman" w:hAnsi="Times New Roman" w:eastAsia="宋体" w:cs="Times New Roman"/>
                <w:color w:val="auto"/>
                <w:sz w:val="24"/>
              </w:rPr>
              <w:t>本项目从环保角度分析，建设可行。</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bCs/>
                <w:color w:val="auto"/>
                <w:kern w:val="24"/>
                <w:sz w:val="28"/>
                <w:szCs w:val="28"/>
              </w:rPr>
            </w:pPr>
            <w:r>
              <w:rPr>
                <w:rFonts w:hint="default" w:ascii="Times New Roman" w:hAnsi="Times New Roman" w:eastAsia="宋体" w:cs="Times New Roman"/>
                <w:b/>
                <w:bCs/>
                <w:color w:val="auto"/>
                <w:kern w:val="24"/>
                <w:sz w:val="28"/>
                <w:szCs w:val="28"/>
              </w:rPr>
              <w:t>9.2建议</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szCs w:val="22"/>
              </w:rPr>
              <w:t>（1）合理安排施工时间，减轻施工噪声和扬尘对周围环境影响。</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szCs w:val="22"/>
              </w:rPr>
              <w:t>（2）加强项目施工及营运的现场管理，做好环境监测，把环境污染控制在国家标准范围之内。</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szCs w:val="22"/>
              </w:rPr>
              <w:t>（3）加强环保设施的维护保养，确保污水处理设施正常运行。</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szCs w:val="22"/>
              </w:rPr>
              <w:t>（4）本项目环保设施和措施必须与主体工程同时设计、同时施工、同时投产使用，环保设施和措施经验收合格后，主体工程方能投入运行。</w:t>
            </w:r>
          </w:p>
          <w:p>
            <w:pPr>
              <w:snapToGrid w:val="0"/>
              <w:spacing w:line="360" w:lineRule="auto"/>
              <w:ind w:firstLine="462" w:firstLineChars="200"/>
              <w:rPr>
                <w:color w:val="auto"/>
                <w:kern w:val="2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390" w:type="dxa"/>
          <w:trHeight w:val="6480" w:hRule="atLeast"/>
          <w:jc w:val="center"/>
        </w:trPr>
        <w:tc>
          <w:tcPr>
            <w:tcW w:w="8989" w:type="dxa"/>
            <w:gridSpan w:val="2"/>
            <w:tcBorders>
              <w:tl2br w:val="nil"/>
              <w:tr2bl w:val="nil"/>
            </w:tcBorders>
            <w:noWrap w:val="0"/>
            <w:vAlign w:val="top"/>
          </w:tcPr>
          <w:p>
            <w:pPr>
              <w:rPr>
                <w:b/>
                <w:bCs/>
                <w:color w:val="000000"/>
                <w:sz w:val="28"/>
              </w:rPr>
            </w:pPr>
            <w:r>
              <w:rPr>
                <w:rFonts w:hAnsi="宋体"/>
                <w:b/>
                <w:bCs/>
                <w:color w:val="000000"/>
                <w:sz w:val="28"/>
              </w:rPr>
              <w:t>预审意见：</w:t>
            </w: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ind w:firstLine="2439" w:firstLineChars="900"/>
              <w:rPr>
                <w:b/>
                <w:bCs/>
                <w:color w:val="000000"/>
                <w:sz w:val="28"/>
              </w:rPr>
            </w:pPr>
            <w:r>
              <w:rPr>
                <w:b/>
                <w:bCs/>
                <w:color w:val="000000"/>
                <w:sz w:val="28"/>
              </w:rPr>
              <w:t xml:space="preserve">                               </w:t>
            </w:r>
            <w:r>
              <w:rPr>
                <w:rFonts w:hAnsi="宋体"/>
                <w:b/>
                <w:bCs/>
                <w:color w:val="000000"/>
                <w:sz w:val="28"/>
              </w:rPr>
              <w:t>公</w:t>
            </w:r>
            <w:r>
              <w:rPr>
                <w:b/>
                <w:bCs/>
                <w:color w:val="000000"/>
                <w:sz w:val="28"/>
              </w:rPr>
              <w:t xml:space="preserve"> </w:t>
            </w:r>
            <w:r>
              <w:rPr>
                <w:rFonts w:hAnsi="宋体"/>
                <w:b/>
                <w:bCs/>
                <w:color w:val="000000"/>
                <w:sz w:val="28"/>
              </w:rPr>
              <w:t>章</w:t>
            </w:r>
          </w:p>
          <w:p>
            <w:pPr>
              <w:rPr>
                <w:b/>
                <w:bCs/>
                <w:color w:val="000000"/>
                <w:sz w:val="28"/>
              </w:rPr>
            </w:pPr>
            <w:r>
              <w:rPr>
                <w:rFonts w:hAnsi="宋体"/>
                <w:b/>
                <w:bCs/>
                <w:color w:val="000000"/>
                <w:sz w:val="28"/>
              </w:rPr>
              <w:t>经办人：</w:t>
            </w:r>
            <w:r>
              <w:rPr>
                <w:b/>
                <w:bCs/>
                <w:color w:val="000000"/>
                <w:sz w:val="28"/>
              </w:rPr>
              <w:t xml:space="preserve">                                   </w:t>
            </w:r>
            <w:r>
              <w:rPr>
                <w:rFonts w:hAnsi="宋体"/>
                <w:b/>
                <w:bCs/>
                <w:color w:val="000000"/>
                <w:sz w:val="28"/>
              </w:rPr>
              <w:t>年</w:t>
            </w:r>
            <w:r>
              <w:rPr>
                <w:b/>
                <w:bCs/>
                <w:color w:val="000000"/>
                <w:sz w:val="28"/>
              </w:rPr>
              <w:t xml:space="preserve">    </w:t>
            </w:r>
            <w:r>
              <w:rPr>
                <w:rFonts w:hAnsi="宋体"/>
                <w:b/>
                <w:bCs/>
                <w:color w:val="000000"/>
                <w:sz w:val="28"/>
              </w:rPr>
              <w:t>月</w:t>
            </w:r>
            <w:r>
              <w:rPr>
                <w:b/>
                <w:bCs/>
                <w:color w:val="000000"/>
                <w:sz w:val="28"/>
              </w:rPr>
              <w:t xml:space="preserve">    </w:t>
            </w:r>
            <w:r>
              <w:rPr>
                <w:rFonts w:hAnsi="宋体"/>
                <w:b/>
                <w:bCs/>
                <w:color w:val="000000"/>
                <w:sz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390" w:type="dxa"/>
          <w:trHeight w:val="7202" w:hRule="atLeast"/>
          <w:jc w:val="center"/>
        </w:trPr>
        <w:tc>
          <w:tcPr>
            <w:tcW w:w="8989" w:type="dxa"/>
            <w:gridSpan w:val="2"/>
            <w:tcBorders>
              <w:tl2br w:val="nil"/>
              <w:tr2bl w:val="nil"/>
            </w:tcBorders>
            <w:noWrap w:val="0"/>
            <w:vAlign w:val="top"/>
          </w:tcPr>
          <w:p>
            <w:pPr>
              <w:rPr>
                <w:b/>
                <w:bCs/>
                <w:color w:val="000000"/>
                <w:sz w:val="28"/>
              </w:rPr>
            </w:pPr>
            <w:r>
              <w:rPr>
                <w:rFonts w:hAnsi="宋体"/>
                <w:b/>
                <w:bCs/>
                <w:color w:val="000000"/>
                <w:sz w:val="28"/>
              </w:rPr>
              <w:t>下一级环境保护行政主管部门审查意见：</w:t>
            </w: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pStyle w:val="2"/>
              <w:rPr>
                <w:b/>
                <w:bCs/>
                <w:color w:val="000000"/>
                <w:sz w:val="28"/>
              </w:rPr>
            </w:pPr>
          </w:p>
          <w:p>
            <w:pPr>
              <w:rPr>
                <w:b/>
                <w:bCs/>
                <w:color w:val="000000"/>
                <w:sz w:val="28"/>
              </w:rPr>
            </w:pPr>
          </w:p>
          <w:p>
            <w:pPr>
              <w:ind w:firstLine="2439" w:firstLineChars="900"/>
              <w:rPr>
                <w:b/>
                <w:bCs/>
                <w:color w:val="000000"/>
                <w:sz w:val="28"/>
              </w:rPr>
            </w:pPr>
            <w:r>
              <w:rPr>
                <w:b/>
                <w:bCs/>
                <w:color w:val="000000"/>
                <w:sz w:val="28"/>
              </w:rPr>
              <w:t xml:space="preserve">                               </w:t>
            </w:r>
            <w:r>
              <w:rPr>
                <w:rFonts w:hAnsi="宋体"/>
                <w:b/>
                <w:bCs/>
                <w:color w:val="000000"/>
                <w:sz w:val="28"/>
              </w:rPr>
              <w:t>公</w:t>
            </w:r>
            <w:r>
              <w:rPr>
                <w:b/>
                <w:bCs/>
                <w:color w:val="000000"/>
                <w:sz w:val="28"/>
              </w:rPr>
              <w:t xml:space="preserve"> </w:t>
            </w:r>
            <w:r>
              <w:rPr>
                <w:rFonts w:hAnsi="宋体"/>
                <w:b/>
                <w:bCs/>
                <w:color w:val="000000"/>
                <w:sz w:val="28"/>
              </w:rPr>
              <w:t>章</w:t>
            </w:r>
          </w:p>
          <w:p>
            <w:pPr>
              <w:ind w:firstLine="2439" w:firstLineChars="900"/>
              <w:rPr>
                <w:b/>
                <w:bCs/>
                <w:color w:val="000000"/>
                <w:sz w:val="28"/>
              </w:rPr>
            </w:pPr>
          </w:p>
          <w:p>
            <w:pPr>
              <w:rPr>
                <w:b/>
                <w:bCs/>
                <w:color w:val="000000"/>
                <w:sz w:val="28"/>
              </w:rPr>
            </w:pPr>
            <w:r>
              <w:rPr>
                <w:rFonts w:hAnsi="宋体"/>
                <w:b/>
                <w:bCs/>
                <w:color w:val="000000"/>
                <w:sz w:val="28"/>
              </w:rPr>
              <w:t>经办人：</w:t>
            </w:r>
            <w:r>
              <w:rPr>
                <w:b/>
                <w:bCs/>
                <w:color w:val="000000"/>
                <w:sz w:val="28"/>
              </w:rPr>
              <w:t xml:space="preserve">                                   </w:t>
            </w:r>
            <w:r>
              <w:rPr>
                <w:rFonts w:hAnsi="宋体"/>
                <w:b/>
                <w:bCs/>
                <w:color w:val="000000"/>
                <w:sz w:val="28"/>
              </w:rPr>
              <w:t>年</w:t>
            </w:r>
            <w:r>
              <w:rPr>
                <w:b/>
                <w:bCs/>
                <w:color w:val="000000"/>
                <w:sz w:val="28"/>
              </w:rPr>
              <w:t xml:space="preserve">    </w:t>
            </w:r>
            <w:r>
              <w:rPr>
                <w:rFonts w:hAnsi="宋体"/>
                <w:b/>
                <w:bCs/>
                <w:color w:val="000000"/>
                <w:sz w:val="28"/>
              </w:rPr>
              <w:t>月</w:t>
            </w:r>
            <w:r>
              <w:rPr>
                <w:b/>
                <w:bCs/>
                <w:color w:val="000000"/>
                <w:sz w:val="28"/>
              </w:rPr>
              <w:t xml:space="preserve">    </w:t>
            </w:r>
            <w:r>
              <w:rPr>
                <w:rFonts w:hAnsi="宋体"/>
                <w:b/>
                <w:bCs/>
                <w:color w:val="000000"/>
                <w:sz w:val="28"/>
              </w:rPr>
              <w:t>日</w:t>
            </w:r>
          </w:p>
        </w:tc>
      </w:tr>
    </w:tbl>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sz w:val="32"/>
        </w:rPr>
      </w:pPr>
    </w:p>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default" w:ascii="Times New Roman" w:hAnsi="Times New Roman" w:cs="Times New Roman"/>
          <w:sz w:val="32"/>
        </w:rPr>
      </w:pPr>
      <w:r>
        <w:rPr>
          <w:rFonts w:hint="default" w:ascii="Times New Roman" w:hAnsi="Times New Roman" w:cs="Times New Roman"/>
          <w:sz w:val="32"/>
        </w:rPr>
        <w:t xml:space="preserve"> 注          释</w:t>
      </w:r>
    </w:p>
    <w:p>
      <w:pPr>
        <w:keepNext w:val="0"/>
        <w:keepLines w:val="0"/>
        <w:pageBreakBefore w:val="0"/>
        <w:kinsoku/>
        <w:wordWrap/>
        <w:overflowPunct/>
        <w:topLinePunct w:val="0"/>
        <w:autoSpaceDE/>
        <w:autoSpaceDN/>
        <w:bidi w:val="0"/>
        <w:adjustRightInd w:val="0"/>
        <w:snapToGrid w:val="0"/>
        <w:spacing w:line="460" w:lineRule="exact"/>
        <w:ind w:firstLine="402" w:firstLineChars="200"/>
        <w:textAlignment w:val="auto"/>
        <w:rPr>
          <w:rFonts w:hint="default" w:ascii="Times New Roman" w:hAnsi="Times New Roman" w:cs="Times New Roman"/>
          <w:sz w:val="24"/>
        </w:rPr>
      </w:pPr>
      <w:bookmarkStart w:id="19" w:name="_Toc449339438"/>
      <w:r>
        <w:rPr>
          <w:rFonts w:hint="default" w:ascii="Times New Roman" w:hAnsi="Times New Roman" w:cs="Times New Roman"/>
        </w:rPr>
        <w:t>一</w:t>
      </w:r>
      <w:r>
        <w:rPr>
          <w:rFonts w:hint="default" w:ascii="Times New Roman" w:hAnsi="Times New Roman" w:cs="Times New Roman"/>
          <w:sz w:val="24"/>
        </w:rPr>
        <w:t>、本报告表附以下附件、附图：</w:t>
      </w:r>
    </w:p>
    <w:p>
      <w:pPr>
        <w:keepNext w:val="0"/>
        <w:keepLines w:val="0"/>
        <w:pageBreakBefore w:val="0"/>
        <w:widowControl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附件1</w:t>
      </w:r>
      <w:r>
        <w:rPr>
          <w:rFonts w:hint="eastAsia" w:ascii="Times New Roman" w:hAnsi="Times New Roman" w:cs="Times New Roman"/>
          <w:sz w:val="24"/>
          <w:szCs w:val="22"/>
          <w:lang w:val="en-US" w:eastAsia="zh-CN"/>
        </w:rPr>
        <w:t xml:space="preserve">  </w:t>
      </w:r>
      <w:r>
        <w:rPr>
          <w:rFonts w:hint="default" w:ascii="Times New Roman" w:hAnsi="Times New Roman" w:cs="Times New Roman"/>
          <w:sz w:val="24"/>
          <w:szCs w:val="22"/>
          <w:lang w:val="en-US" w:eastAsia="zh-CN"/>
        </w:rPr>
        <w:t>环评委托书</w:t>
      </w:r>
    </w:p>
    <w:p>
      <w:pPr>
        <w:keepNext w:val="0"/>
        <w:keepLines w:val="0"/>
        <w:pageBreakBefore w:val="0"/>
        <w:widowControl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附件2</w:t>
      </w:r>
      <w:r>
        <w:rPr>
          <w:rFonts w:hint="eastAsia" w:ascii="Times New Roman" w:hAnsi="Times New Roman" w:cs="Times New Roman"/>
          <w:sz w:val="24"/>
          <w:szCs w:val="22"/>
          <w:lang w:val="en-US" w:eastAsia="zh-CN"/>
        </w:rPr>
        <w:t xml:space="preserve">  </w:t>
      </w:r>
      <w:r>
        <w:rPr>
          <w:rFonts w:hint="default" w:ascii="Times New Roman" w:hAnsi="Times New Roman" w:cs="Times New Roman"/>
          <w:sz w:val="24"/>
          <w:szCs w:val="22"/>
          <w:lang w:val="en-US" w:eastAsia="zh-CN"/>
        </w:rPr>
        <w:t>建设单位统一社会信用代码证书</w:t>
      </w:r>
    </w:p>
    <w:p>
      <w:pPr>
        <w:keepNext w:val="0"/>
        <w:keepLines w:val="0"/>
        <w:pageBreakBefore w:val="0"/>
        <w:widowControl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附件3</w:t>
      </w:r>
      <w:r>
        <w:rPr>
          <w:rFonts w:hint="eastAsia" w:ascii="Times New Roman" w:hAnsi="Times New Roman" w:cs="Times New Roman"/>
          <w:sz w:val="24"/>
          <w:szCs w:val="22"/>
          <w:lang w:val="en-US" w:eastAsia="zh-CN"/>
        </w:rPr>
        <w:t xml:space="preserve">  </w:t>
      </w:r>
      <w:r>
        <w:rPr>
          <w:rFonts w:hint="default" w:ascii="Times New Roman" w:hAnsi="Times New Roman" w:cs="Times New Roman"/>
          <w:sz w:val="24"/>
          <w:szCs w:val="22"/>
          <w:lang w:val="en-US" w:eastAsia="zh-CN"/>
        </w:rPr>
        <w:t>湘建村[2019]230号文件部分摘录</w:t>
      </w:r>
    </w:p>
    <w:p>
      <w:pPr>
        <w:keepNext w:val="0"/>
        <w:keepLines w:val="0"/>
        <w:pageBreakBefore w:val="0"/>
        <w:widowControl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附件4</w:t>
      </w:r>
      <w:r>
        <w:rPr>
          <w:rFonts w:hint="eastAsia" w:ascii="Times New Roman" w:hAnsi="Times New Roman" w:cs="Times New Roman"/>
          <w:sz w:val="24"/>
          <w:szCs w:val="22"/>
          <w:lang w:val="en-US" w:eastAsia="zh-CN"/>
        </w:rPr>
        <w:t xml:space="preserve">  </w:t>
      </w:r>
      <w:r>
        <w:rPr>
          <w:rFonts w:hint="default" w:ascii="Times New Roman" w:hAnsi="Times New Roman" w:cs="Times New Roman"/>
          <w:sz w:val="24"/>
          <w:szCs w:val="22"/>
          <w:lang w:val="en-US" w:eastAsia="zh-CN"/>
        </w:rPr>
        <w:t>技术评审意见</w:t>
      </w:r>
    </w:p>
    <w:p>
      <w:pPr>
        <w:keepNext w:val="0"/>
        <w:keepLines w:val="0"/>
        <w:pageBreakBefore w:val="0"/>
        <w:widowControl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附件5</w:t>
      </w:r>
      <w:r>
        <w:rPr>
          <w:rFonts w:hint="eastAsia" w:ascii="Times New Roman" w:hAnsi="Times New Roman" w:cs="Times New Roman"/>
          <w:sz w:val="24"/>
          <w:szCs w:val="22"/>
          <w:lang w:val="en-US" w:eastAsia="zh-CN"/>
        </w:rPr>
        <w:t xml:space="preserve">  </w:t>
      </w:r>
      <w:r>
        <w:rPr>
          <w:rFonts w:hint="default" w:ascii="Times New Roman" w:hAnsi="Times New Roman" w:cs="Times New Roman"/>
          <w:sz w:val="24"/>
          <w:szCs w:val="22"/>
          <w:lang w:val="en-US" w:eastAsia="zh-CN"/>
        </w:rPr>
        <w:t>专家签名单</w:t>
      </w:r>
    </w:p>
    <w:p>
      <w:pPr>
        <w:keepNext w:val="0"/>
        <w:keepLines w:val="0"/>
        <w:pageBreakBefore w:val="0"/>
        <w:kinsoku/>
        <w:wordWrap/>
        <w:overflowPunct/>
        <w:topLinePunct w:val="0"/>
        <w:autoSpaceDE/>
        <w:autoSpaceDN/>
        <w:bidi w:val="0"/>
        <w:adjustRightInd w:val="0"/>
        <w:snapToGrid w:val="0"/>
        <w:spacing w:line="460" w:lineRule="exact"/>
        <w:textAlignment w:val="auto"/>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sz w:val="24"/>
          <w:szCs w:val="22"/>
          <w:lang w:val="en-US" w:eastAsia="zh-CN"/>
        </w:rPr>
      </w:pPr>
      <w:r>
        <w:rPr>
          <w:sz w:val="24"/>
          <w:szCs w:val="24"/>
        </w:rPr>
        <w:t>附</w:t>
      </w:r>
      <w:r>
        <w:rPr>
          <w:rFonts w:hint="default" w:ascii="Times New Roman" w:hAnsi="Times New Roman" w:cs="Times New Roman"/>
          <w:sz w:val="24"/>
          <w:szCs w:val="22"/>
          <w:lang w:val="en-US" w:eastAsia="zh-CN"/>
        </w:rPr>
        <w:t>图1</w:t>
      </w:r>
      <w:r>
        <w:rPr>
          <w:rFonts w:hint="eastAsia" w:ascii="Times New Roman" w:hAnsi="Times New Roman" w:cs="Times New Roman"/>
          <w:sz w:val="24"/>
          <w:szCs w:val="22"/>
          <w:lang w:val="en-US" w:eastAsia="zh-CN"/>
        </w:rPr>
        <w:t xml:space="preserve">  项目</w:t>
      </w:r>
      <w:r>
        <w:rPr>
          <w:rFonts w:hint="default" w:ascii="Times New Roman" w:hAnsi="Times New Roman" w:cs="Times New Roman"/>
          <w:sz w:val="24"/>
          <w:szCs w:val="22"/>
          <w:lang w:val="en-US" w:eastAsia="zh-CN"/>
        </w:rPr>
        <w:t>地理位置图</w:t>
      </w:r>
    </w:p>
    <w:p>
      <w:pPr>
        <w:keepNext w:val="0"/>
        <w:keepLines w:val="0"/>
        <w:pageBreakBefore w:val="0"/>
        <w:widowControl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附图2</w:t>
      </w:r>
      <w:r>
        <w:rPr>
          <w:rFonts w:hint="eastAsia" w:ascii="Times New Roman" w:hAnsi="Times New Roman" w:cs="Times New Roman"/>
          <w:sz w:val="24"/>
          <w:szCs w:val="22"/>
          <w:lang w:val="en-US" w:eastAsia="zh-CN"/>
        </w:rPr>
        <w:t xml:space="preserve">  总平面布置图</w:t>
      </w:r>
    </w:p>
    <w:p>
      <w:pPr>
        <w:keepNext w:val="0"/>
        <w:keepLines w:val="0"/>
        <w:pageBreakBefore w:val="0"/>
        <w:widowControl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附图3</w:t>
      </w:r>
      <w:r>
        <w:rPr>
          <w:rFonts w:hint="eastAsia" w:ascii="Times New Roman" w:hAnsi="Times New Roman" w:cs="Times New Roman"/>
          <w:sz w:val="24"/>
          <w:szCs w:val="22"/>
          <w:lang w:val="en-US" w:eastAsia="zh-CN"/>
        </w:rPr>
        <w:t xml:space="preserve">  环境保护目标分布示意图</w:t>
      </w:r>
    </w:p>
    <w:p>
      <w:pPr>
        <w:keepNext w:val="0"/>
        <w:keepLines w:val="0"/>
        <w:pageBreakBefore w:val="0"/>
        <w:widowControl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附图4  环境现状监测布点图</w:t>
      </w:r>
    </w:p>
    <w:p>
      <w:pPr>
        <w:keepNext w:val="0"/>
        <w:keepLines w:val="0"/>
        <w:pageBreakBefore w:val="0"/>
        <w:widowControl w:val="0"/>
        <w:kinsoku/>
        <w:wordWrap/>
        <w:overflowPunct/>
        <w:topLinePunct w:val="0"/>
        <w:autoSpaceDE/>
        <w:autoSpaceDN/>
        <w:bidi w:val="0"/>
        <w:adjustRightInd w:val="0"/>
        <w:snapToGrid w:val="0"/>
        <w:spacing w:line="460" w:lineRule="exact"/>
        <w:ind w:firstLine="462" w:firstLineChars="200"/>
        <w:textAlignment w:val="auto"/>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附图5  卫生防护距离包络图</w:t>
      </w:r>
    </w:p>
    <w:p>
      <w:pPr>
        <w:keepNext w:val="0"/>
        <w:keepLines w:val="0"/>
        <w:pageBreakBefore w:val="0"/>
        <w:widowControl w:val="0"/>
        <w:kinsoku/>
        <w:wordWrap/>
        <w:overflowPunct/>
        <w:topLinePunct w:val="0"/>
        <w:autoSpaceDE/>
        <w:autoSpaceDN/>
        <w:bidi w:val="0"/>
        <w:adjustRightInd w:val="0"/>
        <w:snapToGrid w:val="0"/>
        <w:spacing w:line="460" w:lineRule="exact"/>
        <w:ind w:firstLine="462" w:firstLineChars="200"/>
        <w:textAlignment w:val="auto"/>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附图6  项目污水厂服务范围图</w:t>
      </w:r>
    </w:p>
    <w:p>
      <w:pPr>
        <w:keepNext w:val="0"/>
        <w:keepLines w:val="0"/>
        <w:pageBreakBefore w:val="0"/>
        <w:widowControl w:val="0"/>
        <w:kinsoku/>
        <w:wordWrap/>
        <w:overflowPunct/>
        <w:topLinePunct w:val="0"/>
        <w:autoSpaceDE/>
        <w:autoSpaceDN/>
        <w:bidi w:val="0"/>
        <w:adjustRightInd w:val="0"/>
        <w:snapToGrid w:val="0"/>
        <w:spacing w:line="460" w:lineRule="exact"/>
        <w:ind w:firstLine="462" w:firstLineChars="200"/>
        <w:textAlignment w:val="auto"/>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附图7</w:t>
      </w:r>
      <w:r>
        <w:rPr>
          <w:rFonts w:hint="eastAsia" w:ascii="Times New Roman" w:hAnsi="Times New Roman" w:cs="Times New Roman"/>
          <w:sz w:val="24"/>
          <w:szCs w:val="22"/>
          <w:lang w:val="en-US" w:eastAsia="zh-CN"/>
        </w:rPr>
        <w:pict>
          <v:shape id="_x0000_s2392" o:spid="_x0000_s2392" o:spt="202" type="#_x0000_t202" style="position:absolute;left:0pt;margin-left:591.45pt;margin-top:7pt;height:79.75pt;width:84.65pt;z-index:247820288;mso-width-relative:page;mso-height-relative:page;" filled="f" stroked="f" coordsize="21600,21600" o:gfxdata="UEsDBAoAAAAAAIdO4kAAAAAAAAAAAAAAAAAEAAAAZHJzL1BLAwQUAAAACACHTuJAAEJ/S9sAAAAM&#10;AQAADwAAAGRycy9kb3ducmV2LnhtbE2PS0/DMBCE70j8B2uRuFEnLoE0jVOhSBUSgkNLL9w2sZtE&#10;+BFi9wG/nu0JbjPaT7Mz5epsDTvqKQzeSUhnCTDtWq8G10nYva/vcmAholNovNMSvnWAVXV9VWKh&#10;/Mlt9HEbO0YhLhQooY9xLDgPba8thpkftaPb3k8WI9mp42rCE4Vbw0WSPHCLg6MPPY667nX7uT1Y&#10;CS/1+g03jbD5j6mfX/dP49fuI5Py9iZNlsCiPsc/GC71qTpU1KnxB6cCM+TTXCyIJXVPoy7EPBMC&#10;WEPqcZ4Br0r+f0T1C1BLAwQUAAAACACHTuJAx6hj0CECAAAbBAAADgAAAGRycy9lMm9Eb2MueG1s&#10;rVPBjtMwEL0j8Q+W7zRpaXZL1XRVdlWEtGJXKoiz69hNJNtjbLdJ+QD4A05cuPNd/Q7GTtutgBPi&#10;4oxnJjN+b97MbjqtyE4434Ap6XCQUyIMh6oxm5J+eL98MaHEB2YqpsCIku6Fpzfz589mrZ2KEdSg&#10;KuEIFjF+2tqS1iHYaZZ5XgvN/ACsMBiU4DQLeHWbrHKsxepaZaM8v8pacJV1wIX36L3rg3Se6ksp&#10;eHiQ0otAVEnxbSGdLp3reGbzGZtuHLN1w4/PYP/wCs0ag03Ppe5YYGTrmj9K6YY78CDDgIPOQMqG&#10;i4QB0Qzz39CsamZFwoLkeHumyf+/svzd7tGRpirpZEyJYRpndPj29fD95+HHF4I+JKi1fop5K4uZ&#10;oXsNHQ765PfojLg76XT8IiKCcaR6f6ZXdIHw+FN+XeRFQQnH2DAfjiajItbJnn63zoc3AjSJRkkd&#10;zi/Rynb3PvSpp5TYzcCyUSrNUBnSlvTqZZGnH84RLK4M9ogg+sdGK3Tr7ohsDdUegTnoteEtXzbY&#10;/J758MgcigGxoMDDAx5SATaBo0VJDe7z3/wxH2eEUUpaFFdJ/actc4IS9dbg9F4Nx+OoxnQZF9cj&#10;vLjLyPoyYrb6FlC/Q1wly5MZ84M6mdKB/oh7sIhdMcQMx94lDSfzNvSSxz3iYrFISag/y8K9WVke&#10;S/d0LrYBZJOYjjT13BzZQwWmWR23JUr88p6ynnZ6/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A&#10;Qn9L2wAAAAwBAAAPAAAAAAAAAAEAIAAAACIAAABkcnMvZG93bnJldi54bWxQSwECFAAUAAAACACH&#10;TuJAx6hj0CECAAAbBAAADgAAAAAAAAABACAAAAAqAQAAZHJzL2Uyb0RvYy54bWxQSwUGAAAAAAYA&#10;BgBZAQAAvQUAAAAA&#10;">
            <v:path/>
            <v:fill on="f" focussize="0,0"/>
            <v:stroke on="f" weight="0.5pt"/>
            <v:imagedata o:title=""/>
            <o:lock v:ext="edit" aspectratio="f"/>
            <v:textbox>
              <w:txbxContent>
                <w:p>
                  <w:r>
                    <w:rPr>
                      <w:lang w:val="zh-CN"/>
                    </w:rPr>
                    <w:drawing>
                      <wp:inline distT="0" distB="0" distL="0" distR="0">
                        <wp:extent cx="839470" cy="847725"/>
                        <wp:effectExtent l="0" t="0" r="17780" b="9525"/>
                        <wp:docPr id="3" name="图片 3" descr="C:\Users\Administrator\AppData\Local\Temp\ksohtml792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Temp\ksohtml7928\wps1.jpg"/>
                                <pic:cNvPicPr>
                                  <a:picLocks noChangeAspect="1" noChangeArrowheads="1"/>
                                </pic:cNvPicPr>
                              </pic:nvPicPr>
                              <pic:blipFill>
                                <a:blip r:embed="rId10"/>
                                <a:srcRect/>
                                <a:stretch>
                                  <a:fillRect/>
                                </a:stretch>
                              </pic:blipFill>
                              <pic:spPr>
                                <a:xfrm>
                                  <a:off x="0" y="0"/>
                                  <a:ext cx="839470" cy="847725"/>
                                </a:xfrm>
                                <a:prstGeom prst="rect">
                                  <a:avLst/>
                                </a:prstGeom>
                                <a:noFill/>
                                <a:ln w="9525">
                                  <a:noFill/>
                                  <a:miter lim="800000"/>
                                  <a:headEnd/>
                                  <a:tailEnd/>
                                </a:ln>
                              </pic:spPr>
                            </pic:pic>
                          </a:graphicData>
                        </a:graphic>
                      </wp:inline>
                    </w:drawing>
                  </w:r>
                </w:p>
              </w:txbxContent>
            </v:textbox>
          </v:shape>
        </w:pict>
      </w:r>
      <w:r>
        <w:rPr>
          <w:rFonts w:hint="eastAsia" w:ascii="Times New Roman" w:hAnsi="Times New Roman" w:cs="Times New Roman"/>
          <w:sz w:val="24"/>
          <w:szCs w:val="22"/>
          <w:lang w:val="en-US" w:eastAsia="zh-CN"/>
        </w:rPr>
        <w:t xml:space="preserve">  惠民水厂水源地（邵水）饮用水水源保护区划区域图</w:t>
      </w:r>
    </w:p>
    <w:p>
      <w:pPr>
        <w:keepNext w:val="0"/>
        <w:keepLines w:val="0"/>
        <w:pageBreakBefore w:val="0"/>
        <w:widowControl w:val="0"/>
        <w:kinsoku/>
        <w:wordWrap/>
        <w:overflowPunct/>
        <w:topLinePunct w:val="0"/>
        <w:autoSpaceDE/>
        <w:autoSpaceDN/>
        <w:bidi w:val="0"/>
        <w:adjustRightInd w:val="0"/>
        <w:snapToGrid w:val="0"/>
        <w:spacing w:line="460" w:lineRule="exact"/>
        <w:ind w:firstLine="462" w:firstLineChars="200"/>
        <w:textAlignment w:val="auto"/>
        <w:rPr>
          <w:rFonts w:hint="eastAsia" w:ascii="Times New Roman" w:hAnsi="Times New Roman" w:eastAsia="宋体" w:cs="Times New Roman"/>
          <w:color w:val="auto"/>
          <w:sz w:val="24"/>
          <w:szCs w:val="24"/>
          <w:u w:val="none"/>
          <w:lang w:val="en-US" w:eastAsia="zh-CN"/>
        </w:rPr>
      </w:pPr>
      <w:r>
        <w:rPr>
          <w:rFonts w:hint="eastAsia" w:ascii="Times New Roman" w:hAnsi="Times New Roman" w:cs="Times New Roman"/>
          <w:sz w:val="24"/>
          <w:szCs w:val="22"/>
          <w:lang w:val="en-US" w:eastAsia="zh-CN"/>
        </w:rPr>
        <w:pict>
          <v:shape id="_x0000_s2393" o:spid="_x0000_s2393" o:spt="202" type="#_x0000_t202" style="position:absolute;left:0pt;margin-left:621.45pt;margin-top:7.15pt;height:79.75pt;width:84.65pt;z-index:-1704031232;mso-width-relative:page;mso-height-relative:page;" filled="f" stroked="f" coordsize="21600,21600" o:gfxdata="UEsDBAoAAAAAAIdO4kAAAAAAAAAAAAAAAAAEAAAAZHJzL1BLAwQUAAAACACHTuJA6mAoYtsAAAAM&#10;AQAADwAAAGRycy9kb3ducmV2LnhtbE2PS0/DMBCE70j8B2uRuFEnboA0jVOhSBUSgkNLL9yceJtE&#10;+BFi9wG/nu0JbjPaT7Mz5epsDTviFAbvJKSzBBi61uvBdRJ27+u7HFiIymllvEMJ3xhgVV1flarQ&#10;/uQ2eNzGjlGIC4WS0Mc4FpyHtkerwsyP6Oi295NVkezUcT2pE4Vbw0WSPHCrBkcfejVi3WP7uT1Y&#10;CS/1+k1tGmHzH1M/v+6fxq/dx72UtzdpsgQW8Rz/YLjUp+pQUafGH5wOzJAXmVgQSyqbA7sQWSoE&#10;sIbU4zwHXpX8/4jqF1BLAwQUAAAACACHTuJA5IL9RyICAAAbBAAADgAAAGRycy9lMm9Eb2MueG1s&#10;rVPNjtMwEL4j8Q6W7zQ/NPtTNV2VXRUhrdiVCuLsOk4TyfYY221SHgDeYE9cuPNcfQ7GTtutgBPi&#10;4oxnJjP+vvlmetMrSbbCuhZ0SbNRSonQHKpWr0v68cPi1RUlzjNdMQlalHQnHL2ZvXwx7cxE5NCA&#10;rIQlWES7SWdK2nhvJknieCMUcyMwQmOwBquYx6tdJ5VlHVZXMsnT9CLpwFbGAhfOofduCNJZrF/X&#10;gvuHunbCE1lSfJuPp43nKpzJbMoma8tM0/LDM9g/vEKxVmPTU6k75hnZ2PaPUqrlFhzUfsRBJVDX&#10;LRcRA6LJ0t/QLBtmRMSC5Dhzosn9v7L8/fbRkrYqaX5NiWYKZ7R/+rb//nP/4ytBHxLUGTfBvKXB&#10;TN+/gR4HffQ7dAbcfW1V+CIignGkeneiV/Se8PBTelmkRUEJx1iWZvlVXoQ6yfPvxjr/VoAiwSip&#10;xflFWtn23vkh9ZgSumlYtFLGGUpNupJevC7S+MMpgsWlxh4BxPDYYPl+1R+QraDaITALgzac4YsW&#10;m98z5x+ZRTEgFhS4f8CjloBN4GBR0oD98jd/yMcZYZSSDsVVUvd5w6ygRL7TOL3rbDwOaoyXcXGZ&#10;48WeR1bnEb1Rt4D6zXCVDI9myPfyaNYW1Cfcg3noiiGmOfYuqT+at36QPO4RF/N5TEL9Gebv9dLw&#10;UHqgc77xULeR6UDTwM2BPVRgnNVhW4LEz+8x63mnZ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6mAoYtsAAAAMAQAADwAAAAAAAAABACAAAAAiAAAAZHJzL2Rvd25yZXYueG1sUEsBAhQAFAAAAAgA&#10;h07iQOSC/UciAgAAGwQAAA4AAAAAAAAAAQAgAAAAKgEAAGRycy9lMm9Eb2MueG1sUEsFBgAAAAAG&#10;AAYAWQEAAL4FAAAAAA==&#10;">
            <v:path/>
            <v:fill on="f" focussize="0,0"/>
            <v:stroke on="f" weight="0.5pt"/>
            <v:imagedata o:title=""/>
            <o:lock v:ext="edit" aspectratio="f"/>
            <v:textbox>
              <w:txbxContent>
                <w:p>
                  <w:r>
                    <w:rPr>
                      <w:lang w:val="zh-CN"/>
                    </w:rPr>
                    <w:drawing>
                      <wp:inline distT="0" distB="0" distL="0" distR="0">
                        <wp:extent cx="839470" cy="847725"/>
                        <wp:effectExtent l="0" t="0" r="17780" b="9525"/>
                        <wp:docPr id="5" name="图片 5" descr="C:\Users\Administrator\AppData\Local\Temp\ksohtml792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Local\Temp\ksohtml7928\wps1.jpg"/>
                                <pic:cNvPicPr>
                                  <a:picLocks noChangeAspect="1" noChangeArrowheads="1"/>
                                </pic:cNvPicPr>
                              </pic:nvPicPr>
                              <pic:blipFill>
                                <a:blip r:embed="rId10"/>
                                <a:srcRect/>
                                <a:stretch>
                                  <a:fillRect/>
                                </a:stretch>
                              </pic:blipFill>
                              <pic:spPr>
                                <a:xfrm>
                                  <a:off x="0" y="0"/>
                                  <a:ext cx="839470" cy="847725"/>
                                </a:xfrm>
                                <a:prstGeom prst="rect">
                                  <a:avLst/>
                                </a:prstGeom>
                                <a:noFill/>
                                <a:ln w="9525">
                                  <a:noFill/>
                                  <a:miter lim="800000"/>
                                  <a:headEnd/>
                                  <a:tailEnd/>
                                </a:ln>
                              </pic:spPr>
                            </pic:pic>
                          </a:graphicData>
                        </a:graphic>
                      </wp:inline>
                    </w:drawing>
                  </w:r>
                </w:p>
              </w:txbxContent>
            </v:textbox>
          </v:shape>
        </w:pict>
      </w:r>
      <w:r>
        <w:rPr>
          <w:rFonts w:hint="eastAsia" w:ascii="Times New Roman" w:hAnsi="Times New Roman" w:cs="Times New Roman"/>
          <w:sz w:val="24"/>
          <w:szCs w:val="22"/>
          <w:lang w:val="en-US" w:eastAsia="zh-CN"/>
        </w:rPr>
        <w:t>附图8  渡头桥镇水厂取水口位置、云水电站库区与本项目的位</w:t>
      </w:r>
      <w:r>
        <w:rPr>
          <w:rFonts w:hint="eastAsia" w:ascii="Times New Roman" w:hAnsi="Times New Roman" w:eastAsia="宋体" w:cs="Times New Roman"/>
          <w:color w:val="auto"/>
          <w:sz w:val="24"/>
          <w:szCs w:val="24"/>
          <w:u w:val="none"/>
          <w:lang w:val="en-US" w:eastAsia="zh-CN"/>
        </w:rPr>
        <w:t>置关系</w:t>
      </w:r>
    </w:p>
    <w:p>
      <w:pPr>
        <w:keepNext w:val="0"/>
        <w:keepLines w:val="0"/>
        <w:pageBreakBefore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sz w:val="24"/>
          <w:lang w:val="en-US" w:eastAsia="zh-CN"/>
        </w:rPr>
      </w:pPr>
    </w:p>
    <w:p>
      <w:pPr>
        <w:keepNext w:val="0"/>
        <w:keepLines w:val="0"/>
        <w:pageBreakBefore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附表1</w:t>
      </w:r>
      <w:r>
        <w:rPr>
          <w:rFonts w:hint="eastAsia" w:ascii="Times New Roman" w:hAnsi="Times New Roman" w:cs="Times New Roman"/>
          <w:sz w:val="24"/>
          <w:lang w:val="en-US" w:eastAsia="zh-CN"/>
        </w:rPr>
        <w:t xml:space="preserve">  </w:t>
      </w:r>
      <w:r>
        <w:rPr>
          <w:rFonts w:hint="default" w:ascii="Times New Roman" w:hAnsi="Times New Roman" w:cs="Times New Roman"/>
          <w:sz w:val="24"/>
          <w:lang w:val="en-US" w:eastAsia="zh-CN"/>
        </w:rPr>
        <w:t>建设项目环评审批基础信息表</w:t>
      </w:r>
    </w:p>
    <w:p>
      <w:pPr>
        <w:keepNext w:val="0"/>
        <w:keepLines w:val="0"/>
        <w:pageBreakBefore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 xml:space="preserve">附件2 </w:t>
      </w:r>
      <w:r>
        <w:rPr>
          <w:rFonts w:hint="eastAsia" w:ascii="Times New Roman" w:hAnsi="Times New Roman" w:cs="Times New Roman"/>
          <w:sz w:val="24"/>
          <w:lang w:val="en-US" w:eastAsia="zh-CN"/>
        </w:rPr>
        <w:t xml:space="preserve"> </w:t>
      </w:r>
      <w:r>
        <w:rPr>
          <w:rFonts w:hint="default" w:ascii="Times New Roman" w:hAnsi="Times New Roman" w:cs="Times New Roman"/>
          <w:sz w:val="24"/>
          <w:lang w:val="en-US" w:eastAsia="zh-CN"/>
        </w:rPr>
        <w:t>建设项目环境风险评价自查表</w:t>
      </w:r>
    </w:p>
    <w:p>
      <w:pPr>
        <w:keepNext w:val="0"/>
        <w:keepLines w:val="0"/>
        <w:pageBreakBefore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 xml:space="preserve">附件3 </w:t>
      </w:r>
      <w:r>
        <w:rPr>
          <w:rFonts w:hint="eastAsia" w:ascii="Times New Roman" w:hAnsi="Times New Roman" w:cs="Times New Roman"/>
          <w:sz w:val="24"/>
          <w:lang w:val="en-US" w:eastAsia="zh-CN"/>
        </w:rPr>
        <w:t xml:space="preserve"> </w:t>
      </w:r>
      <w:r>
        <w:rPr>
          <w:rFonts w:hint="default" w:ascii="Times New Roman" w:hAnsi="Times New Roman" w:cs="Times New Roman"/>
          <w:sz w:val="24"/>
          <w:lang w:val="en-US" w:eastAsia="zh-CN"/>
        </w:rPr>
        <w:t>建设项目大气环境评价自查表</w:t>
      </w:r>
    </w:p>
    <w:p>
      <w:pPr>
        <w:keepNext w:val="0"/>
        <w:keepLines w:val="0"/>
        <w:pageBreakBefore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 xml:space="preserve">附件4 </w:t>
      </w:r>
      <w:r>
        <w:rPr>
          <w:rFonts w:hint="eastAsia" w:ascii="Times New Roman" w:hAnsi="Times New Roman" w:cs="Times New Roman"/>
          <w:sz w:val="24"/>
          <w:lang w:val="en-US" w:eastAsia="zh-CN"/>
        </w:rPr>
        <w:t xml:space="preserve"> </w:t>
      </w:r>
      <w:r>
        <w:rPr>
          <w:rFonts w:hint="default" w:ascii="Times New Roman" w:hAnsi="Times New Roman" w:cs="Times New Roman"/>
          <w:sz w:val="24"/>
          <w:lang w:val="en-US" w:eastAsia="zh-CN"/>
        </w:rPr>
        <w:t>建设项目地表水环境评价自查表</w:t>
      </w:r>
    </w:p>
    <w:p>
      <w:pPr>
        <w:keepNext w:val="0"/>
        <w:keepLines w:val="0"/>
        <w:pageBreakBefore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 xml:space="preserve">附件5 </w:t>
      </w:r>
      <w:r>
        <w:rPr>
          <w:rFonts w:hint="eastAsia" w:ascii="Times New Roman" w:hAnsi="Times New Roman" w:cs="Times New Roman"/>
          <w:sz w:val="24"/>
          <w:lang w:val="en-US" w:eastAsia="zh-CN"/>
        </w:rPr>
        <w:t xml:space="preserve"> </w:t>
      </w:r>
      <w:r>
        <w:rPr>
          <w:rFonts w:hint="default" w:ascii="Times New Roman" w:hAnsi="Times New Roman" w:cs="Times New Roman"/>
          <w:sz w:val="24"/>
          <w:lang w:val="en-US" w:eastAsia="zh-CN"/>
        </w:rPr>
        <w:t>土壤环境影响评价自查表</w:t>
      </w:r>
    </w:p>
    <w:p>
      <w:pPr>
        <w:keepNext w:val="0"/>
        <w:keepLines w:val="0"/>
        <w:pageBreakBefore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sz w:val="24"/>
        </w:rPr>
      </w:pPr>
      <w:r>
        <w:rPr>
          <w:rFonts w:hint="default" w:ascii="Times New Roman" w:hAnsi="Times New Roman" w:cs="Times New Roman"/>
          <w:sz w:val="24"/>
        </w:rPr>
        <w:t>二、如果本报表不能说明项目产生的污染及对环境造成的影响，应进行专项评价。</w:t>
      </w:r>
      <w:bookmarkEnd w:id="19"/>
    </w:p>
    <w:p>
      <w:pPr>
        <w:keepNext w:val="0"/>
        <w:keepLines w:val="0"/>
        <w:pageBreakBefore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sz w:val="24"/>
        </w:rPr>
      </w:pPr>
      <w:r>
        <w:rPr>
          <w:rFonts w:hint="default" w:ascii="Times New Roman" w:hAnsi="Times New Roman" w:cs="Times New Roman"/>
          <w:sz w:val="24"/>
        </w:rPr>
        <w:t>1、大气环境影响专项评价</w:t>
      </w:r>
    </w:p>
    <w:p>
      <w:pPr>
        <w:keepNext w:val="0"/>
        <w:keepLines w:val="0"/>
        <w:pageBreakBefore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sz w:val="24"/>
        </w:rPr>
      </w:pPr>
      <w:r>
        <w:rPr>
          <w:rFonts w:hint="default" w:ascii="Times New Roman" w:hAnsi="Times New Roman" w:cs="Times New Roman"/>
          <w:sz w:val="24"/>
        </w:rPr>
        <w:t>2、水环境影响专项评价</w:t>
      </w:r>
    </w:p>
    <w:p>
      <w:pPr>
        <w:keepNext w:val="0"/>
        <w:keepLines w:val="0"/>
        <w:pageBreakBefore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sz w:val="24"/>
        </w:rPr>
      </w:pPr>
      <w:r>
        <w:rPr>
          <w:rFonts w:hint="default" w:ascii="Times New Roman" w:hAnsi="Times New Roman" w:cs="Times New Roman"/>
          <w:sz w:val="24"/>
        </w:rPr>
        <w:t>3、生态影响专项评价</w:t>
      </w:r>
    </w:p>
    <w:p>
      <w:pPr>
        <w:keepNext w:val="0"/>
        <w:keepLines w:val="0"/>
        <w:pageBreakBefore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sz w:val="24"/>
        </w:rPr>
      </w:pPr>
      <w:r>
        <w:rPr>
          <w:rFonts w:hint="default" w:ascii="Times New Roman" w:hAnsi="Times New Roman" w:cs="Times New Roman"/>
          <w:sz w:val="24"/>
        </w:rPr>
        <w:t>4、声环境专项评价</w:t>
      </w:r>
    </w:p>
    <w:p>
      <w:pPr>
        <w:keepNext w:val="0"/>
        <w:keepLines w:val="0"/>
        <w:pageBreakBefore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sz w:val="24"/>
        </w:rPr>
      </w:pPr>
      <w:r>
        <w:rPr>
          <w:rFonts w:hint="default" w:ascii="Times New Roman" w:hAnsi="Times New Roman" w:cs="Times New Roman"/>
          <w:sz w:val="24"/>
        </w:rPr>
        <w:t>5、土壤影响专项评价</w:t>
      </w:r>
    </w:p>
    <w:p>
      <w:pPr>
        <w:keepNext w:val="0"/>
        <w:keepLines w:val="0"/>
        <w:pageBreakBefore w:val="0"/>
        <w:kinsoku/>
        <w:wordWrap/>
        <w:overflowPunct/>
        <w:topLinePunct w:val="0"/>
        <w:autoSpaceDE/>
        <w:autoSpaceDN/>
        <w:bidi w:val="0"/>
        <w:adjustRightInd w:val="0"/>
        <w:snapToGrid w:val="0"/>
        <w:spacing w:line="460" w:lineRule="exact"/>
        <w:ind w:firstLine="462" w:firstLineChars="200"/>
        <w:textAlignment w:val="auto"/>
        <w:rPr>
          <w:rFonts w:hint="default" w:ascii="Times New Roman" w:hAnsi="Times New Roman" w:cs="Times New Roman"/>
          <w:sz w:val="24"/>
        </w:rPr>
      </w:pPr>
      <w:r>
        <w:rPr>
          <w:rFonts w:hint="default" w:ascii="Times New Roman" w:hAnsi="Times New Roman" w:cs="Times New Roman"/>
          <w:sz w:val="24"/>
        </w:rPr>
        <w:t>6、固体废弃物影响专项评价</w:t>
      </w:r>
    </w:p>
    <w:p>
      <w:pPr>
        <w:keepNext w:val="0"/>
        <w:keepLines w:val="0"/>
        <w:pageBreakBefore w:val="0"/>
        <w:kinsoku/>
        <w:wordWrap/>
        <w:overflowPunct/>
        <w:topLinePunct w:val="0"/>
        <w:autoSpaceDE/>
        <w:autoSpaceDN/>
        <w:bidi w:val="0"/>
        <w:adjustRightInd w:val="0"/>
        <w:snapToGrid w:val="0"/>
        <w:spacing w:line="460" w:lineRule="exact"/>
        <w:jc w:val="left"/>
        <w:textAlignment w:val="auto"/>
      </w:pPr>
      <w:r>
        <w:rPr>
          <w:rFonts w:hint="default" w:ascii="Times New Roman" w:hAnsi="Times New Roman" w:cs="Times New Roman"/>
          <w:sz w:val="24"/>
        </w:rPr>
        <w:t>以上专项评价未包括的可另列专项，专项评价按照《环境影响评价技术导则》中的要求进行。</w:t>
      </w:r>
    </w:p>
    <w:sectPr>
      <w:footerReference r:id="rId8" w:type="default"/>
      <w:pgSz w:w="11906" w:h="16838"/>
      <w:pgMar w:top="1418" w:right="1134" w:bottom="1418" w:left="1474" w:header="851" w:footer="992" w:gutter="0"/>
      <w:pgBorders>
        <w:top w:val="none" w:sz="0" w:space="0"/>
        <w:left w:val="none" w:sz="0" w:space="0"/>
        <w:bottom w:val="none" w:sz="0" w:space="0"/>
        <w:right w:val="none" w:sz="0" w:space="0"/>
      </w:pgBorders>
      <w:cols w:space="720" w:num="1"/>
      <w:docGrid w:type="linesAndChars" w:linePitch="324" w:charSpace="-20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71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1Px+8AQAAZQMAAA4AAABkcnMvZTJvRG9jLnhtbK1TzY7TMBC+&#10;I/EOlu802UoLUdR0BVotQkKAtOwDuI7dWLI91tht0heAN+DEhTvP1edg7DZdxN5WXJz5/Wa+mcnq&#10;ZnKW7RVGA77jV4uaM+Ul9MZvO/7w9e5Vw1lMwvfCglcdP6jIb9YvX6zG0KolDGB7hYxAfGzH0PEh&#10;pdBWVZSDciIuIChPTg3oRCIVt1WPYiR0Z6tlXb+uRsA+IEgVI1lvT06+LvhaK5k+ax1VYrbj1Fsq&#10;L5Z3k99qvRLtFkUYjDy3IZ7RhRPGU9EL1K1Igu3QPIFyRiJE0GkhwVWgtZGqcCA2V/U/bO4HEVTh&#10;QsOJ4TKm+P9g5af9F2Smp90tOfPC0Y6OP74ff/4+/vrGyEYDGkNsKe4+UGSa3sFEwbM9kjHznjS6&#10;/CVGjPw06sNlvGpKTOakZtk0Nbkk+WaF8KvH9IAxvVfgWBY6jrS/Mlax/xjTKXQOydU83Blryw6t&#10;ZyOhXjdvrkvGxUXo1udgVc7hjJM5nXrPUpo205noBvoD8RzpJDru6WY5sx88TTxfzyzgLGxmYRfQ&#10;bIdyXrlWDG93iZorPecKJ1jimhXaZWF9vrt8LH/rJerx71j/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TdT8fvAEAAGUDAAAOAAAAAAAAAAEAIAAAACIBAABkcnMvZTJvRG9jLnhtbFBLBQYA&#10;AAAABgAGAFkBAABQBQAAAAA=&#10;">
          <v:path/>
          <v:fill on="f" focussize="0,0"/>
          <v:stroke on="f" weight="1.25pt" joinstyle="miter"/>
          <v:imagedata o:title=""/>
          <o:lock v:ext="edit"/>
          <v:textbox inset="0mm,0mm,0mm,0mm" style="mso-fit-shape-to-text:t;">
            <w:txbxContent>
              <w:p>
                <w:pPr>
                  <w:pStyle w:val="16"/>
                  <w:jc w:val="center"/>
                </w:pPr>
                <w:r>
                  <w:fldChar w:fldCharType="begin"/>
                </w:r>
                <w:r>
                  <w:instrText xml:space="preserve">PAGE   \* MERGEFORMAT</w:instrText>
                </w:r>
                <w:r>
                  <w:fldChar w:fldCharType="separate"/>
                </w:r>
                <w:r>
                  <w:rPr>
                    <w:lang w:val="zh-CN"/>
                  </w:rPr>
                  <w:t>33</w:t>
                </w:r>
                <w:r>
                  <w:rPr>
                    <w:lang w:val="zh-CN"/>
                  </w:rPr>
                  <w:fldChar w:fldCharType="end"/>
                </w:r>
              </w:p>
            </w:txbxContent>
          </v:textbox>
        </v:shape>
      </w:pic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GZpq7AQAAZQMAAA4AAABkcnMvZTJvRG9jLnhtbK1TzY7TMBC+&#10;I/EOlu802Uq7RFHTFWi1CAkB0sIDuI7dWPKfZtwmfQF4A05cuPNcfQ7GbtNFcFvtxZnfb+abmaxu&#10;J2fZXgGa4Dt+tag5U16G3vhtx79+uX/VcIZJ+F7Y4FXHDwr57frli9UYW7UMQ7C9AkYgHtsxdnxI&#10;KbZVhXJQTuAiROXJqQM4kUiFbdWDGAnd2WpZ1zfVGKCPEKRCJOvdycnXBV9rJdMnrVElZjtOvaXy&#10;Qnk3+a3WK9FuQcTByHMb4gldOGE8Fb1A3Ykk2A7Mf1DOSAgYdFrI4KqgtZGqcCA2V/U/bB4GEVXh&#10;QsPBeBkTPh+s/Lj/DMz0tLsbzrxwtKPjj+/Hn7+Pv74xstGAxogtxT1EikzT2zBR8GxHMmbekwaX&#10;v8SIkZ9GfbiMV02JyZzULJumJpck36wQfvWYHgHTOxUcy0LHgfZXxir2HzCdQueQXM2He2Nt2aH1&#10;bCTU6+b1dcm4uAjd+hysyjmccTKnU+9ZStNmOhPdhP5APEc6iY57ulnO7HtPE8/XMwswC5tZ2EUw&#10;26GcV66F8c0uUXOl51zhBEtcs0K7LKzPd5eP5W+9RD3+He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N1GZpq7AQAAZQMAAA4AAAAAAAAAAQAgAAAAIgEAAGRycy9lMm9Eb2MueG1sUEsFBgAA&#10;AAAGAAYAWQEAAE8FAAAAAA==&#10;">
          <v:path/>
          <v:fill on="f" focussize="0,0"/>
          <v:stroke on="f" weight="1.25pt" joinstyle="miter"/>
          <v:imagedata o:title=""/>
          <o:lock v:ext="edit"/>
          <v:textbox inset="0mm,0mm,0mm,0mm" style="mso-fit-shape-to-text:t;">
            <w:txbxContent>
              <w:p>
                <w:pPr>
                  <w:pStyle w:val="16"/>
                  <w:jc w:val="center"/>
                </w:pPr>
                <w:r>
                  <w:fldChar w:fldCharType="begin"/>
                </w:r>
                <w:r>
                  <w:instrText xml:space="preserve">PAGE   \* MERGEFORMAT</w:instrText>
                </w:r>
                <w:r>
                  <w:fldChar w:fldCharType="separate"/>
                </w:r>
                <w:r>
                  <w:rPr>
                    <w:lang w:val="zh-CN"/>
                  </w:rPr>
                  <w:t>72</w:t>
                </w:r>
                <w:r>
                  <w:rPr>
                    <w:lang w:val="zh-CN"/>
                  </w:rPr>
                  <w:fldChar w:fldCharType="end"/>
                </w:r>
              </w:p>
            </w:txbxContent>
          </v:textbox>
        </v:shape>
      </w:pic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FA370D"/>
    <w:multiLevelType w:val="singleLevel"/>
    <w:tmpl w:val="B2FA370D"/>
    <w:lvl w:ilvl="0" w:tentative="0">
      <w:start w:val="5"/>
      <w:numFmt w:val="decimal"/>
      <w:suff w:val="nothing"/>
      <w:lvlText w:val="（%1）"/>
      <w:lvlJc w:val="left"/>
    </w:lvl>
  </w:abstractNum>
  <w:abstractNum w:abstractNumId="1">
    <w:nsid w:val="C6992E57"/>
    <w:multiLevelType w:val="singleLevel"/>
    <w:tmpl w:val="C6992E57"/>
    <w:lvl w:ilvl="0" w:tentative="0">
      <w:start w:val="2"/>
      <w:numFmt w:val="decimal"/>
      <w:suff w:val="nothing"/>
      <w:lvlText w:val="%1）"/>
      <w:lvlJc w:val="left"/>
    </w:lvl>
  </w:abstractNum>
  <w:abstractNum w:abstractNumId="2">
    <w:nsid w:val="F101F226"/>
    <w:multiLevelType w:val="singleLevel"/>
    <w:tmpl w:val="F101F226"/>
    <w:lvl w:ilvl="0" w:tentative="0">
      <w:start w:val="1"/>
      <w:numFmt w:val="decimal"/>
      <w:suff w:val="nothing"/>
      <w:lvlText w:val="（%1）"/>
      <w:lvlJc w:val="left"/>
    </w:lvl>
  </w:abstractNum>
  <w:abstractNum w:abstractNumId="3">
    <w:nsid w:val="FF03FFE6"/>
    <w:multiLevelType w:val="singleLevel"/>
    <w:tmpl w:val="FF03FFE6"/>
    <w:lvl w:ilvl="0" w:tentative="0">
      <w:start w:val="3"/>
      <w:numFmt w:val="decimal"/>
      <w:suff w:val="nothing"/>
      <w:lvlText w:val="%1、"/>
      <w:lvlJc w:val="left"/>
    </w:lvl>
  </w:abstractNum>
  <w:abstractNum w:abstractNumId="4">
    <w:nsid w:val="59C9A9AD"/>
    <w:multiLevelType w:val="singleLevel"/>
    <w:tmpl w:val="59C9A9AD"/>
    <w:lvl w:ilvl="0" w:tentative="0">
      <w:start w:val="1"/>
      <w:numFmt w:val="decimal"/>
      <w:suff w:val="nothing"/>
      <w:lvlText w:val="%1、"/>
      <w:lvlJc w:val="left"/>
    </w:lvl>
  </w:abstractNum>
  <w:abstractNum w:abstractNumId="5">
    <w:nsid w:val="71C908F8"/>
    <w:multiLevelType w:val="singleLevel"/>
    <w:tmpl w:val="71C908F8"/>
    <w:lvl w:ilvl="0" w:tentative="0">
      <w:start w:val="2"/>
      <w:numFmt w:val="decimal"/>
      <w:suff w:val="nothing"/>
      <w:lvlText w:val="（%1）"/>
      <w:lvlJc w:val="left"/>
    </w:lvl>
  </w:abstractNum>
  <w:abstractNum w:abstractNumId="6">
    <w:nsid w:val="78C16258"/>
    <w:multiLevelType w:val="singleLevel"/>
    <w:tmpl w:val="78C16258"/>
    <w:lvl w:ilvl="0" w:tentative="0">
      <w:start w:val="1"/>
      <w:numFmt w:val="decimal"/>
      <w:suff w:val="nothing"/>
      <w:lvlText w:val="（%1）"/>
      <w:lvlJc w:val="left"/>
    </w:lvl>
  </w:abstractNum>
  <w:num w:numId="1">
    <w:abstractNumId w:val="5"/>
  </w:num>
  <w:num w:numId="2">
    <w:abstractNumId w:val="6"/>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hideSpellingError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5F87AB8"/>
    <w:rsid w:val="000530C9"/>
    <w:rsid w:val="0005590E"/>
    <w:rsid w:val="0016610C"/>
    <w:rsid w:val="001C0703"/>
    <w:rsid w:val="00251555"/>
    <w:rsid w:val="00357717"/>
    <w:rsid w:val="00496A10"/>
    <w:rsid w:val="004A66E2"/>
    <w:rsid w:val="004F2ADC"/>
    <w:rsid w:val="005758B1"/>
    <w:rsid w:val="0058020B"/>
    <w:rsid w:val="00583F48"/>
    <w:rsid w:val="005F16A0"/>
    <w:rsid w:val="006259E4"/>
    <w:rsid w:val="006269B4"/>
    <w:rsid w:val="00666B02"/>
    <w:rsid w:val="007B6B20"/>
    <w:rsid w:val="007E4D2B"/>
    <w:rsid w:val="00816029"/>
    <w:rsid w:val="00821D21"/>
    <w:rsid w:val="0088042D"/>
    <w:rsid w:val="0098295A"/>
    <w:rsid w:val="00A52C6D"/>
    <w:rsid w:val="00A53518"/>
    <w:rsid w:val="00AC6A2E"/>
    <w:rsid w:val="00AC6DBF"/>
    <w:rsid w:val="00C02D0F"/>
    <w:rsid w:val="00C50154"/>
    <w:rsid w:val="00C9508A"/>
    <w:rsid w:val="00C960B8"/>
    <w:rsid w:val="00CE2706"/>
    <w:rsid w:val="00CF4750"/>
    <w:rsid w:val="00D77CD5"/>
    <w:rsid w:val="00DB0335"/>
    <w:rsid w:val="00E57351"/>
    <w:rsid w:val="00E97A9F"/>
    <w:rsid w:val="01085823"/>
    <w:rsid w:val="013848DF"/>
    <w:rsid w:val="01502E17"/>
    <w:rsid w:val="01590DF8"/>
    <w:rsid w:val="01636353"/>
    <w:rsid w:val="016E172A"/>
    <w:rsid w:val="01836EDD"/>
    <w:rsid w:val="018F15C3"/>
    <w:rsid w:val="018F3985"/>
    <w:rsid w:val="01A2593C"/>
    <w:rsid w:val="01A411D7"/>
    <w:rsid w:val="01AB0EEF"/>
    <w:rsid w:val="01BF6206"/>
    <w:rsid w:val="01C1100C"/>
    <w:rsid w:val="01C74AD3"/>
    <w:rsid w:val="01D16D43"/>
    <w:rsid w:val="01DF3782"/>
    <w:rsid w:val="01EB0AA9"/>
    <w:rsid w:val="01FC0ACF"/>
    <w:rsid w:val="0203259B"/>
    <w:rsid w:val="021067FF"/>
    <w:rsid w:val="021C3BCD"/>
    <w:rsid w:val="02227821"/>
    <w:rsid w:val="02566C3E"/>
    <w:rsid w:val="02592478"/>
    <w:rsid w:val="025A522F"/>
    <w:rsid w:val="025D1952"/>
    <w:rsid w:val="02766105"/>
    <w:rsid w:val="027739CF"/>
    <w:rsid w:val="02796942"/>
    <w:rsid w:val="027C663E"/>
    <w:rsid w:val="02B76EAD"/>
    <w:rsid w:val="02C544A7"/>
    <w:rsid w:val="02CC1CE3"/>
    <w:rsid w:val="02D74878"/>
    <w:rsid w:val="02E52D05"/>
    <w:rsid w:val="02E564D4"/>
    <w:rsid w:val="02F540E2"/>
    <w:rsid w:val="02F859B1"/>
    <w:rsid w:val="02FD7821"/>
    <w:rsid w:val="0309099F"/>
    <w:rsid w:val="030F6768"/>
    <w:rsid w:val="031833D6"/>
    <w:rsid w:val="033865AD"/>
    <w:rsid w:val="03624E57"/>
    <w:rsid w:val="036873C8"/>
    <w:rsid w:val="03874C3E"/>
    <w:rsid w:val="03906503"/>
    <w:rsid w:val="03A25800"/>
    <w:rsid w:val="03C21CC2"/>
    <w:rsid w:val="03CB07DE"/>
    <w:rsid w:val="03CB506C"/>
    <w:rsid w:val="03D31A01"/>
    <w:rsid w:val="03E94CD3"/>
    <w:rsid w:val="03EE18DA"/>
    <w:rsid w:val="03F145AE"/>
    <w:rsid w:val="03F44512"/>
    <w:rsid w:val="03FA2104"/>
    <w:rsid w:val="04037295"/>
    <w:rsid w:val="042E27FD"/>
    <w:rsid w:val="043D4A15"/>
    <w:rsid w:val="04423DD8"/>
    <w:rsid w:val="04642B84"/>
    <w:rsid w:val="046B3FF5"/>
    <w:rsid w:val="04AB20FF"/>
    <w:rsid w:val="04B17234"/>
    <w:rsid w:val="04B76A13"/>
    <w:rsid w:val="04D741F2"/>
    <w:rsid w:val="04DD7E23"/>
    <w:rsid w:val="04F25458"/>
    <w:rsid w:val="04FB2297"/>
    <w:rsid w:val="0510579E"/>
    <w:rsid w:val="05146A77"/>
    <w:rsid w:val="05190012"/>
    <w:rsid w:val="051F0A4F"/>
    <w:rsid w:val="052540F6"/>
    <w:rsid w:val="0527737B"/>
    <w:rsid w:val="054211DD"/>
    <w:rsid w:val="054A58D8"/>
    <w:rsid w:val="056021ED"/>
    <w:rsid w:val="05987B6F"/>
    <w:rsid w:val="059C5A41"/>
    <w:rsid w:val="05B83AAA"/>
    <w:rsid w:val="05BB52D9"/>
    <w:rsid w:val="05C2213D"/>
    <w:rsid w:val="05EB5E9F"/>
    <w:rsid w:val="05EC772C"/>
    <w:rsid w:val="06093E1A"/>
    <w:rsid w:val="060E71DB"/>
    <w:rsid w:val="060F2AC0"/>
    <w:rsid w:val="062F03FD"/>
    <w:rsid w:val="06342E89"/>
    <w:rsid w:val="06735D99"/>
    <w:rsid w:val="06836D7E"/>
    <w:rsid w:val="06A91B39"/>
    <w:rsid w:val="06DC77C7"/>
    <w:rsid w:val="06F10F4E"/>
    <w:rsid w:val="0720413A"/>
    <w:rsid w:val="07384B10"/>
    <w:rsid w:val="0759153B"/>
    <w:rsid w:val="079214D9"/>
    <w:rsid w:val="079E5477"/>
    <w:rsid w:val="07B85FD7"/>
    <w:rsid w:val="07BF79AD"/>
    <w:rsid w:val="07E40C82"/>
    <w:rsid w:val="08020A5C"/>
    <w:rsid w:val="080B15B9"/>
    <w:rsid w:val="083320DD"/>
    <w:rsid w:val="084B1192"/>
    <w:rsid w:val="084C782A"/>
    <w:rsid w:val="084D17E9"/>
    <w:rsid w:val="085A3B88"/>
    <w:rsid w:val="08804B4D"/>
    <w:rsid w:val="08AA7E4E"/>
    <w:rsid w:val="08B012AA"/>
    <w:rsid w:val="08B13001"/>
    <w:rsid w:val="08BC4CE3"/>
    <w:rsid w:val="08CA09BC"/>
    <w:rsid w:val="08CA20F1"/>
    <w:rsid w:val="08D53CC2"/>
    <w:rsid w:val="08E70CBF"/>
    <w:rsid w:val="0939344A"/>
    <w:rsid w:val="094770C7"/>
    <w:rsid w:val="09497F2D"/>
    <w:rsid w:val="096820BA"/>
    <w:rsid w:val="0975497D"/>
    <w:rsid w:val="09757644"/>
    <w:rsid w:val="09913EE9"/>
    <w:rsid w:val="09B957ED"/>
    <w:rsid w:val="09D8383D"/>
    <w:rsid w:val="09DE1652"/>
    <w:rsid w:val="09E93A24"/>
    <w:rsid w:val="09EA514C"/>
    <w:rsid w:val="09FE5CDD"/>
    <w:rsid w:val="0A571A23"/>
    <w:rsid w:val="0A663EE9"/>
    <w:rsid w:val="0A686BA5"/>
    <w:rsid w:val="0A8A3EDA"/>
    <w:rsid w:val="0A8C2E8B"/>
    <w:rsid w:val="0A936891"/>
    <w:rsid w:val="0A9B71B6"/>
    <w:rsid w:val="0AA8731F"/>
    <w:rsid w:val="0ACC059C"/>
    <w:rsid w:val="0AD93C44"/>
    <w:rsid w:val="0AD93F06"/>
    <w:rsid w:val="0AF12FD5"/>
    <w:rsid w:val="0B0C7176"/>
    <w:rsid w:val="0B140424"/>
    <w:rsid w:val="0B4A669A"/>
    <w:rsid w:val="0B4D4AF8"/>
    <w:rsid w:val="0B580E73"/>
    <w:rsid w:val="0B5E3428"/>
    <w:rsid w:val="0B70663C"/>
    <w:rsid w:val="0B735167"/>
    <w:rsid w:val="0B944247"/>
    <w:rsid w:val="0BA536C5"/>
    <w:rsid w:val="0BAB0C52"/>
    <w:rsid w:val="0BB94E33"/>
    <w:rsid w:val="0BD01090"/>
    <w:rsid w:val="0BD6680E"/>
    <w:rsid w:val="0BF444F1"/>
    <w:rsid w:val="0C075073"/>
    <w:rsid w:val="0C0C31AB"/>
    <w:rsid w:val="0C225096"/>
    <w:rsid w:val="0C3F1142"/>
    <w:rsid w:val="0C452A51"/>
    <w:rsid w:val="0C4A155F"/>
    <w:rsid w:val="0C602E05"/>
    <w:rsid w:val="0C74389A"/>
    <w:rsid w:val="0C795893"/>
    <w:rsid w:val="0C7F09F0"/>
    <w:rsid w:val="0C924F32"/>
    <w:rsid w:val="0C955658"/>
    <w:rsid w:val="0CA34EF2"/>
    <w:rsid w:val="0CC234B9"/>
    <w:rsid w:val="0CC26293"/>
    <w:rsid w:val="0CD770E2"/>
    <w:rsid w:val="0CE0143B"/>
    <w:rsid w:val="0CE14004"/>
    <w:rsid w:val="0CED580F"/>
    <w:rsid w:val="0CFE0ADB"/>
    <w:rsid w:val="0D0921CC"/>
    <w:rsid w:val="0D0B5CE4"/>
    <w:rsid w:val="0D0E7B2B"/>
    <w:rsid w:val="0D1009CA"/>
    <w:rsid w:val="0D163976"/>
    <w:rsid w:val="0D1C172C"/>
    <w:rsid w:val="0D2D02D3"/>
    <w:rsid w:val="0D2F52B5"/>
    <w:rsid w:val="0D3C4552"/>
    <w:rsid w:val="0D462AD6"/>
    <w:rsid w:val="0D486D48"/>
    <w:rsid w:val="0D6B69E0"/>
    <w:rsid w:val="0D73592D"/>
    <w:rsid w:val="0D7B509A"/>
    <w:rsid w:val="0D972A31"/>
    <w:rsid w:val="0DDC528A"/>
    <w:rsid w:val="0E1E360D"/>
    <w:rsid w:val="0E202BC0"/>
    <w:rsid w:val="0E2361B1"/>
    <w:rsid w:val="0E305D01"/>
    <w:rsid w:val="0E521A86"/>
    <w:rsid w:val="0E5F7E56"/>
    <w:rsid w:val="0E667096"/>
    <w:rsid w:val="0E7B197C"/>
    <w:rsid w:val="0E8A0E5A"/>
    <w:rsid w:val="0E8B5A4B"/>
    <w:rsid w:val="0E9F7E04"/>
    <w:rsid w:val="0EB415C5"/>
    <w:rsid w:val="0EFD2802"/>
    <w:rsid w:val="0F0500BD"/>
    <w:rsid w:val="0F0E2A2C"/>
    <w:rsid w:val="0F15091B"/>
    <w:rsid w:val="0F1662FA"/>
    <w:rsid w:val="0F42652A"/>
    <w:rsid w:val="0F450442"/>
    <w:rsid w:val="0F683816"/>
    <w:rsid w:val="0F6F1E30"/>
    <w:rsid w:val="0F7A2B73"/>
    <w:rsid w:val="0F7B0C01"/>
    <w:rsid w:val="0F832DCD"/>
    <w:rsid w:val="0F9F37D1"/>
    <w:rsid w:val="0FB572FA"/>
    <w:rsid w:val="0FDE3096"/>
    <w:rsid w:val="0FE35FF7"/>
    <w:rsid w:val="0FE82BD8"/>
    <w:rsid w:val="10183EB2"/>
    <w:rsid w:val="102357D3"/>
    <w:rsid w:val="10240A10"/>
    <w:rsid w:val="10380DF1"/>
    <w:rsid w:val="10541A01"/>
    <w:rsid w:val="106D776C"/>
    <w:rsid w:val="10A14798"/>
    <w:rsid w:val="10B30768"/>
    <w:rsid w:val="10B43892"/>
    <w:rsid w:val="10C814E8"/>
    <w:rsid w:val="10CC08B9"/>
    <w:rsid w:val="10F86E01"/>
    <w:rsid w:val="10F91F99"/>
    <w:rsid w:val="1119463B"/>
    <w:rsid w:val="112940C1"/>
    <w:rsid w:val="112D15ED"/>
    <w:rsid w:val="117A00A2"/>
    <w:rsid w:val="117C1A85"/>
    <w:rsid w:val="11805B41"/>
    <w:rsid w:val="11807085"/>
    <w:rsid w:val="11840615"/>
    <w:rsid w:val="11AC1F5D"/>
    <w:rsid w:val="11D37B1A"/>
    <w:rsid w:val="11F10461"/>
    <w:rsid w:val="122329CC"/>
    <w:rsid w:val="12560379"/>
    <w:rsid w:val="125E5D1D"/>
    <w:rsid w:val="12742BF2"/>
    <w:rsid w:val="12950556"/>
    <w:rsid w:val="129644CF"/>
    <w:rsid w:val="129E32A0"/>
    <w:rsid w:val="12AD6EDA"/>
    <w:rsid w:val="12AE49EB"/>
    <w:rsid w:val="12BB3567"/>
    <w:rsid w:val="12C03274"/>
    <w:rsid w:val="12D22231"/>
    <w:rsid w:val="12E538EB"/>
    <w:rsid w:val="12EF0802"/>
    <w:rsid w:val="13005C8B"/>
    <w:rsid w:val="130A3FC5"/>
    <w:rsid w:val="130B465F"/>
    <w:rsid w:val="1318452C"/>
    <w:rsid w:val="131F076C"/>
    <w:rsid w:val="13254BBF"/>
    <w:rsid w:val="1335330F"/>
    <w:rsid w:val="13384B78"/>
    <w:rsid w:val="136A00C7"/>
    <w:rsid w:val="13791359"/>
    <w:rsid w:val="137A784B"/>
    <w:rsid w:val="13944C33"/>
    <w:rsid w:val="13AE1182"/>
    <w:rsid w:val="13C472FA"/>
    <w:rsid w:val="13DA408F"/>
    <w:rsid w:val="13DF2386"/>
    <w:rsid w:val="13EA1ADE"/>
    <w:rsid w:val="14287A1D"/>
    <w:rsid w:val="142A0128"/>
    <w:rsid w:val="142D7336"/>
    <w:rsid w:val="142E5ECE"/>
    <w:rsid w:val="142F3B98"/>
    <w:rsid w:val="143E2512"/>
    <w:rsid w:val="145557EE"/>
    <w:rsid w:val="146152A3"/>
    <w:rsid w:val="14647491"/>
    <w:rsid w:val="147111E2"/>
    <w:rsid w:val="14741938"/>
    <w:rsid w:val="148463AC"/>
    <w:rsid w:val="149033CA"/>
    <w:rsid w:val="14980532"/>
    <w:rsid w:val="149B2604"/>
    <w:rsid w:val="14B11269"/>
    <w:rsid w:val="14D26919"/>
    <w:rsid w:val="14E71150"/>
    <w:rsid w:val="14FA1E83"/>
    <w:rsid w:val="152F0410"/>
    <w:rsid w:val="153A4499"/>
    <w:rsid w:val="154F17AB"/>
    <w:rsid w:val="15517D81"/>
    <w:rsid w:val="15530CB0"/>
    <w:rsid w:val="15537EC6"/>
    <w:rsid w:val="1554231A"/>
    <w:rsid w:val="156E25F6"/>
    <w:rsid w:val="1572445A"/>
    <w:rsid w:val="15916536"/>
    <w:rsid w:val="159F2208"/>
    <w:rsid w:val="15A27847"/>
    <w:rsid w:val="15B900F2"/>
    <w:rsid w:val="15BB5BC3"/>
    <w:rsid w:val="15CD3603"/>
    <w:rsid w:val="15E95B5B"/>
    <w:rsid w:val="15F34374"/>
    <w:rsid w:val="160B16CC"/>
    <w:rsid w:val="160C5BF9"/>
    <w:rsid w:val="16120E04"/>
    <w:rsid w:val="163D4D15"/>
    <w:rsid w:val="164F45A6"/>
    <w:rsid w:val="167E2AB5"/>
    <w:rsid w:val="16843607"/>
    <w:rsid w:val="16880840"/>
    <w:rsid w:val="168C0522"/>
    <w:rsid w:val="168F587D"/>
    <w:rsid w:val="16AD0A1A"/>
    <w:rsid w:val="16B12DEF"/>
    <w:rsid w:val="16C33ABE"/>
    <w:rsid w:val="16CD143E"/>
    <w:rsid w:val="16E26D16"/>
    <w:rsid w:val="16E9243A"/>
    <w:rsid w:val="16FA3B82"/>
    <w:rsid w:val="16FE0F6E"/>
    <w:rsid w:val="17154B36"/>
    <w:rsid w:val="172C7828"/>
    <w:rsid w:val="174276F6"/>
    <w:rsid w:val="174B54AC"/>
    <w:rsid w:val="17524F2A"/>
    <w:rsid w:val="17597D65"/>
    <w:rsid w:val="17801FB0"/>
    <w:rsid w:val="17A96F7E"/>
    <w:rsid w:val="17B521FC"/>
    <w:rsid w:val="17B942CB"/>
    <w:rsid w:val="17D42A83"/>
    <w:rsid w:val="18255C21"/>
    <w:rsid w:val="182A44E5"/>
    <w:rsid w:val="182D039B"/>
    <w:rsid w:val="183E6F37"/>
    <w:rsid w:val="1849532E"/>
    <w:rsid w:val="18645E20"/>
    <w:rsid w:val="18767675"/>
    <w:rsid w:val="18907634"/>
    <w:rsid w:val="18A11274"/>
    <w:rsid w:val="18BA2BDD"/>
    <w:rsid w:val="18C94848"/>
    <w:rsid w:val="18FA6CC5"/>
    <w:rsid w:val="19074CD3"/>
    <w:rsid w:val="19136661"/>
    <w:rsid w:val="19146EA8"/>
    <w:rsid w:val="19162855"/>
    <w:rsid w:val="196B0498"/>
    <w:rsid w:val="198E5688"/>
    <w:rsid w:val="19912CF6"/>
    <w:rsid w:val="19A632E2"/>
    <w:rsid w:val="19CD7F47"/>
    <w:rsid w:val="1A077E78"/>
    <w:rsid w:val="1A432B74"/>
    <w:rsid w:val="1A6308BC"/>
    <w:rsid w:val="1A6E4DAE"/>
    <w:rsid w:val="1A735B31"/>
    <w:rsid w:val="1AA85042"/>
    <w:rsid w:val="1AB20051"/>
    <w:rsid w:val="1AB40D8F"/>
    <w:rsid w:val="1AEF1A62"/>
    <w:rsid w:val="1AF15B81"/>
    <w:rsid w:val="1B031774"/>
    <w:rsid w:val="1B034B21"/>
    <w:rsid w:val="1B065891"/>
    <w:rsid w:val="1B0956B6"/>
    <w:rsid w:val="1B131CB2"/>
    <w:rsid w:val="1B19535F"/>
    <w:rsid w:val="1B201A75"/>
    <w:rsid w:val="1B2E177A"/>
    <w:rsid w:val="1B4B3C7C"/>
    <w:rsid w:val="1B555447"/>
    <w:rsid w:val="1B6C52C6"/>
    <w:rsid w:val="1B6E4E32"/>
    <w:rsid w:val="1B7424E8"/>
    <w:rsid w:val="1B777843"/>
    <w:rsid w:val="1B826CE8"/>
    <w:rsid w:val="1B8E1876"/>
    <w:rsid w:val="1BA215BB"/>
    <w:rsid w:val="1BB37C29"/>
    <w:rsid w:val="1BC0772A"/>
    <w:rsid w:val="1BDB0756"/>
    <w:rsid w:val="1BF744F3"/>
    <w:rsid w:val="1C196239"/>
    <w:rsid w:val="1C1D01C1"/>
    <w:rsid w:val="1C2D22AF"/>
    <w:rsid w:val="1C2E4BC1"/>
    <w:rsid w:val="1C3759BC"/>
    <w:rsid w:val="1C3E6123"/>
    <w:rsid w:val="1C410548"/>
    <w:rsid w:val="1C4935D0"/>
    <w:rsid w:val="1C4E1F37"/>
    <w:rsid w:val="1C512902"/>
    <w:rsid w:val="1C5710DE"/>
    <w:rsid w:val="1C6531EC"/>
    <w:rsid w:val="1C69780F"/>
    <w:rsid w:val="1C725659"/>
    <w:rsid w:val="1C96028F"/>
    <w:rsid w:val="1CDA2E8F"/>
    <w:rsid w:val="1CDC5CBA"/>
    <w:rsid w:val="1CF33A28"/>
    <w:rsid w:val="1D060108"/>
    <w:rsid w:val="1D161DF0"/>
    <w:rsid w:val="1D2F1A98"/>
    <w:rsid w:val="1D2F2047"/>
    <w:rsid w:val="1D3C256D"/>
    <w:rsid w:val="1D4052A7"/>
    <w:rsid w:val="1DA2120F"/>
    <w:rsid w:val="1DC276FD"/>
    <w:rsid w:val="1DE25C67"/>
    <w:rsid w:val="1E123D5A"/>
    <w:rsid w:val="1E2022E9"/>
    <w:rsid w:val="1E2864B2"/>
    <w:rsid w:val="1E5E1C0B"/>
    <w:rsid w:val="1E601085"/>
    <w:rsid w:val="1E9523F9"/>
    <w:rsid w:val="1E971328"/>
    <w:rsid w:val="1EA930BE"/>
    <w:rsid w:val="1EB50E7F"/>
    <w:rsid w:val="1EC60A56"/>
    <w:rsid w:val="1EE00A5D"/>
    <w:rsid w:val="1EE201ED"/>
    <w:rsid w:val="1EEB1861"/>
    <w:rsid w:val="1EED6068"/>
    <w:rsid w:val="1EF639AC"/>
    <w:rsid w:val="1EFD1FAE"/>
    <w:rsid w:val="1F5715A2"/>
    <w:rsid w:val="1F5E66AA"/>
    <w:rsid w:val="1F6322D6"/>
    <w:rsid w:val="1F6B0E5A"/>
    <w:rsid w:val="1F773267"/>
    <w:rsid w:val="1F7C5800"/>
    <w:rsid w:val="1F887F54"/>
    <w:rsid w:val="1F89632C"/>
    <w:rsid w:val="1F897870"/>
    <w:rsid w:val="1F933F53"/>
    <w:rsid w:val="1F986255"/>
    <w:rsid w:val="1FBD7FA9"/>
    <w:rsid w:val="1FCE6889"/>
    <w:rsid w:val="1FDD4D36"/>
    <w:rsid w:val="1FE23B27"/>
    <w:rsid w:val="20181793"/>
    <w:rsid w:val="201A1839"/>
    <w:rsid w:val="20371F3F"/>
    <w:rsid w:val="203E385B"/>
    <w:rsid w:val="204D0EB2"/>
    <w:rsid w:val="20693DC4"/>
    <w:rsid w:val="20705C0F"/>
    <w:rsid w:val="207360BF"/>
    <w:rsid w:val="20750311"/>
    <w:rsid w:val="20805825"/>
    <w:rsid w:val="20A42252"/>
    <w:rsid w:val="20B22002"/>
    <w:rsid w:val="20BC7372"/>
    <w:rsid w:val="20D46BDF"/>
    <w:rsid w:val="20D67109"/>
    <w:rsid w:val="211654B0"/>
    <w:rsid w:val="21170E46"/>
    <w:rsid w:val="211C03C1"/>
    <w:rsid w:val="21223B11"/>
    <w:rsid w:val="21225001"/>
    <w:rsid w:val="2146702A"/>
    <w:rsid w:val="21576F9E"/>
    <w:rsid w:val="216E64C6"/>
    <w:rsid w:val="21A71806"/>
    <w:rsid w:val="21AC24D2"/>
    <w:rsid w:val="21C96627"/>
    <w:rsid w:val="21D34A30"/>
    <w:rsid w:val="21EB180C"/>
    <w:rsid w:val="21EC3FA7"/>
    <w:rsid w:val="22026C70"/>
    <w:rsid w:val="222D2CD9"/>
    <w:rsid w:val="222F460B"/>
    <w:rsid w:val="224935C2"/>
    <w:rsid w:val="22A101E4"/>
    <w:rsid w:val="22A22A56"/>
    <w:rsid w:val="22AC0C99"/>
    <w:rsid w:val="22C15AEA"/>
    <w:rsid w:val="22C71647"/>
    <w:rsid w:val="22F74CB4"/>
    <w:rsid w:val="22F80A84"/>
    <w:rsid w:val="230300F4"/>
    <w:rsid w:val="232D14CF"/>
    <w:rsid w:val="233F0F97"/>
    <w:rsid w:val="2342099D"/>
    <w:rsid w:val="23462D18"/>
    <w:rsid w:val="23743F57"/>
    <w:rsid w:val="23833992"/>
    <w:rsid w:val="239959AC"/>
    <w:rsid w:val="23AF5A84"/>
    <w:rsid w:val="23E57BCA"/>
    <w:rsid w:val="24005ACB"/>
    <w:rsid w:val="240B33E1"/>
    <w:rsid w:val="24225C1E"/>
    <w:rsid w:val="24324AAF"/>
    <w:rsid w:val="244034FF"/>
    <w:rsid w:val="24481F60"/>
    <w:rsid w:val="245960B2"/>
    <w:rsid w:val="24902C29"/>
    <w:rsid w:val="24BC0A8D"/>
    <w:rsid w:val="25045A29"/>
    <w:rsid w:val="25545E5C"/>
    <w:rsid w:val="25582DE0"/>
    <w:rsid w:val="25780D93"/>
    <w:rsid w:val="25A026B5"/>
    <w:rsid w:val="25B10E59"/>
    <w:rsid w:val="25BB1290"/>
    <w:rsid w:val="25D70620"/>
    <w:rsid w:val="25F57A6E"/>
    <w:rsid w:val="25FE1DC4"/>
    <w:rsid w:val="2603439B"/>
    <w:rsid w:val="262A1937"/>
    <w:rsid w:val="26301719"/>
    <w:rsid w:val="266965F2"/>
    <w:rsid w:val="266D543E"/>
    <w:rsid w:val="268359C5"/>
    <w:rsid w:val="268F263E"/>
    <w:rsid w:val="26A00D23"/>
    <w:rsid w:val="26B62F11"/>
    <w:rsid w:val="26D764FA"/>
    <w:rsid w:val="26F405E6"/>
    <w:rsid w:val="26FB3AC1"/>
    <w:rsid w:val="27105874"/>
    <w:rsid w:val="271B6305"/>
    <w:rsid w:val="271F781F"/>
    <w:rsid w:val="27470A8C"/>
    <w:rsid w:val="274E34BD"/>
    <w:rsid w:val="275C7DD7"/>
    <w:rsid w:val="27780E73"/>
    <w:rsid w:val="278556AC"/>
    <w:rsid w:val="27B327AB"/>
    <w:rsid w:val="27F20163"/>
    <w:rsid w:val="27F34872"/>
    <w:rsid w:val="27F66695"/>
    <w:rsid w:val="27FC78F5"/>
    <w:rsid w:val="28057F09"/>
    <w:rsid w:val="28293986"/>
    <w:rsid w:val="28346B56"/>
    <w:rsid w:val="283754BF"/>
    <w:rsid w:val="284D3E67"/>
    <w:rsid w:val="28640452"/>
    <w:rsid w:val="2871797B"/>
    <w:rsid w:val="289855C1"/>
    <w:rsid w:val="289E77AF"/>
    <w:rsid w:val="289F1D83"/>
    <w:rsid w:val="28A37D6F"/>
    <w:rsid w:val="28A666F5"/>
    <w:rsid w:val="28B47349"/>
    <w:rsid w:val="28C54333"/>
    <w:rsid w:val="28D147B9"/>
    <w:rsid w:val="28D576AB"/>
    <w:rsid w:val="28EC7976"/>
    <w:rsid w:val="28FB02EC"/>
    <w:rsid w:val="292A7614"/>
    <w:rsid w:val="29307870"/>
    <w:rsid w:val="29466A21"/>
    <w:rsid w:val="294876FF"/>
    <w:rsid w:val="29500D8C"/>
    <w:rsid w:val="29623C95"/>
    <w:rsid w:val="29680FC6"/>
    <w:rsid w:val="296A4749"/>
    <w:rsid w:val="29787E58"/>
    <w:rsid w:val="298A7D8A"/>
    <w:rsid w:val="299C731E"/>
    <w:rsid w:val="29A176C3"/>
    <w:rsid w:val="29A41CC1"/>
    <w:rsid w:val="29AD7126"/>
    <w:rsid w:val="29AE415F"/>
    <w:rsid w:val="29B113EC"/>
    <w:rsid w:val="29C51B42"/>
    <w:rsid w:val="29E726A4"/>
    <w:rsid w:val="2A084BDA"/>
    <w:rsid w:val="2A2232D1"/>
    <w:rsid w:val="2A3F41F7"/>
    <w:rsid w:val="2A557C0D"/>
    <w:rsid w:val="2A701448"/>
    <w:rsid w:val="2A7F75CA"/>
    <w:rsid w:val="2A841F39"/>
    <w:rsid w:val="2A992A62"/>
    <w:rsid w:val="2AD7086B"/>
    <w:rsid w:val="2AD70DE3"/>
    <w:rsid w:val="2ADC094D"/>
    <w:rsid w:val="2AE56806"/>
    <w:rsid w:val="2AEC7348"/>
    <w:rsid w:val="2AF216CB"/>
    <w:rsid w:val="2B1338DB"/>
    <w:rsid w:val="2B3A467D"/>
    <w:rsid w:val="2B422687"/>
    <w:rsid w:val="2B47337C"/>
    <w:rsid w:val="2B517AD3"/>
    <w:rsid w:val="2B8556B4"/>
    <w:rsid w:val="2B9443A4"/>
    <w:rsid w:val="2B953028"/>
    <w:rsid w:val="2BB15CA4"/>
    <w:rsid w:val="2BBA51B0"/>
    <w:rsid w:val="2BBB5112"/>
    <w:rsid w:val="2BC26AA6"/>
    <w:rsid w:val="2BF4740C"/>
    <w:rsid w:val="2BF964F3"/>
    <w:rsid w:val="2C00109C"/>
    <w:rsid w:val="2C260758"/>
    <w:rsid w:val="2C324364"/>
    <w:rsid w:val="2C326532"/>
    <w:rsid w:val="2C477D70"/>
    <w:rsid w:val="2C4956EF"/>
    <w:rsid w:val="2C8547FE"/>
    <w:rsid w:val="2C8E0661"/>
    <w:rsid w:val="2C8E37B9"/>
    <w:rsid w:val="2C9B137B"/>
    <w:rsid w:val="2CA07778"/>
    <w:rsid w:val="2CA27637"/>
    <w:rsid w:val="2CA53611"/>
    <w:rsid w:val="2CBE5DD1"/>
    <w:rsid w:val="2CFA6AC7"/>
    <w:rsid w:val="2D02065B"/>
    <w:rsid w:val="2D0C2094"/>
    <w:rsid w:val="2D1035D1"/>
    <w:rsid w:val="2D11412E"/>
    <w:rsid w:val="2D202006"/>
    <w:rsid w:val="2D26690B"/>
    <w:rsid w:val="2D2B6BE2"/>
    <w:rsid w:val="2D2F2931"/>
    <w:rsid w:val="2D4B3CB5"/>
    <w:rsid w:val="2D5543C6"/>
    <w:rsid w:val="2D610277"/>
    <w:rsid w:val="2D707084"/>
    <w:rsid w:val="2D7E501C"/>
    <w:rsid w:val="2D8C7271"/>
    <w:rsid w:val="2D9C4891"/>
    <w:rsid w:val="2DB54073"/>
    <w:rsid w:val="2DB659F1"/>
    <w:rsid w:val="2DBB1CB0"/>
    <w:rsid w:val="2DC17010"/>
    <w:rsid w:val="2DD07B57"/>
    <w:rsid w:val="2DF26E89"/>
    <w:rsid w:val="2E197F63"/>
    <w:rsid w:val="2E1E7D1C"/>
    <w:rsid w:val="2E1F5E3E"/>
    <w:rsid w:val="2E273B70"/>
    <w:rsid w:val="2E3031E8"/>
    <w:rsid w:val="2E353B04"/>
    <w:rsid w:val="2E373FC1"/>
    <w:rsid w:val="2E433248"/>
    <w:rsid w:val="2E50034A"/>
    <w:rsid w:val="2E641671"/>
    <w:rsid w:val="2E643385"/>
    <w:rsid w:val="2E661020"/>
    <w:rsid w:val="2E6E415E"/>
    <w:rsid w:val="2E755948"/>
    <w:rsid w:val="2E886179"/>
    <w:rsid w:val="2EC153C2"/>
    <w:rsid w:val="2EF077A5"/>
    <w:rsid w:val="2EFD3C8C"/>
    <w:rsid w:val="2EFF7A8D"/>
    <w:rsid w:val="2F050995"/>
    <w:rsid w:val="2F100031"/>
    <w:rsid w:val="2F2546C5"/>
    <w:rsid w:val="2F5434BE"/>
    <w:rsid w:val="2F55217F"/>
    <w:rsid w:val="2F657DD1"/>
    <w:rsid w:val="2F76141B"/>
    <w:rsid w:val="2F9D0D10"/>
    <w:rsid w:val="2F9D2764"/>
    <w:rsid w:val="2FC155C6"/>
    <w:rsid w:val="2FE559F4"/>
    <w:rsid w:val="2FF91A8B"/>
    <w:rsid w:val="2FFB7B2B"/>
    <w:rsid w:val="300E6EEB"/>
    <w:rsid w:val="30100F94"/>
    <w:rsid w:val="30170446"/>
    <w:rsid w:val="301C5B6A"/>
    <w:rsid w:val="301F17B6"/>
    <w:rsid w:val="301F3061"/>
    <w:rsid w:val="303D0CCF"/>
    <w:rsid w:val="30436C6A"/>
    <w:rsid w:val="304C7F6D"/>
    <w:rsid w:val="308B410E"/>
    <w:rsid w:val="309E557C"/>
    <w:rsid w:val="30A14E4A"/>
    <w:rsid w:val="30B169CD"/>
    <w:rsid w:val="30BE1D33"/>
    <w:rsid w:val="30C96AB1"/>
    <w:rsid w:val="30D107D3"/>
    <w:rsid w:val="30D9494A"/>
    <w:rsid w:val="310171CF"/>
    <w:rsid w:val="310368CE"/>
    <w:rsid w:val="311C02CD"/>
    <w:rsid w:val="31283A14"/>
    <w:rsid w:val="31332AD5"/>
    <w:rsid w:val="313E2B98"/>
    <w:rsid w:val="3150555C"/>
    <w:rsid w:val="315E6D22"/>
    <w:rsid w:val="319348E3"/>
    <w:rsid w:val="31955469"/>
    <w:rsid w:val="319B3CAD"/>
    <w:rsid w:val="31A860A6"/>
    <w:rsid w:val="31A946A2"/>
    <w:rsid w:val="31BE09BD"/>
    <w:rsid w:val="31D62FF1"/>
    <w:rsid w:val="31E71F39"/>
    <w:rsid w:val="32180D82"/>
    <w:rsid w:val="32216887"/>
    <w:rsid w:val="322B397B"/>
    <w:rsid w:val="322C6110"/>
    <w:rsid w:val="325345E0"/>
    <w:rsid w:val="32601A75"/>
    <w:rsid w:val="32625ADD"/>
    <w:rsid w:val="329635AB"/>
    <w:rsid w:val="32A522C7"/>
    <w:rsid w:val="32A76E79"/>
    <w:rsid w:val="32A92869"/>
    <w:rsid w:val="32BE7FC5"/>
    <w:rsid w:val="32D50772"/>
    <w:rsid w:val="32D60CA1"/>
    <w:rsid w:val="32E75C59"/>
    <w:rsid w:val="32F40622"/>
    <w:rsid w:val="33150D32"/>
    <w:rsid w:val="331A6518"/>
    <w:rsid w:val="332A3C46"/>
    <w:rsid w:val="334540D1"/>
    <w:rsid w:val="334F7F82"/>
    <w:rsid w:val="3370531C"/>
    <w:rsid w:val="33753DF7"/>
    <w:rsid w:val="337E0ABD"/>
    <w:rsid w:val="337F51D3"/>
    <w:rsid w:val="33B4177F"/>
    <w:rsid w:val="33BE75F5"/>
    <w:rsid w:val="33C559C8"/>
    <w:rsid w:val="33E5162A"/>
    <w:rsid w:val="342F31EE"/>
    <w:rsid w:val="34454709"/>
    <w:rsid w:val="344E4056"/>
    <w:rsid w:val="345356CC"/>
    <w:rsid w:val="347F6F36"/>
    <w:rsid w:val="3481601F"/>
    <w:rsid w:val="348A7996"/>
    <w:rsid w:val="34B37DF5"/>
    <w:rsid w:val="34C57768"/>
    <w:rsid w:val="34EF46A3"/>
    <w:rsid w:val="35231FAE"/>
    <w:rsid w:val="35291771"/>
    <w:rsid w:val="357B3334"/>
    <w:rsid w:val="35A575C1"/>
    <w:rsid w:val="35A63684"/>
    <w:rsid w:val="35A908FE"/>
    <w:rsid w:val="35BA61B6"/>
    <w:rsid w:val="35D0713A"/>
    <w:rsid w:val="360F3721"/>
    <w:rsid w:val="361F167B"/>
    <w:rsid w:val="36331928"/>
    <w:rsid w:val="368A6D9E"/>
    <w:rsid w:val="369D24BC"/>
    <w:rsid w:val="369E4507"/>
    <w:rsid w:val="36A77786"/>
    <w:rsid w:val="36AA255F"/>
    <w:rsid w:val="36B46579"/>
    <w:rsid w:val="36BA2EFD"/>
    <w:rsid w:val="36EB678D"/>
    <w:rsid w:val="37005033"/>
    <w:rsid w:val="3718259D"/>
    <w:rsid w:val="371B01A9"/>
    <w:rsid w:val="374C0DB1"/>
    <w:rsid w:val="376A2D27"/>
    <w:rsid w:val="37726150"/>
    <w:rsid w:val="378F5474"/>
    <w:rsid w:val="37BD1F65"/>
    <w:rsid w:val="37F034DE"/>
    <w:rsid w:val="37F07739"/>
    <w:rsid w:val="37F5511E"/>
    <w:rsid w:val="38246FE0"/>
    <w:rsid w:val="382E4279"/>
    <w:rsid w:val="38427AF0"/>
    <w:rsid w:val="384F3270"/>
    <w:rsid w:val="38525086"/>
    <w:rsid w:val="385C2E01"/>
    <w:rsid w:val="38617F04"/>
    <w:rsid w:val="386D5B64"/>
    <w:rsid w:val="38781C5C"/>
    <w:rsid w:val="38781DAE"/>
    <w:rsid w:val="387E319F"/>
    <w:rsid w:val="3893123A"/>
    <w:rsid w:val="38B80E8F"/>
    <w:rsid w:val="38B87E87"/>
    <w:rsid w:val="38BE416E"/>
    <w:rsid w:val="38CA4A8B"/>
    <w:rsid w:val="38F95FAA"/>
    <w:rsid w:val="39037CB7"/>
    <w:rsid w:val="390A5349"/>
    <w:rsid w:val="390D7BE5"/>
    <w:rsid w:val="391D33EA"/>
    <w:rsid w:val="392A4DA6"/>
    <w:rsid w:val="395A2F1E"/>
    <w:rsid w:val="397A7944"/>
    <w:rsid w:val="39813778"/>
    <w:rsid w:val="398475E0"/>
    <w:rsid w:val="398C16EB"/>
    <w:rsid w:val="39B37A42"/>
    <w:rsid w:val="39B81A3D"/>
    <w:rsid w:val="39C4785C"/>
    <w:rsid w:val="39D251F9"/>
    <w:rsid w:val="39E303AB"/>
    <w:rsid w:val="39E75B3A"/>
    <w:rsid w:val="39EC5555"/>
    <w:rsid w:val="39F31B89"/>
    <w:rsid w:val="3A1801A3"/>
    <w:rsid w:val="3A1D64BA"/>
    <w:rsid w:val="3A21309D"/>
    <w:rsid w:val="3A69314F"/>
    <w:rsid w:val="3AA65AD7"/>
    <w:rsid w:val="3AB53C03"/>
    <w:rsid w:val="3AC43E05"/>
    <w:rsid w:val="3AC57090"/>
    <w:rsid w:val="3ADC616D"/>
    <w:rsid w:val="3AFF7993"/>
    <w:rsid w:val="3B1806DB"/>
    <w:rsid w:val="3B293648"/>
    <w:rsid w:val="3B617722"/>
    <w:rsid w:val="3B682FB5"/>
    <w:rsid w:val="3B686B3B"/>
    <w:rsid w:val="3B8A428D"/>
    <w:rsid w:val="3BAD76F1"/>
    <w:rsid w:val="3BB20BE7"/>
    <w:rsid w:val="3BB32644"/>
    <w:rsid w:val="3BB8439A"/>
    <w:rsid w:val="3BBE6EFA"/>
    <w:rsid w:val="3BC225F2"/>
    <w:rsid w:val="3BC849DE"/>
    <w:rsid w:val="3BDD15ED"/>
    <w:rsid w:val="3BF12E51"/>
    <w:rsid w:val="3C1019BC"/>
    <w:rsid w:val="3C312839"/>
    <w:rsid w:val="3C3D3D74"/>
    <w:rsid w:val="3C57774E"/>
    <w:rsid w:val="3C580CFE"/>
    <w:rsid w:val="3C685066"/>
    <w:rsid w:val="3C913B47"/>
    <w:rsid w:val="3CB05258"/>
    <w:rsid w:val="3CD62A23"/>
    <w:rsid w:val="3CDD1167"/>
    <w:rsid w:val="3CE11160"/>
    <w:rsid w:val="3CFE491E"/>
    <w:rsid w:val="3D1F0A2E"/>
    <w:rsid w:val="3D2E122F"/>
    <w:rsid w:val="3D3200D1"/>
    <w:rsid w:val="3D3201D0"/>
    <w:rsid w:val="3D462691"/>
    <w:rsid w:val="3D4E6A5A"/>
    <w:rsid w:val="3D601030"/>
    <w:rsid w:val="3D65416F"/>
    <w:rsid w:val="3D690535"/>
    <w:rsid w:val="3D9326D6"/>
    <w:rsid w:val="3D9C0A2B"/>
    <w:rsid w:val="3DAE2C5B"/>
    <w:rsid w:val="3DB663F1"/>
    <w:rsid w:val="3DC71474"/>
    <w:rsid w:val="3DC72D1B"/>
    <w:rsid w:val="3DE7175C"/>
    <w:rsid w:val="3DFF2FAF"/>
    <w:rsid w:val="3E131F61"/>
    <w:rsid w:val="3E1B1A31"/>
    <w:rsid w:val="3E1C1B70"/>
    <w:rsid w:val="3E2721A8"/>
    <w:rsid w:val="3E2C3682"/>
    <w:rsid w:val="3E2F03C3"/>
    <w:rsid w:val="3E366013"/>
    <w:rsid w:val="3E533BDE"/>
    <w:rsid w:val="3E922B14"/>
    <w:rsid w:val="3E9D740E"/>
    <w:rsid w:val="3EAD0887"/>
    <w:rsid w:val="3EC31B2B"/>
    <w:rsid w:val="3EE413D8"/>
    <w:rsid w:val="3EE749B7"/>
    <w:rsid w:val="3EF54A53"/>
    <w:rsid w:val="3EF85656"/>
    <w:rsid w:val="3F1A237F"/>
    <w:rsid w:val="3F472FF5"/>
    <w:rsid w:val="3F4C6DC9"/>
    <w:rsid w:val="3F850F26"/>
    <w:rsid w:val="3FB61D17"/>
    <w:rsid w:val="3FBF6FA6"/>
    <w:rsid w:val="3FC51D1F"/>
    <w:rsid w:val="3FE62920"/>
    <w:rsid w:val="3FE72B36"/>
    <w:rsid w:val="401255AF"/>
    <w:rsid w:val="401D682D"/>
    <w:rsid w:val="402E6358"/>
    <w:rsid w:val="40347B23"/>
    <w:rsid w:val="404C7EC0"/>
    <w:rsid w:val="405E764A"/>
    <w:rsid w:val="406F2570"/>
    <w:rsid w:val="407909F4"/>
    <w:rsid w:val="408443A7"/>
    <w:rsid w:val="408722E4"/>
    <w:rsid w:val="40A70E64"/>
    <w:rsid w:val="40C17872"/>
    <w:rsid w:val="40D57297"/>
    <w:rsid w:val="411E3AD2"/>
    <w:rsid w:val="411F233F"/>
    <w:rsid w:val="41293F67"/>
    <w:rsid w:val="41427202"/>
    <w:rsid w:val="4144585D"/>
    <w:rsid w:val="416C3045"/>
    <w:rsid w:val="417217F0"/>
    <w:rsid w:val="41824C99"/>
    <w:rsid w:val="419D3DC9"/>
    <w:rsid w:val="41AB5E5B"/>
    <w:rsid w:val="41B05C3F"/>
    <w:rsid w:val="41BD7CDB"/>
    <w:rsid w:val="41CD1D25"/>
    <w:rsid w:val="41DB4304"/>
    <w:rsid w:val="41E3583C"/>
    <w:rsid w:val="41F14752"/>
    <w:rsid w:val="41FC364B"/>
    <w:rsid w:val="41FD4D01"/>
    <w:rsid w:val="41FD6A19"/>
    <w:rsid w:val="42117CBD"/>
    <w:rsid w:val="4240730D"/>
    <w:rsid w:val="42472725"/>
    <w:rsid w:val="425531A4"/>
    <w:rsid w:val="42595351"/>
    <w:rsid w:val="42654EE0"/>
    <w:rsid w:val="427104B3"/>
    <w:rsid w:val="42A462F5"/>
    <w:rsid w:val="42A90ECB"/>
    <w:rsid w:val="42AF2FE3"/>
    <w:rsid w:val="42B96DC8"/>
    <w:rsid w:val="42D01A8C"/>
    <w:rsid w:val="42D05D44"/>
    <w:rsid w:val="42EF5197"/>
    <w:rsid w:val="43281FC4"/>
    <w:rsid w:val="43390A9E"/>
    <w:rsid w:val="43402E23"/>
    <w:rsid w:val="43496808"/>
    <w:rsid w:val="437C0C61"/>
    <w:rsid w:val="437D2C9C"/>
    <w:rsid w:val="438611DE"/>
    <w:rsid w:val="439116BF"/>
    <w:rsid w:val="43A35348"/>
    <w:rsid w:val="43B35301"/>
    <w:rsid w:val="43C5462B"/>
    <w:rsid w:val="43D216AE"/>
    <w:rsid w:val="43E23B5C"/>
    <w:rsid w:val="443A1D31"/>
    <w:rsid w:val="444209A6"/>
    <w:rsid w:val="444355A6"/>
    <w:rsid w:val="44554087"/>
    <w:rsid w:val="44613822"/>
    <w:rsid w:val="446C38D9"/>
    <w:rsid w:val="4477412C"/>
    <w:rsid w:val="44835AE9"/>
    <w:rsid w:val="44AE1D19"/>
    <w:rsid w:val="44C15A07"/>
    <w:rsid w:val="44F666AA"/>
    <w:rsid w:val="44FD0A66"/>
    <w:rsid w:val="45040AE3"/>
    <w:rsid w:val="4504486D"/>
    <w:rsid w:val="451D565B"/>
    <w:rsid w:val="451F02A4"/>
    <w:rsid w:val="45211410"/>
    <w:rsid w:val="45333E61"/>
    <w:rsid w:val="45577A0B"/>
    <w:rsid w:val="456A2F21"/>
    <w:rsid w:val="456D2204"/>
    <w:rsid w:val="45AD58F8"/>
    <w:rsid w:val="45B22F11"/>
    <w:rsid w:val="45CC06D7"/>
    <w:rsid w:val="45E739CA"/>
    <w:rsid w:val="45EF3548"/>
    <w:rsid w:val="45F007A5"/>
    <w:rsid w:val="460D1642"/>
    <w:rsid w:val="46185A4D"/>
    <w:rsid w:val="462E2144"/>
    <w:rsid w:val="462F5922"/>
    <w:rsid w:val="46315FD8"/>
    <w:rsid w:val="463B3AE7"/>
    <w:rsid w:val="464404D7"/>
    <w:rsid w:val="46471ECB"/>
    <w:rsid w:val="466E2E32"/>
    <w:rsid w:val="467A1727"/>
    <w:rsid w:val="46883B36"/>
    <w:rsid w:val="468C625D"/>
    <w:rsid w:val="46920FC4"/>
    <w:rsid w:val="469C5B36"/>
    <w:rsid w:val="46A06B2D"/>
    <w:rsid w:val="46A9168B"/>
    <w:rsid w:val="46B3272D"/>
    <w:rsid w:val="46D54AD2"/>
    <w:rsid w:val="46D96EE7"/>
    <w:rsid w:val="46E65330"/>
    <w:rsid w:val="46FC3721"/>
    <w:rsid w:val="47175FF5"/>
    <w:rsid w:val="471E724B"/>
    <w:rsid w:val="473A6E60"/>
    <w:rsid w:val="473B35AC"/>
    <w:rsid w:val="47445EF5"/>
    <w:rsid w:val="47635EB9"/>
    <w:rsid w:val="477466CB"/>
    <w:rsid w:val="47855488"/>
    <w:rsid w:val="47BC04B1"/>
    <w:rsid w:val="47CA7A00"/>
    <w:rsid w:val="47CC25AF"/>
    <w:rsid w:val="47D7267B"/>
    <w:rsid w:val="47EC2FF8"/>
    <w:rsid w:val="47EE065C"/>
    <w:rsid w:val="48033A95"/>
    <w:rsid w:val="48431ECD"/>
    <w:rsid w:val="486E7007"/>
    <w:rsid w:val="487D451A"/>
    <w:rsid w:val="48925DAA"/>
    <w:rsid w:val="48960A3E"/>
    <w:rsid w:val="48A2255C"/>
    <w:rsid w:val="48B9635E"/>
    <w:rsid w:val="48E80891"/>
    <w:rsid w:val="48EC6C65"/>
    <w:rsid w:val="48F66943"/>
    <w:rsid w:val="48F8561B"/>
    <w:rsid w:val="48FC3964"/>
    <w:rsid w:val="49061FE2"/>
    <w:rsid w:val="49290B96"/>
    <w:rsid w:val="494118F5"/>
    <w:rsid w:val="495707E7"/>
    <w:rsid w:val="49614753"/>
    <w:rsid w:val="496B5450"/>
    <w:rsid w:val="496C32DE"/>
    <w:rsid w:val="49760932"/>
    <w:rsid w:val="49CF406D"/>
    <w:rsid w:val="49EA2AB5"/>
    <w:rsid w:val="4A623A64"/>
    <w:rsid w:val="4A6865DD"/>
    <w:rsid w:val="4A6E070E"/>
    <w:rsid w:val="4A7839C0"/>
    <w:rsid w:val="4A9925D9"/>
    <w:rsid w:val="4AC7580F"/>
    <w:rsid w:val="4AC8487E"/>
    <w:rsid w:val="4AD72551"/>
    <w:rsid w:val="4ADB0C32"/>
    <w:rsid w:val="4AEB688D"/>
    <w:rsid w:val="4B0E42A2"/>
    <w:rsid w:val="4B1A30EA"/>
    <w:rsid w:val="4B2976EE"/>
    <w:rsid w:val="4B2F368A"/>
    <w:rsid w:val="4B2F4772"/>
    <w:rsid w:val="4B375510"/>
    <w:rsid w:val="4B39643A"/>
    <w:rsid w:val="4B5135BA"/>
    <w:rsid w:val="4B5D40C5"/>
    <w:rsid w:val="4B5E3A30"/>
    <w:rsid w:val="4B6B6382"/>
    <w:rsid w:val="4B724A8B"/>
    <w:rsid w:val="4BA851D5"/>
    <w:rsid w:val="4BD713E6"/>
    <w:rsid w:val="4BEA474D"/>
    <w:rsid w:val="4C0B0ACE"/>
    <w:rsid w:val="4C575182"/>
    <w:rsid w:val="4C5A7697"/>
    <w:rsid w:val="4C645CEE"/>
    <w:rsid w:val="4C76516F"/>
    <w:rsid w:val="4C777FA5"/>
    <w:rsid w:val="4C9236FF"/>
    <w:rsid w:val="4C9960F5"/>
    <w:rsid w:val="4CA01A37"/>
    <w:rsid w:val="4CC85C26"/>
    <w:rsid w:val="4CEC75F0"/>
    <w:rsid w:val="4CF34477"/>
    <w:rsid w:val="4D0B5C12"/>
    <w:rsid w:val="4D0E23DC"/>
    <w:rsid w:val="4D0E2AEE"/>
    <w:rsid w:val="4D1064C3"/>
    <w:rsid w:val="4D3C501D"/>
    <w:rsid w:val="4D41540D"/>
    <w:rsid w:val="4D496DBC"/>
    <w:rsid w:val="4D5507E4"/>
    <w:rsid w:val="4D6024E9"/>
    <w:rsid w:val="4D763C48"/>
    <w:rsid w:val="4D8F6B7B"/>
    <w:rsid w:val="4D9937E7"/>
    <w:rsid w:val="4DA54851"/>
    <w:rsid w:val="4DAD550B"/>
    <w:rsid w:val="4DB31494"/>
    <w:rsid w:val="4DBE3C16"/>
    <w:rsid w:val="4DD66618"/>
    <w:rsid w:val="4DF07F7F"/>
    <w:rsid w:val="4DF50D94"/>
    <w:rsid w:val="4DF64C3F"/>
    <w:rsid w:val="4DFC465C"/>
    <w:rsid w:val="4DFF0FDA"/>
    <w:rsid w:val="4E0D38F2"/>
    <w:rsid w:val="4E130FC9"/>
    <w:rsid w:val="4E1743D0"/>
    <w:rsid w:val="4E5449B0"/>
    <w:rsid w:val="4E617A5E"/>
    <w:rsid w:val="4E7A19FC"/>
    <w:rsid w:val="4E8662D9"/>
    <w:rsid w:val="4E8848C6"/>
    <w:rsid w:val="4E9E636C"/>
    <w:rsid w:val="4EC22CD6"/>
    <w:rsid w:val="4ED37C9B"/>
    <w:rsid w:val="4ED42489"/>
    <w:rsid w:val="4EEC1396"/>
    <w:rsid w:val="4F0C4ECA"/>
    <w:rsid w:val="4F0E6E86"/>
    <w:rsid w:val="4F1D0042"/>
    <w:rsid w:val="4F1F122D"/>
    <w:rsid w:val="4F227BF5"/>
    <w:rsid w:val="4F3B0021"/>
    <w:rsid w:val="4F48093C"/>
    <w:rsid w:val="4F4D5131"/>
    <w:rsid w:val="4F674230"/>
    <w:rsid w:val="4F7A64E3"/>
    <w:rsid w:val="4F9D766E"/>
    <w:rsid w:val="4FD26F86"/>
    <w:rsid w:val="4FD44728"/>
    <w:rsid w:val="4FD8629A"/>
    <w:rsid w:val="4FEC6CB2"/>
    <w:rsid w:val="500C4636"/>
    <w:rsid w:val="50122FCE"/>
    <w:rsid w:val="501D3C50"/>
    <w:rsid w:val="502056FB"/>
    <w:rsid w:val="5023292F"/>
    <w:rsid w:val="502642FA"/>
    <w:rsid w:val="502C7B2A"/>
    <w:rsid w:val="50374293"/>
    <w:rsid w:val="50512FEE"/>
    <w:rsid w:val="505D4BFD"/>
    <w:rsid w:val="5069199D"/>
    <w:rsid w:val="507B5E0F"/>
    <w:rsid w:val="50844B1C"/>
    <w:rsid w:val="508F7DA5"/>
    <w:rsid w:val="509867AB"/>
    <w:rsid w:val="509C5545"/>
    <w:rsid w:val="50B44035"/>
    <w:rsid w:val="50BA3019"/>
    <w:rsid w:val="50E72F75"/>
    <w:rsid w:val="50F947EF"/>
    <w:rsid w:val="50FB6146"/>
    <w:rsid w:val="510E170A"/>
    <w:rsid w:val="510F2E74"/>
    <w:rsid w:val="51160499"/>
    <w:rsid w:val="51180977"/>
    <w:rsid w:val="51245AED"/>
    <w:rsid w:val="512E0C0C"/>
    <w:rsid w:val="51312F6B"/>
    <w:rsid w:val="514316BF"/>
    <w:rsid w:val="514A6524"/>
    <w:rsid w:val="515E30F2"/>
    <w:rsid w:val="51696D64"/>
    <w:rsid w:val="518E2973"/>
    <w:rsid w:val="51A47E16"/>
    <w:rsid w:val="51A831EF"/>
    <w:rsid w:val="51AF5BA1"/>
    <w:rsid w:val="51CB05B1"/>
    <w:rsid w:val="51DF5810"/>
    <w:rsid w:val="51E908C2"/>
    <w:rsid w:val="523C07A3"/>
    <w:rsid w:val="5240332F"/>
    <w:rsid w:val="52592847"/>
    <w:rsid w:val="526B42F0"/>
    <w:rsid w:val="526B4327"/>
    <w:rsid w:val="52815F05"/>
    <w:rsid w:val="529A0028"/>
    <w:rsid w:val="529B0EF2"/>
    <w:rsid w:val="52A57306"/>
    <w:rsid w:val="52B5443C"/>
    <w:rsid w:val="52E4402D"/>
    <w:rsid w:val="52E87B5E"/>
    <w:rsid w:val="53034848"/>
    <w:rsid w:val="53175ECB"/>
    <w:rsid w:val="532C4FE8"/>
    <w:rsid w:val="532F1F3C"/>
    <w:rsid w:val="533243C4"/>
    <w:rsid w:val="533E31B2"/>
    <w:rsid w:val="535061BC"/>
    <w:rsid w:val="5352754B"/>
    <w:rsid w:val="53834CF4"/>
    <w:rsid w:val="538648F8"/>
    <w:rsid w:val="539E5DDE"/>
    <w:rsid w:val="53AA2167"/>
    <w:rsid w:val="53AB5E43"/>
    <w:rsid w:val="53B51507"/>
    <w:rsid w:val="53BC5C56"/>
    <w:rsid w:val="53DD7089"/>
    <w:rsid w:val="53E5437F"/>
    <w:rsid w:val="540D56E1"/>
    <w:rsid w:val="54105D06"/>
    <w:rsid w:val="54270F37"/>
    <w:rsid w:val="54360A37"/>
    <w:rsid w:val="54392776"/>
    <w:rsid w:val="544B24BC"/>
    <w:rsid w:val="544E1DD5"/>
    <w:rsid w:val="5451303F"/>
    <w:rsid w:val="5451436C"/>
    <w:rsid w:val="545A61E3"/>
    <w:rsid w:val="545D16A2"/>
    <w:rsid w:val="54A6588E"/>
    <w:rsid w:val="54B32109"/>
    <w:rsid w:val="54B84805"/>
    <w:rsid w:val="54C57693"/>
    <w:rsid w:val="54D2287B"/>
    <w:rsid w:val="54DB402B"/>
    <w:rsid w:val="54E21C10"/>
    <w:rsid w:val="54E32AB6"/>
    <w:rsid w:val="54E63E21"/>
    <w:rsid w:val="54FD657E"/>
    <w:rsid w:val="55180D94"/>
    <w:rsid w:val="55630714"/>
    <w:rsid w:val="55702E5D"/>
    <w:rsid w:val="55713C25"/>
    <w:rsid w:val="5579504E"/>
    <w:rsid w:val="557C23FE"/>
    <w:rsid w:val="55840542"/>
    <w:rsid w:val="559939F8"/>
    <w:rsid w:val="55B5659C"/>
    <w:rsid w:val="55B66625"/>
    <w:rsid w:val="55B8013A"/>
    <w:rsid w:val="55DB50D1"/>
    <w:rsid w:val="55FE7A38"/>
    <w:rsid w:val="560070BB"/>
    <w:rsid w:val="560E68E9"/>
    <w:rsid w:val="561E2C7B"/>
    <w:rsid w:val="562D317F"/>
    <w:rsid w:val="56311D96"/>
    <w:rsid w:val="566C71E6"/>
    <w:rsid w:val="56B123D8"/>
    <w:rsid w:val="56E43440"/>
    <w:rsid w:val="56FC2FF4"/>
    <w:rsid w:val="570B6426"/>
    <w:rsid w:val="571A519F"/>
    <w:rsid w:val="57222222"/>
    <w:rsid w:val="572700E0"/>
    <w:rsid w:val="572845E5"/>
    <w:rsid w:val="57340245"/>
    <w:rsid w:val="573E3153"/>
    <w:rsid w:val="574370F4"/>
    <w:rsid w:val="57444755"/>
    <w:rsid w:val="5756181B"/>
    <w:rsid w:val="575D7DE0"/>
    <w:rsid w:val="5768598B"/>
    <w:rsid w:val="576A18C7"/>
    <w:rsid w:val="5776507A"/>
    <w:rsid w:val="577E439B"/>
    <w:rsid w:val="578466BC"/>
    <w:rsid w:val="57987724"/>
    <w:rsid w:val="57A81D03"/>
    <w:rsid w:val="57B35F90"/>
    <w:rsid w:val="57C46FE4"/>
    <w:rsid w:val="57D343AE"/>
    <w:rsid w:val="57F14AF9"/>
    <w:rsid w:val="57F71A0C"/>
    <w:rsid w:val="580156C5"/>
    <w:rsid w:val="58052F38"/>
    <w:rsid w:val="5820420A"/>
    <w:rsid w:val="58225BDC"/>
    <w:rsid w:val="582D660F"/>
    <w:rsid w:val="58307109"/>
    <w:rsid w:val="58451F67"/>
    <w:rsid w:val="585D5936"/>
    <w:rsid w:val="585E4682"/>
    <w:rsid w:val="5865398D"/>
    <w:rsid w:val="5879060B"/>
    <w:rsid w:val="589E477C"/>
    <w:rsid w:val="58EA74E5"/>
    <w:rsid w:val="591B39C0"/>
    <w:rsid w:val="593A550C"/>
    <w:rsid w:val="59611E9A"/>
    <w:rsid w:val="59657DA6"/>
    <w:rsid w:val="596C17FC"/>
    <w:rsid w:val="596C4112"/>
    <w:rsid w:val="597D4DB3"/>
    <w:rsid w:val="598D3733"/>
    <w:rsid w:val="599C1A73"/>
    <w:rsid w:val="599D7F94"/>
    <w:rsid w:val="59A94088"/>
    <w:rsid w:val="59B032B3"/>
    <w:rsid w:val="59EF184A"/>
    <w:rsid w:val="59FC4BA8"/>
    <w:rsid w:val="5A0C5AAE"/>
    <w:rsid w:val="5A3774D0"/>
    <w:rsid w:val="5A6D420D"/>
    <w:rsid w:val="5A89431D"/>
    <w:rsid w:val="5A992D31"/>
    <w:rsid w:val="5A9C08F9"/>
    <w:rsid w:val="5AB161D0"/>
    <w:rsid w:val="5ABC4570"/>
    <w:rsid w:val="5AC64549"/>
    <w:rsid w:val="5AC92722"/>
    <w:rsid w:val="5AD73821"/>
    <w:rsid w:val="5AE11E0B"/>
    <w:rsid w:val="5AFA4759"/>
    <w:rsid w:val="5B2E769C"/>
    <w:rsid w:val="5B910325"/>
    <w:rsid w:val="5BAF25B1"/>
    <w:rsid w:val="5BB008F4"/>
    <w:rsid w:val="5BB038BC"/>
    <w:rsid w:val="5BB547A6"/>
    <w:rsid w:val="5BD479E7"/>
    <w:rsid w:val="5BDC2DAF"/>
    <w:rsid w:val="5BDC5F47"/>
    <w:rsid w:val="5BF56EA0"/>
    <w:rsid w:val="5C063BB2"/>
    <w:rsid w:val="5C0C3074"/>
    <w:rsid w:val="5C1610C9"/>
    <w:rsid w:val="5C1C7CE4"/>
    <w:rsid w:val="5C202344"/>
    <w:rsid w:val="5C302D6B"/>
    <w:rsid w:val="5C404971"/>
    <w:rsid w:val="5C4E0A18"/>
    <w:rsid w:val="5C5607AE"/>
    <w:rsid w:val="5C7A08C7"/>
    <w:rsid w:val="5C7A206D"/>
    <w:rsid w:val="5C7A76E6"/>
    <w:rsid w:val="5C8177D8"/>
    <w:rsid w:val="5C9D6B58"/>
    <w:rsid w:val="5CBD75B6"/>
    <w:rsid w:val="5CCD180A"/>
    <w:rsid w:val="5CE009CE"/>
    <w:rsid w:val="5D1531CA"/>
    <w:rsid w:val="5D4A7559"/>
    <w:rsid w:val="5D5036D3"/>
    <w:rsid w:val="5D57295F"/>
    <w:rsid w:val="5D64745B"/>
    <w:rsid w:val="5D7E54ED"/>
    <w:rsid w:val="5D82518B"/>
    <w:rsid w:val="5D8348AE"/>
    <w:rsid w:val="5D894086"/>
    <w:rsid w:val="5DA32AD5"/>
    <w:rsid w:val="5DA61720"/>
    <w:rsid w:val="5DAC1012"/>
    <w:rsid w:val="5DEA3C5B"/>
    <w:rsid w:val="5DFD16F7"/>
    <w:rsid w:val="5E146F6F"/>
    <w:rsid w:val="5E19727A"/>
    <w:rsid w:val="5E1E2F50"/>
    <w:rsid w:val="5E38721F"/>
    <w:rsid w:val="5E402E7C"/>
    <w:rsid w:val="5E4729BF"/>
    <w:rsid w:val="5E573339"/>
    <w:rsid w:val="5E62286C"/>
    <w:rsid w:val="5E767732"/>
    <w:rsid w:val="5E84507F"/>
    <w:rsid w:val="5E8F1302"/>
    <w:rsid w:val="5E9917D8"/>
    <w:rsid w:val="5E9F4227"/>
    <w:rsid w:val="5EBD2AD9"/>
    <w:rsid w:val="5EC22B9F"/>
    <w:rsid w:val="5ED12856"/>
    <w:rsid w:val="5ED20711"/>
    <w:rsid w:val="5ED94ABA"/>
    <w:rsid w:val="5EEF1BDC"/>
    <w:rsid w:val="5F1D44DF"/>
    <w:rsid w:val="5F226526"/>
    <w:rsid w:val="5F362386"/>
    <w:rsid w:val="5F3C3772"/>
    <w:rsid w:val="5F5545E5"/>
    <w:rsid w:val="5F635694"/>
    <w:rsid w:val="5F766DC6"/>
    <w:rsid w:val="5F777A90"/>
    <w:rsid w:val="5F881EE0"/>
    <w:rsid w:val="5F92092E"/>
    <w:rsid w:val="5F92685B"/>
    <w:rsid w:val="5FA83D8D"/>
    <w:rsid w:val="5FCA4D4B"/>
    <w:rsid w:val="5FD219D9"/>
    <w:rsid w:val="5FD733F1"/>
    <w:rsid w:val="5FE42906"/>
    <w:rsid w:val="5FE64881"/>
    <w:rsid w:val="5FEF2A83"/>
    <w:rsid w:val="602E4180"/>
    <w:rsid w:val="602F059F"/>
    <w:rsid w:val="60403343"/>
    <w:rsid w:val="60476836"/>
    <w:rsid w:val="60590742"/>
    <w:rsid w:val="605D5C41"/>
    <w:rsid w:val="60640284"/>
    <w:rsid w:val="606C2811"/>
    <w:rsid w:val="606F6091"/>
    <w:rsid w:val="608833B5"/>
    <w:rsid w:val="60A04AD9"/>
    <w:rsid w:val="60A61A21"/>
    <w:rsid w:val="60CD01AE"/>
    <w:rsid w:val="61227B82"/>
    <w:rsid w:val="612C2D4E"/>
    <w:rsid w:val="613D65F6"/>
    <w:rsid w:val="61507AFC"/>
    <w:rsid w:val="61880600"/>
    <w:rsid w:val="618A047B"/>
    <w:rsid w:val="618F1C87"/>
    <w:rsid w:val="619C1B1E"/>
    <w:rsid w:val="619D6F76"/>
    <w:rsid w:val="61BF7CC6"/>
    <w:rsid w:val="61CB75EC"/>
    <w:rsid w:val="61E70B02"/>
    <w:rsid w:val="62051267"/>
    <w:rsid w:val="620A5376"/>
    <w:rsid w:val="62114A6C"/>
    <w:rsid w:val="621514EB"/>
    <w:rsid w:val="62164DBF"/>
    <w:rsid w:val="62282B56"/>
    <w:rsid w:val="62284BDF"/>
    <w:rsid w:val="622F2703"/>
    <w:rsid w:val="623C531E"/>
    <w:rsid w:val="624B5A64"/>
    <w:rsid w:val="62584CD6"/>
    <w:rsid w:val="62695C89"/>
    <w:rsid w:val="626D4B82"/>
    <w:rsid w:val="62942414"/>
    <w:rsid w:val="629D065F"/>
    <w:rsid w:val="629E0E45"/>
    <w:rsid w:val="62A34E78"/>
    <w:rsid w:val="62B6258B"/>
    <w:rsid w:val="62CF65E4"/>
    <w:rsid w:val="62D957CE"/>
    <w:rsid w:val="62DD34B3"/>
    <w:rsid w:val="62EE0EE5"/>
    <w:rsid w:val="62EF212A"/>
    <w:rsid w:val="62F106A1"/>
    <w:rsid w:val="630A4859"/>
    <w:rsid w:val="631F23A4"/>
    <w:rsid w:val="6333785F"/>
    <w:rsid w:val="63425F08"/>
    <w:rsid w:val="635A7142"/>
    <w:rsid w:val="63682F14"/>
    <w:rsid w:val="636C3EDE"/>
    <w:rsid w:val="639006D1"/>
    <w:rsid w:val="63967213"/>
    <w:rsid w:val="63A84276"/>
    <w:rsid w:val="63B4544F"/>
    <w:rsid w:val="63BA3713"/>
    <w:rsid w:val="63C72859"/>
    <w:rsid w:val="63DF2777"/>
    <w:rsid w:val="63E36833"/>
    <w:rsid w:val="63E9740F"/>
    <w:rsid w:val="63EB0D3D"/>
    <w:rsid w:val="642670AC"/>
    <w:rsid w:val="64312E42"/>
    <w:rsid w:val="643D21EA"/>
    <w:rsid w:val="64587493"/>
    <w:rsid w:val="645F408D"/>
    <w:rsid w:val="646A0EA5"/>
    <w:rsid w:val="64717323"/>
    <w:rsid w:val="64881EF2"/>
    <w:rsid w:val="648D7AF3"/>
    <w:rsid w:val="648F7BC3"/>
    <w:rsid w:val="64AA5D0D"/>
    <w:rsid w:val="64AD6895"/>
    <w:rsid w:val="64C41BCF"/>
    <w:rsid w:val="64FA7038"/>
    <w:rsid w:val="64FD48B2"/>
    <w:rsid w:val="65135E3A"/>
    <w:rsid w:val="653154E8"/>
    <w:rsid w:val="657408E8"/>
    <w:rsid w:val="65791F99"/>
    <w:rsid w:val="657C195C"/>
    <w:rsid w:val="659A4751"/>
    <w:rsid w:val="65A55C88"/>
    <w:rsid w:val="65A707B8"/>
    <w:rsid w:val="65BC388B"/>
    <w:rsid w:val="65CB7F94"/>
    <w:rsid w:val="65D3165E"/>
    <w:rsid w:val="65D9560E"/>
    <w:rsid w:val="65DE1642"/>
    <w:rsid w:val="65E03179"/>
    <w:rsid w:val="65E36D48"/>
    <w:rsid w:val="65EE7414"/>
    <w:rsid w:val="6608161D"/>
    <w:rsid w:val="660E5179"/>
    <w:rsid w:val="66156B24"/>
    <w:rsid w:val="66215D54"/>
    <w:rsid w:val="66690C51"/>
    <w:rsid w:val="66916FF2"/>
    <w:rsid w:val="66AC537D"/>
    <w:rsid w:val="66B30517"/>
    <w:rsid w:val="66B62E1B"/>
    <w:rsid w:val="66CC0C3E"/>
    <w:rsid w:val="66E7225D"/>
    <w:rsid w:val="66F82813"/>
    <w:rsid w:val="670C5AEC"/>
    <w:rsid w:val="6738356E"/>
    <w:rsid w:val="6750417D"/>
    <w:rsid w:val="678C242A"/>
    <w:rsid w:val="67904AA1"/>
    <w:rsid w:val="6792752A"/>
    <w:rsid w:val="67943D26"/>
    <w:rsid w:val="67AD304F"/>
    <w:rsid w:val="67E71C04"/>
    <w:rsid w:val="67FD59EC"/>
    <w:rsid w:val="680277E6"/>
    <w:rsid w:val="681F0723"/>
    <w:rsid w:val="681F56C1"/>
    <w:rsid w:val="683A3B3A"/>
    <w:rsid w:val="68454E8A"/>
    <w:rsid w:val="68484AA8"/>
    <w:rsid w:val="685A1476"/>
    <w:rsid w:val="686E537D"/>
    <w:rsid w:val="6878461C"/>
    <w:rsid w:val="6898674F"/>
    <w:rsid w:val="689954F1"/>
    <w:rsid w:val="689F13E9"/>
    <w:rsid w:val="68A00E46"/>
    <w:rsid w:val="68A4082F"/>
    <w:rsid w:val="68BA6BDA"/>
    <w:rsid w:val="68CE70D3"/>
    <w:rsid w:val="68F95763"/>
    <w:rsid w:val="68FE6727"/>
    <w:rsid w:val="69027154"/>
    <w:rsid w:val="69275779"/>
    <w:rsid w:val="692A4312"/>
    <w:rsid w:val="693F34D0"/>
    <w:rsid w:val="6957796A"/>
    <w:rsid w:val="69584FD5"/>
    <w:rsid w:val="69675B63"/>
    <w:rsid w:val="697101CB"/>
    <w:rsid w:val="697A5953"/>
    <w:rsid w:val="69821138"/>
    <w:rsid w:val="69830E73"/>
    <w:rsid w:val="69840C6F"/>
    <w:rsid w:val="69961CAF"/>
    <w:rsid w:val="699F3DF1"/>
    <w:rsid w:val="69B33C29"/>
    <w:rsid w:val="69C34DE8"/>
    <w:rsid w:val="69D837A5"/>
    <w:rsid w:val="69DE14BF"/>
    <w:rsid w:val="69E44F60"/>
    <w:rsid w:val="69E50EA4"/>
    <w:rsid w:val="69F11F2A"/>
    <w:rsid w:val="69FF05E6"/>
    <w:rsid w:val="6A1A4C18"/>
    <w:rsid w:val="6A2865BF"/>
    <w:rsid w:val="6A2A54B6"/>
    <w:rsid w:val="6A464D50"/>
    <w:rsid w:val="6A4D7C7F"/>
    <w:rsid w:val="6A5B24B1"/>
    <w:rsid w:val="6A697774"/>
    <w:rsid w:val="6A6A67F9"/>
    <w:rsid w:val="6A830329"/>
    <w:rsid w:val="6A8E73FA"/>
    <w:rsid w:val="6AB42B45"/>
    <w:rsid w:val="6AB728DC"/>
    <w:rsid w:val="6ABD2BD4"/>
    <w:rsid w:val="6AD1375B"/>
    <w:rsid w:val="6AE63DC8"/>
    <w:rsid w:val="6AF10AF0"/>
    <w:rsid w:val="6B196298"/>
    <w:rsid w:val="6B38007B"/>
    <w:rsid w:val="6B592471"/>
    <w:rsid w:val="6B776227"/>
    <w:rsid w:val="6B9239DF"/>
    <w:rsid w:val="6BC729A0"/>
    <w:rsid w:val="6BE23094"/>
    <w:rsid w:val="6BE679F8"/>
    <w:rsid w:val="6BEA1421"/>
    <w:rsid w:val="6BF16D8C"/>
    <w:rsid w:val="6BFC4FEB"/>
    <w:rsid w:val="6C1E606E"/>
    <w:rsid w:val="6C2B7B9A"/>
    <w:rsid w:val="6C2F41E7"/>
    <w:rsid w:val="6C330FA6"/>
    <w:rsid w:val="6C3E0E4D"/>
    <w:rsid w:val="6C5F0608"/>
    <w:rsid w:val="6C885848"/>
    <w:rsid w:val="6C953A28"/>
    <w:rsid w:val="6C9D2320"/>
    <w:rsid w:val="6CA05DAF"/>
    <w:rsid w:val="6CC94BD0"/>
    <w:rsid w:val="6CD93CAF"/>
    <w:rsid w:val="6CDE2202"/>
    <w:rsid w:val="6CFB57A1"/>
    <w:rsid w:val="6D04097F"/>
    <w:rsid w:val="6D065CB8"/>
    <w:rsid w:val="6D0F60A5"/>
    <w:rsid w:val="6D4159D3"/>
    <w:rsid w:val="6D535020"/>
    <w:rsid w:val="6D603739"/>
    <w:rsid w:val="6D6467D6"/>
    <w:rsid w:val="6D6742CB"/>
    <w:rsid w:val="6D6C40EE"/>
    <w:rsid w:val="6D7409E9"/>
    <w:rsid w:val="6D9B783B"/>
    <w:rsid w:val="6DA47C97"/>
    <w:rsid w:val="6DA95CC4"/>
    <w:rsid w:val="6DDA3B4E"/>
    <w:rsid w:val="6DDF2F18"/>
    <w:rsid w:val="6DFD1F25"/>
    <w:rsid w:val="6E0059B7"/>
    <w:rsid w:val="6E0B317A"/>
    <w:rsid w:val="6E184EF8"/>
    <w:rsid w:val="6E407892"/>
    <w:rsid w:val="6E525EA0"/>
    <w:rsid w:val="6E6628F1"/>
    <w:rsid w:val="6E712952"/>
    <w:rsid w:val="6E933EB5"/>
    <w:rsid w:val="6EA36D24"/>
    <w:rsid w:val="6EC7368C"/>
    <w:rsid w:val="6EE678AD"/>
    <w:rsid w:val="6EF35AA6"/>
    <w:rsid w:val="6EFC72CC"/>
    <w:rsid w:val="6F117E31"/>
    <w:rsid w:val="6F1904C0"/>
    <w:rsid w:val="6F2D3C1D"/>
    <w:rsid w:val="6F56533E"/>
    <w:rsid w:val="6F5C185B"/>
    <w:rsid w:val="6F6A6784"/>
    <w:rsid w:val="6F771663"/>
    <w:rsid w:val="6F796CB9"/>
    <w:rsid w:val="6F8620AA"/>
    <w:rsid w:val="6FA76E97"/>
    <w:rsid w:val="6FA94723"/>
    <w:rsid w:val="6FAD0937"/>
    <w:rsid w:val="6FB26931"/>
    <w:rsid w:val="700A5F7B"/>
    <w:rsid w:val="70245449"/>
    <w:rsid w:val="70325D6E"/>
    <w:rsid w:val="70446B3C"/>
    <w:rsid w:val="70856F0A"/>
    <w:rsid w:val="708C7139"/>
    <w:rsid w:val="709D0B85"/>
    <w:rsid w:val="70AE5EB8"/>
    <w:rsid w:val="70B36094"/>
    <w:rsid w:val="70B744BA"/>
    <w:rsid w:val="70C34EBF"/>
    <w:rsid w:val="70C67888"/>
    <w:rsid w:val="70D15747"/>
    <w:rsid w:val="70D17F07"/>
    <w:rsid w:val="70D463BE"/>
    <w:rsid w:val="70DA61CE"/>
    <w:rsid w:val="711A691D"/>
    <w:rsid w:val="712268B6"/>
    <w:rsid w:val="713A6AA1"/>
    <w:rsid w:val="713B025A"/>
    <w:rsid w:val="71473077"/>
    <w:rsid w:val="715779E0"/>
    <w:rsid w:val="716D3DEE"/>
    <w:rsid w:val="717149F5"/>
    <w:rsid w:val="718308C4"/>
    <w:rsid w:val="718514F0"/>
    <w:rsid w:val="71D4623D"/>
    <w:rsid w:val="71D70556"/>
    <w:rsid w:val="72004221"/>
    <w:rsid w:val="7209717B"/>
    <w:rsid w:val="721F25A7"/>
    <w:rsid w:val="722169A6"/>
    <w:rsid w:val="724663EA"/>
    <w:rsid w:val="72495EF8"/>
    <w:rsid w:val="724F4D90"/>
    <w:rsid w:val="7265313A"/>
    <w:rsid w:val="72844A73"/>
    <w:rsid w:val="72857DE3"/>
    <w:rsid w:val="72B95789"/>
    <w:rsid w:val="72D104D3"/>
    <w:rsid w:val="72D4225A"/>
    <w:rsid w:val="72E31C70"/>
    <w:rsid w:val="72E72236"/>
    <w:rsid w:val="72FD7956"/>
    <w:rsid w:val="72FD7BF2"/>
    <w:rsid w:val="73375056"/>
    <w:rsid w:val="733C2FA2"/>
    <w:rsid w:val="733E2031"/>
    <w:rsid w:val="736922F0"/>
    <w:rsid w:val="737A19CC"/>
    <w:rsid w:val="739A7A16"/>
    <w:rsid w:val="73A16F2E"/>
    <w:rsid w:val="73AB07C5"/>
    <w:rsid w:val="73B56EF0"/>
    <w:rsid w:val="73E3649D"/>
    <w:rsid w:val="73FD3C97"/>
    <w:rsid w:val="740B3C42"/>
    <w:rsid w:val="742F0C4B"/>
    <w:rsid w:val="744223F5"/>
    <w:rsid w:val="74471186"/>
    <w:rsid w:val="7461324F"/>
    <w:rsid w:val="74724E14"/>
    <w:rsid w:val="74970DB8"/>
    <w:rsid w:val="74986AA1"/>
    <w:rsid w:val="74A10667"/>
    <w:rsid w:val="74B32CC1"/>
    <w:rsid w:val="74B44B7B"/>
    <w:rsid w:val="74D27D9F"/>
    <w:rsid w:val="74EC7C84"/>
    <w:rsid w:val="74ED6255"/>
    <w:rsid w:val="74EF46A5"/>
    <w:rsid w:val="75043CE4"/>
    <w:rsid w:val="7518744A"/>
    <w:rsid w:val="753E362B"/>
    <w:rsid w:val="75657180"/>
    <w:rsid w:val="756C3059"/>
    <w:rsid w:val="757264C4"/>
    <w:rsid w:val="757655EC"/>
    <w:rsid w:val="75840B0D"/>
    <w:rsid w:val="75842541"/>
    <w:rsid w:val="759E6D3D"/>
    <w:rsid w:val="75C34082"/>
    <w:rsid w:val="75F87AB8"/>
    <w:rsid w:val="75FD4055"/>
    <w:rsid w:val="760F33FD"/>
    <w:rsid w:val="761B5E23"/>
    <w:rsid w:val="76271A20"/>
    <w:rsid w:val="76341F98"/>
    <w:rsid w:val="764447B5"/>
    <w:rsid w:val="76457FA9"/>
    <w:rsid w:val="766B2967"/>
    <w:rsid w:val="767A37BB"/>
    <w:rsid w:val="768870E6"/>
    <w:rsid w:val="76AE707A"/>
    <w:rsid w:val="76C2798C"/>
    <w:rsid w:val="76D01FFD"/>
    <w:rsid w:val="76D85785"/>
    <w:rsid w:val="76DB1BC8"/>
    <w:rsid w:val="76DE6FB0"/>
    <w:rsid w:val="771E25D6"/>
    <w:rsid w:val="771F63D0"/>
    <w:rsid w:val="77493472"/>
    <w:rsid w:val="77514E59"/>
    <w:rsid w:val="775B0F80"/>
    <w:rsid w:val="776F443E"/>
    <w:rsid w:val="7772344A"/>
    <w:rsid w:val="77747B0C"/>
    <w:rsid w:val="778122EE"/>
    <w:rsid w:val="77A03242"/>
    <w:rsid w:val="77E10675"/>
    <w:rsid w:val="77E51ADA"/>
    <w:rsid w:val="77E66632"/>
    <w:rsid w:val="77EC0E3F"/>
    <w:rsid w:val="78017F11"/>
    <w:rsid w:val="781A45C4"/>
    <w:rsid w:val="784A4377"/>
    <w:rsid w:val="786138ED"/>
    <w:rsid w:val="78632A89"/>
    <w:rsid w:val="786F5067"/>
    <w:rsid w:val="78705260"/>
    <w:rsid w:val="787969AC"/>
    <w:rsid w:val="78821E3B"/>
    <w:rsid w:val="78823572"/>
    <w:rsid w:val="788E2CA1"/>
    <w:rsid w:val="78924BDE"/>
    <w:rsid w:val="78A907B5"/>
    <w:rsid w:val="78C50ED3"/>
    <w:rsid w:val="78F11BA7"/>
    <w:rsid w:val="78F840B9"/>
    <w:rsid w:val="79041827"/>
    <w:rsid w:val="7928022E"/>
    <w:rsid w:val="793C2A86"/>
    <w:rsid w:val="79510B26"/>
    <w:rsid w:val="796A2940"/>
    <w:rsid w:val="79F05564"/>
    <w:rsid w:val="79F1041D"/>
    <w:rsid w:val="79FD5D2E"/>
    <w:rsid w:val="7A592E58"/>
    <w:rsid w:val="7A6A7B5A"/>
    <w:rsid w:val="7A725FFD"/>
    <w:rsid w:val="7A99608C"/>
    <w:rsid w:val="7A9C5B19"/>
    <w:rsid w:val="7A9F6C5E"/>
    <w:rsid w:val="7AB3654A"/>
    <w:rsid w:val="7AC40427"/>
    <w:rsid w:val="7AC90FAB"/>
    <w:rsid w:val="7AE570F9"/>
    <w:rsid w:val="7AE86B9F"/>
    <w:rsid w:val="7AF01061"/>
    <w:rsid w:val="7B2F281E"/>
    <w:rsid w:val="7B340B27"/>
    <w:rsid w:val="7B397E78"/>
    <w:rsid w:val="7B3E1336"/>
    <w:rsid w:val="7B45025D"/>
    <w:rsid w:val="7B77791D"/>
    <w:rsid w:val="7B804784"/>
    <w:rsid w:val="7B8250EB"/>
    <w:rsid w:val="7B8C3DB6"/>
    <w:rsid w:val="7B921C2E"/>
    <w:rsid w:val="7B965BFB"/>
    <w:rsid w:val="7B9E5F14"/>
    <w:rsid w:val="7BA83F4D"/>
    <w:rsid w:val="7BB04DFB"/>
    <w:rsid w:val="7BDA312E"/>
    <w:rsid w:val="7BEA39B9"/>
    <w:rsid w:val="7BEA587D"/>
    <w:rsid w:val="7BEF7F5B"/>
    <w:rsid w:val="7BF61B0D"/>
    <w:rsid w:val="7C2D40C4"/>
    <w:rsid w:val="7C2E705D"/>
    <w:rsid w:val="7C342812"/>
    <w:rsid w:val="7C4950A6"/>
    <w:rsid w:val="7C520E2F"/>
    <w:rsid w:val="7C667BAB"/>
    <w:rsid w:val="7C790BD7"/>
    <w:rsid w:val="7C79486B"/>
    <w:rsid w:val="7C7A7528"/>
    <w:rsid w:val="7C9616E2"/>
    <w:rsid w:val="7CB15184"/>
    <w:rsid w:val="7CB92074"/>
    <w:rsid w:val="7CDF2277"/>
    <w:rsid w:val="7CF049AE"/>
    <w:rsid w:val="7CF637BB"/>
    <w:rsid w:val="7D0050DC"/>
    <w:rsid w:val="7D306E47"/>
    <w:rsid w:val="7D4A0531"/>
    <w:rsid w:val="7D4D019F"/>
    <w:rsid w:val="7D7C06E1"/>
    <w:rsid w:val="7DA40194"/>
    <w:rsid w:val="7DA5612B"/>
    <w:rsid w:val="7DA84F60"/>
    <w:rsid w:val="7DAC5A23"/>
    <w:rsid w:val="7DB728CE"/>
    <w:rsid w:val="7DC012FE"/>
    <w:rsid w:val="7DD7468B"/>
    <w:rsid w:val="7DDC522A"/>
    <w:rsid w:val="7DE805FA"/>
    <w:rsid w:val="7E10584F"/>
    <w:rsid w:val="7E1E5764"/>
    <w:rsid w:val="7E464351"/>
    <w:rsid w:val="7E4C56A4"/>
    <w:rsid w:val="7E4D2EA6"/>
    <w:rsid w:val="7E64749C"/>
    <w:rsid w:val="7E6A5E28"/>
    <w:rsid w:val="7E740538"/>
    <w:rsid w:val="7E78394C"/>
    <w:rsid w:val="7E81576A"/>
    <w:rsid w:val="7E9474F3"/>
    <w:rsid w:val="7E987114"/>
    <w:rsid w:val="7E9F0BE7"/>
    <w:rsid w:val="7EA07215"/>
    <w:rsid w:val="7EA772A8"/>
    <w:rsid w:val="7ED130EB"/>
    <w:rsid w:val="7ED75309"/>
    <w:rsid w:val="7EDE648B"/>
    <w:rsid w:val="7EE829FE"/>
    <w:rsid w:val="7EEB48B9"/>
    <w:rsid w:val="7EF15011"/>
    <w:rsid w:val="7EF369A1"/>
    <w:rsid w:val="7EFE4BEF"/>
    <w:rsid w:val="7F097CD0"/>
    <w:rsid w:val="7F0C145E"/>
    <w:rsid w:val="7F263C68"/>
    <w:rsid w:val="7F30292C"/>
    <w:rsid w:val="7F3B4759"/>
    <w:rsid w:val="7F40469B"/>
    <w:rsid w:val="7F4C7081"/>
    <w:rsid w:val="7F553C18"/>
    <w:rsid w:val="7F581DFC"/>
    <w:rsid w:val="7F7231D2"/>
    <w:rsid w:val="7F8B18DF"/>
    <w:rsid w:val="7FB20F0F"/>
    <w:rsid w:val="7FCB731B"/>
    <w:rsid w:val="7FDE331A"/>
    <w:rsid w:val="7FDF1C43"/>
    <w:rsid w:val="7FE013E9"/>
    <w:rsid w:val="7FED646E"/>
    <w:rsid w:val="7FF4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53"/>
        <o:r id="V:Rule2" type="connector" idref="#直接箭头连接符 51"/>
        <o:r id="V:Rule3" type="connector" idref="#直接箭头连接符 46"/>
        <o:r id="V:Rule4" type="connector" idref="#直接箭头连接符 45"/>
        <o:r id="V:Rule5" type="connector" idref="#直接箭头连接符 4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outlineLvl w:val="2"/>
    </w:pPr>
    <w:rPr>
      <w:b/>
      <w:bCs/>
      <w:szCs w:val="32"/>
    </w:rPr>
  </w:style>
  <w:style w:type="paragraph" w:styleId="4">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spacing w:line="240" w:lineRule="auto"/>
      <w:ind w:firstLine="579"/>
    </w:pPr>
    <w:rPr>
      <w:rFonts w:cs="宋体"/>
    </w:rPr>
  </w:style>
  <w:style w:type="paragraph" w:styleId="5">
    <w:name w:val="List 3"/>
    <w:basedOn w:val="1"/>
    <w:qFormat/>
    <w:uiPriority w:val="0"/>
    <w:pPr>
      <w:autoSpaceDE w:val="0"/>
      <w:autoSpaceDN w:val="0"/>
      <w:adjustRightInd w:val="0"/>
      <w:jc w:val="center"/>
      <w:textAlignment w:val="baseline"/>
    </w:pPr>
    <w:rPr>
      <w:kern w:val="0"/>
    </w:rPr>
  </w:style>
  <w:style w:type="paragraph" w:styleId="6">
    <w:name w:val="Normal Indent"/>
    <w:basedOn w:val="1"/>
    <w:next w:val="1"/>
    <w:qFormat/>
    <w:uiPriority w:val="0"/>
    <w:pPr>
      <w:jc w:val="center"/>
    </w:pPr>
    <w:rPr>
      <w:rFonts w:eastAsia="黑体"/>
      <w:sz w:val="24"/>
      <w:szCs w:val="21"/>
    </w:rPr>
  </w:style>
  <w:style w:type="paragraph" w:styleId="7">
    <w:name w:val="caption"/>
    <w:basedOn w:val="1"/>
    <w:next w:val="1"/>
    <w:qFormat/>
    <w:uiPriority w:val="0"/>
    <w:pPr>
      <w:adjustRightInd w:val="0"/>
      <w:snapToGrid w:val="0"/>
      <w:jc w:val="center"/>
    </w:pPr>
    <w:rPr>
      <w:b/>
      <w:sz w:val="24"/>
    </w:rPr>
  </w:style>
  <w:style w:type="paragraph" w:styleId="8">
    <w:name w:val="annotation text"/>
    <w:basedOn w:val="1"/>
    <w:link w:val="60"/>
    <w:qFormat/>
    <w:uiPriority w:val="0"/>
    <w:pPr>
      <w:jc w:val="left"/>
    </w:pPr>
  </w:style>
  <w:style w:type="paragraph" w:styleId="9">
    <w:name w:val="Body Text"/>
    <w:basedOn w:val="1"/>
    <w:next w:val="10"/>
    <w:qFormat/>
    <w:uiPriority w:val="0"/>
  </w:style>
  <w:style w:type="paragraph" w:customStyle="1" w:styleId="10">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1">
    <w:name w:val="Body Text Indent"/>
    <w:basedOn w:val="1"/>
    <w:qFormat/>
    <w:uiPriority w:val="0"/>
    <w:pPr>
      <w:tabs>
        <w:tab w:val="left" w:pos="540"/>
      </w:tabs>
      <w:ind w:firstLine="540"/>
    </w:pPr>
    <w:rPr>
      <w:sz w:val="28"/>
    </w:rPr>
  </w:style>
  <w:style w:type="paragraph" w:styleId="12">
    <w:name w:val="Plain Text"/>
    <w:basedOn w:val="1"/>
    <w:next w:val="13"/>
    <w:qFormat/>
    <w:uiPriority w:val="0"/>
    <w:rPr>
      <w:rFonts w:ascii="宋体" w:hAnsi="Courier New"/>
    </w:rPr>
  </w:style>
  <w:style w:type="paragraph" w:customStyle="1" w:styleId="13">
    <w:name w:val="正本"/>
    <w:basedOn w:val="1"/>
    <w:qFormat/>
    <w:uiPriority w:val="0"/>
    <w:pPr>
      <w:adjustRightInd w:val="0"/>
      <w:snapToGrid w:val="0"/>
      <w:spacing w:line="360" w:lineRule="auto"/>
      <w:ind w:firstLine="200" w:firstLineChars="200"/>
    </w:pPr>
    <w:rPr>
      <w:rFonts w:ascii="宋体" w:eastAsia="宋体"/>
      <w:kern w:val="2"/>
      <w:sz w:val="24"/>
      <w:szCs w:val="24"/>
      <w:lang w:val="en-US" w:eastAsia="zh-CN" w:bidi="ar-SA"/>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62"/>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pPr>
      <w:tabs>
        <w:tab w:val="right" w:leader="dot" w:pos="8891"/>
      </w:tabs>
      <w:spacing w:line="360" w:lineRule="auto"/>
    </w:pPr>
    <w:rPr>
      <w:sz w:val="28"/>
    </w:rPr>
  </w:style>
  <w:style w:type="paragraph" w:styleId="19">
    <w:name w:val="Body Text Indent 3"/>
    <w:basedOn w:val="1"/>
    <w:qFormat/>
    <w:uiPriority w:val="0"/>
    <w:pPr>
      <w:spacing w:line="500" w:lineRule="exact"/>
      <w:ind w:firstLine="480" w:firstLineChars="200"/>
    </w:pPr>
    <w:rPr>
      <w:rFonts w:ascii="宋体"/>
      <w:sz w:val="24"/>
    </w:rPr>
  </w:style>
  <w:style w:type="paragraph" w:styleId="20">
    <w:name w:val="table of figures"/>
    <w:basedOn w:val="1"/>
    <w:next w:val="1"/>
    <w:qFormat/>
    <w:uiPriority w:val="0"/>
    <w:pPr>
      <w:jc w:val="center"/>
    </w:pPr>
    <w:rPr>
      <w:b/>
    </w:rPr>
  </w:style>
  <w:style w:type="paragraph" w:styleId="21">
    <w:name w:val="toc 2"/>
    <w:basedOn w:val="1"/>
    <w:next w:val="1"/>
    <w:qFormat/>
    <w:uiPriority w:val="0"/>
    <w:pPr>
      <w:ind w:left="420" w:leftChars="200"/>
    </w:pPr>
    <w:rPr>
      <w:szCs w:val="24"/>
    </w:rPr>
  </w:style>
  <w:style w:type="paragraph" w:styleId="22">
    <w:name w:val="Normal (Web)"/>
    <w:basedOn w:val="1"/>
    <w:unhideWhenUsed/>
    <w:qFormat/>
    <w:uiPriority w:val="0"/>
    <w:pPr>
      <w:widowControl/>
      <w:spacing w:beforeAutospacing="1" w:afterAutospacing="1"/>
      <w:jc w:val="left"/>
    </w:pPr>
    <w:rPr>
      <w:rFonts w:ascii="宋体" w:hAnsi="宋体" w:cs="宋体"/>
      <w:kern w:val="0"/>
      <w:sz w:val="24"/>
      <w:szCs w:val="24"/>
    </w:rPr>
  </w:style>
  <w:style w:type="paragraph" w:styleId="23">
    <w:name w:val="index 1"/>
    <w:basedOn w:val="1"/>
    <w:next w:val="1"/>
    <w:qFormat/>
    <w:uiPriority w:val="0"/>
    <w:pPr>
      <w:spacing w:line="360" w:lineRule="auto"/>
      <w:ind w:right="-78" w:rightChars="-37"/>
    </w:pPr>
    <w:rPr>
      <w:rFonts w:hAnsi="宋体"/>
      <w:b/>
      <w:color w:val="000000"/>
      <w:sz w:val="28"/>
      <w:szCs w:val="28"/>
    </w:rPr>
  </w:style>
  <w:style w:type="paragraph" w:styleId="24">
    <w:name w:val="annotation subject"/>
    <w:basedOn w:val="8"/>
    <w:next w:val="8"/>
    <w:link w:val="61"/>
    <w:qFormat/>
    <w:uiPriority w:val="0"/>
    <w:rPr>
      <w:b/>
      <w:bCs/>
    </w:rPr>
  </w:style>
  <w:style w:type="paragraph" w:styleId="25">
    <w:name w:val="Body Text First Indent"/>
    <w:basedOn w:val="9"/>
    <w:next w:val="1"/>
    <w:qFormat/>
    <w:uiPriority w:val="0"/>
    <w:pPr>
      <w:adjustRightInd w:val="0"/>
      <w:snapToGrid w:val="0"/>
      <w:spacing w:beforeLines="50" w:line="360" w:lineRule="auto"/>
      <w:ind w:firstLine="200" w:firstLineChars="200"/>
    </w:pPr>
    <w:rPr>
      <w:sz w:val="24"/>
    </w:rPr>
  </w:style>
  <w:style w:type="paragraph" w:styleId="26">
    <w:name w:val="Body Text First Indent 2"/>
    <w:basedOn w:val="11"/>
    <w:next w:val="25"/>
    <w:qFormat/>
    <w:uiPriority w:val="0"/>
    <w:pPr>
      <w:spacing w:after="120"/>
      <w:ind w:left="420" w:leftChars="200" w:firstLine="420" w:firstLineChars="200"/>
    </w:pPr>
    <w:rPr>
      <w:sz w:val="21"/>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rFonts w:ascii="宋体" w:hAnsi="宋体" w:cs="宋体"/>
      <w:b/>
      <w:sz w:val="24"/>
    </w:rPr>
  </w:style>
  <w:style w:type="character" w:styleId="31">
    <w:name w:val="page number"/>
    <w:basedOn w:val="29"/>
    <w:qFormat/>
    <w:uiPriority w:val="0"/>
  </w:style>
  <w:style w:type="character" w:styleId="32">
    <w:name w:val="FollowedHyperlink"/>
    <w:basedOn w:val="29"/>
    <w:qFormat/>
    <w:uiPriority w:val="0"/>
    <w:rPr>
      <w:color w:val="000000"/>
      <w:sz w:val="18"/>
      <w:szCs w:val="18"/>
      <w:u w:val="none"/>
    </w:rPr>
  </w:style>
  <w:style w:type="character" w:styleId="33">
    <w:name w:val="Hyperlink"/>
    <w:qFormat/>
    <w:uiPriority w:val="99"/>
    <w:rPr>
      <w:color w:val="0000FF"/>
      <w:u w:val="single"/>
    </w:rPr>
  </w:style>
  <w:style w:type="character" w:styleId="34">
    <w:name w:val="annotation reference"/>
    <w:semiHidden/>
    <w:qFormat/>
    <w:uiPriority w:val="0"/>
    <w:rPr>
      <w:sz w:val="21"/>
      <w:szCs w:val="21"/>
    </w:rPr>
  </w:style>
  <w:style w:type="paragraph" w:customStyle="1" w:styleId="35">
    <w:name w:val="样式9"/>
    <w:basedOn w:val="1"/>
    <w:qFormat/>
    <w:uiPriority w:val="0"/>
    <w:pPr>
      <w:adjustRightInd w:val="0"/>
      <w:snapToGrid w:val="0"/>
      <w:spacing w:line="460" w:lineRule="exact"/>
      <w:ind w:firstLine="520" w:firstLineChars="200"/>
    </w:pPr>
    <w:rPr>
      <w:sz w:val="26"/>
      <w:szCs w:val="26"/>
    </w:rPr>
  </w:style>
  <w:style w:type="paragraph" w:customStyle="1" w:styleId="36">
    <w:name w:val="Default"/>
    <w:basedOn w:val="37"/>
    <w:next w:val="1"/>
    <w:qFormat/>
    <w:uiPriority w:val="0"/>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37">
    <w:name w:val="纯文本1"/>
    <w:basedOn w:val="1"/>
    <w:qFormat/>
    <w:uiPriority w:val="0"/>
    <w:rPr>
      <w:rFonts w:ascii="宋体" w:hAnsi="Courier New"/>
    </w:rPr>
  </w:style>
  <w:style w:type="paragraph" w:customStyle="1" w:styleId="38">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rPr>
  </w:style>
  <w:style w:type="paragraph" w:customStyle="1" w:styleId="39">
    <w:name w:val="表格"/>
    <w:basedOn w:val="6"/>
    <w:next w:val="40"/>
    <w:qFormat/>
    <w:uiPriority w:val="0"/>
    <w:rPr>
      <w:rFonts w:ascii="Arial" w:hAnsi="Arial"/>
      <w:sz w:val="21"/>
    </w:rPr>
  </w:style>
  <w:style w:type="paragraph" w:customStyle="1" w:styleId="40">
    <w:name w:val="正文首行"/>
    <w:basedOn w:val="6"/>
    <w:qFormat/>
    <w:uiPriority w:val="0"/>
    <w:pPr>
      <w:spacing w:line="480" w:lineRule="exact"/>
      <w:ind w:firstLine="1440" w:firstLineChars="200"/>
    </w:pPr>
  </w:style>
  <w:style w:type="paragraph" w:customStyle="1" w:styleId="41">
    <w:name w:val="表头"/>
    <w:basedOn w:val="6"/>
    <w:next w:val="1"/>
    <w:qFormat/>
    <w:uiPriority w:val="0"/>
    <w:pPr>
      <w:snapToGrid w:val="0"/>
      <w:spacing w:beforeLines="50"/>
      <w:ind w:firstLine="482"/>
      <w:jc w:val="left"/>
    </w:pPr>
    <w:rPr>
      <w:rFonts w:ascii="Arial" w:hAnsi="Arial"/>
      <w:b/>
    </w:rPr>
  </w:style>
  <w:style w:type="paragraph" w:customStyle="1" w:styleId="42">
    <w:name w:val="表内容"/>
    <w:basedOn w:val="1"/>
    <w:qFormat/>
    <w:uiPriority w:val="0"/>
    <w:pPr>
      <w:adjustRightInd w:val="0"/>
      <w:snapToGrid w:val="0"/>
      <w:jc w:val="center"/>
    </w:pPr>
    <w:rPr>
      <w:snapToGrid w:val="0"/>
    </w:rPr>
  </w:style>
  <w:style w:type="paragraph" w:customStyle="1" w:styleId="43">
    <w:name w:val="图名"/>
    <w:basedOn w:val="1"/>
    <w:qFormat/>
    <w:uiPriority w:val="0"/>
    <w:pPr>
      <w:jc w:val="center"/>
    </w:pPr>
    <w:rPr>
      <w:rFonts w:ascii="Arial" w:hAnsi="Arial" w:eastAsia="黑体"/>
      <w:b/>
    </w:rPr>
  </w:style>
  <w:style w:type="paragraph" w:customStyle="1" w:styleId="44">
    <w:name w:val="中文报告书样式"/>
    <w:basedOn w:val="1"/>
    <w:qFormat/>
    <w:uiPriority w:val="0"/>
    <w:pPr>
      <w:adjustRightInd w:val="0"/>
      <w:spacing w:line="480" w:lineRule="atLeast"/>
      <w:ind w:firstLine="482"/>
      <w:textAlignment w:val="baseline"/>
    </w:pPr>
    <w:rPr>
      <w:kern w:val="24"/>
      <w:sz w:val="24"/>
      <w:szCs w:val="24"/>
    </w:rPr>
  </w:style>
  <w:style w:type="paragraph" w:customStyle="1" w:styleId="45">
    <w:name w:val="报告书表格"/>
    <w:basedOn w:val="1"/>
    <w:qFormat/>
    <w:uiPriority w:val="0"/>
    <w:pPr>
      <w:adjustRightInd w:val="0"/>
      <w:spacing w:line="240" w:lineRule="atLeast"/>
      <w:jc w:val="center"/>
      <w:textAlignment w:val="baseline"/>
    </w:pPr>
    <w:rPr>
      <w:kern w:val="0"/>
    </w:rPr>
  </w:style>
  <w:style w:type="paragraph" w:customStyle="1" w:styleId="46">
    <w:name w:val="图表标题"/>
    <w:basedOn w:val="20"/>
    <w:next w:val="39"/>
    <w:qFormat/>
    <w:uiPriority w:val="0"/>
    <w:pPr>
      <w:spacing w:before="48" w:after="120"/>
      <w:outlineLvl w:val="4"/>
    </w:pPr>
    <w:rPr>
      <w:rFonts w:eastAsia="黑体"/>
      <w:bCs/>
      <w:snapToGrid w:val="0"/>
      <w:sz w:val="24"/>
    </w:rPr>
  </w:style>
  <w:style w:type="paragraph" w:customStyle="1" w:styleId="47">
    <w:name w:val="Table Paragraph"/>
    <w:basedOn w:val="1"/>
    <w:qFormat/>
    <w:uiPriority w:val="1"/>
    <w:rPr>
      <w:rFonts w:ascii="宋体" w:hAnsi="宋体" w:cs="宋体"/>
      <w:lang w:val="zh-CN" w:bidi="zh-CN"/>
    </w:rPr>
  </w:style>
  <w:style w:type="paragraph" w:customStyle="1" w:styleId="48">
    <w:name w:val="正文首行缩进2个字"/>
    <w:basedOn w:val="1"/>
    <w:qFormat/>
    <w:uiPriority w:val="0"/>
    <w:pPr>
      <w:spacing w:line="460" w:lineRule="atLeast"/>
      <w:ind w:firstLine="200" w:firstLineChars="200"/>
    </w:pPr>
    <w:rPr>
      <w:sz w:val="24"/>
    </w:rPr>
  </w:style>
  <w:style w:type="character" w:customStyle="1" w:styleId="49">
    <w:name w:val="content1"/>
    <w:qFormat/>
    <w:uiPriority w:val="0"/>
    <w:rPr>
      <w:color w:val="000000"/>
      <w:sz w:val="20"/>
      <w:szCs w:val="20"/>
    </w:rPr>
  </w:style>
  <w:style w:type="paragraph" w:customStyle="1" w:styleId="50">
    <w:name w:val="表标题"/>
    <w:next w:val="1"/>
    <w:qFormat/>
    <w:uiPriority w:val="0"/>
    <w:pPr>
      <w:spacing w:line="500" w:lineRule="exact"/>
      <w:jc w:val="center"/>
    </w:pPr>
    <w:rPr>
      <w:rFonts w:ascii="黑体" w:hAnsi="宋体" w:eastAsia="黑体" w:cs="Times New Roman"/>
      <w:color w:val="000000"/>
      <w:sz w:val="24"/>
      <w:szCs w:val="24"/>
      <w:lang w:val="en-US" w:eastAsia="zh-CN" w:bidi="ar-SA"/>
    </w:rPr>
  </w:style>
  <w:style w:type="paragraph" w:customStyle="1" w:styleId="51">
    <w:name w:val="样式1"/>
    <w:basedOn w:val="1"/>
    <w:qFormat/>
    <w:uiPriority w:val="0"/>
    <w:pPr>
      <w:spacing w:line="300" w:lineRule="atLeast"/>
      <w:jc w:val="center"/>
      <w:outlineLvl w:val="2"/>
    </w:pPr>
    <w:rPr>
      <w:rFonts w:eastAsia="楷体_GB2312"/>
    </w:rPr>
  </w:style>
  <w:style w:type="paragraph" w:customStyle="1" w:styleId="52">
    <w:name w:val="正文格式"/>
    <w:basedOn w:val="1"/>
    <w:qFormat/>
    <w:uiPriority w:val="0"/>
    <w:pPr>
      <w:spacing w:line="360" w:lineRule="auto"/>
      <w:ind w:firstLine="560" w:firstLineChars="200"/>
    </w:pPr>
    <w:rPr>
      <w:rFonts w:ascii="宋体" w:hAnsi="宋体"/>
      <w:sz w:val="28"/>
      <w:szCs w:val="28"/>
    </w:rPr>
  </w:style>
  <w:style w:type="paragraph" w:customStyle="1" w:styleId="53">
    <w:name w:val="正文正本 + 宋体"/>
    <w:basedOn w:val="1"/>
    <w:qFormat/>
    <w:uiPriority w:val="0"/>
    <w:pPr>
      <w:widowControl/>
      <w:spacing w:line="360" w:lineRule="auto"/>
      <w:ind w:firstLine="510"/>
      <w:jc w:val="left"/>
    </w:pPr>
    <w:rPr>
      <w:rFonts w:ascii="宋体" w:hAnsi="宋体"/>
      <w:kern w:val="0"/>
      <w:sz w:val="24"/>
      <w:szCs w:val="24"/>
    </w:rPr>
  </w:style>
  <w:style w:type="paragraph" w:customStyle="1" w:styleId="54">
    <w:name w:val="文本正文"/>
    <w:basedOn w:val="1"/>
    <w:qFormat/>
    <w:uiPriority w:val="0"/>
    <w:pPr>
      <w:spacing w:line="360" w:lineRule="auto"/>
      <w:ind w:firstLine="480" w:firstLineChars="200"/>
    </w:pPr>
    <w:rPr>
      <w:kern w:val="0"/>
      <w:sz w:val="24"/>
      <w:szCs w:val="24"/>
    </w:rPr>
  </w:style>
  <w:style w:type="paragraph" w:customStyle="1" w:styleId="55">
    <w:name w:val="表文"/>
    <w:basedOn w:val="1"/>
    <w:qFormat/>
    <w:uiPriority w:val="0"/>
    <w:pPr>
      <w:overflowPunct w:val="0"/>
      <w:autoSpaceDE w:val="0"/>
      <w:autoSpaceDN w:val="0"/>
      <w:adjustRightInd w:val="0"/>
      <w:jc w:val="center"/>
      <w:textAlignment w:val="baseline"/>
    </w:pPr>
    <w:rPr>
      <w:kern w:val="0"/>
      <w:szCs w:val="21"/>
      <w:lang w:val="zh-CN"/>
    </w:rPr>
  </w:style>
  <w:style w:type="paragraph" w:customStyle="1" w:styleId="56">
    <w:name w:val="报告表正文"/>
    <w:basedOn w:val="1"/>
    <w:qFormat/>
    <w:uiPriority w:val="99"/>
    <w:pPr>
      <w:spacing w:line="360" w:lineRule="auto"/>
      <w:ind w:firstLine="200" w:firstLineChars="200"/>
    </w:pPr>
    <w:rPr>
      <w:rFonts w:eastAsia="楷体_GB2312"/>
      <w:sz w:val="24"/>
      <w:szCs w:val="24"/>
    </w:rPr>
  </w:style>
  <w:style w:type="character" w:customStyle="1" w:styleId="57">
    <w:name w:val="apple-converted-space"/>
    <w:basedOn w:val="29"/>
    <w:qFormat/>
    <w:uiPriority w:val="0"/>
  </w:style>
  <w:style w:type="paragraph" w:customStyle="1" w:styleId="58">
    <w:name w:val="表"/>
    <w:basedOn w:val="1"/>
    <w:qFormat/>
    <w:uiPriority w:val="0"/>
    <w:pPr>
      <w:jc w:val="center"/>
    </w:pPr>
    <w:rPr>
      <w:kern w:val="0"/>
    </w:rPr>
  </w:style>
  <w:style w:type="paragraph" w:customStyle="1" w:styleId="59">
    <w:name w:val="样式 首行缩进:  1 厘米 行距: 固定值 25 磅"/>
    <w:basedOn w:val="1"/>
    <w:qFormat/>
    <w:uiPriority w:val="0"/>
    <w:pPr>
      <w:adjustRightInd w:val="0"/>
      <w:ind w:firstLine="200" w:firstLineChars="200"/>
      <w:jc w:val="left"/>
      <w:textAlignment w:val="baseline"/>
    </w:pPr>
    <w:rPr>
      <w:rFonts w:ascii="宋体" w:cs="宋体"/>
      <w:snapToGrid w:val="0"/>
      <w:kern w:val="24"/>
      <w:szCs w:val="24"/>
    </w:rPr>
  </w:style>
  <w:style w:type="character" w:customStyle="1" w:styleId="60">
    <w:name w:val="批注文字 Char"/>
    <w:basedOn w:val="29"/>
    <w:link w:val="8"/>
    <w:qFormat/>
    <w:uiPriority w:val="0"/>
    <w:rPr>
      <w:kern w:val="2"/>
      <w:sz w:val="21"/>
    </w:rPr>
  </w:style>
  <w:style w:type="character" w:customStyle="1" w:styleId="61">
    <w:name w:val="批注主题 Char"/>
    <w:basedOn w:val="60"/>
    <w:link w:val="24"/>
    <w:qFormat/>
    <w:uiPriority w:val="0"/>
  </w:style>
  <w:style w:type="character" w:customStyle="1" w:styleId="62">
    <w:name w:val="批注框文本 Char"/>
    <w:basedOn w:val="29"/>
    <w:link w:val="15"/>
    <w:qFormat/>
    <w:uiPriority w:val="0"/>
    <w:rPr>
      <w:kern w:val="2"/>
      <w:sz w:val="18"/>
      <w:szCs w:val="18"/>
    </w:rPr>
  </w:style>
  <w:style w:type="paragraph" w:customStyle="1" w:styleId="63">
    <w:name w:val="黄酒表格标题"/>
    <w:qFormat/>
    <w:uiPriority w:val="0"/>
    <w:pPr>
      <w:tabs>
        <w:tab w:val="left" w:pos="-2848"/>
      </w:tabs>
      <w:jc w:val="center"/>
    </w:pPr>
    <w:rPr>
      <w:rFonts w:ascii="Times New Roman" w:hAnsi="Times New Roman" w:eastAsia="宋体" w:cs="宋体"/>
      <w:b/>
      <w:sz w:val="21"/>
      <w:szCs w:val="21"/>
      <w:lang w:val="en-US" w:eastAsia="zh-CN" w:bidi="ar-SA"/>
    </w:rPr>
  </w:style>
  <w:style w:type="paragraph" w:customStyle="1" w:styleId="64">
    <w:name w:val="CM7"/>
    <w:basedOn w:val="36"/>
    <w:next w:val="36"/>
    <w:qFormat/>
    <w:uiPriority w:val="0"/>
    <w:pPr>
      <w:spacing w:line="500" w:lineRule="atLeast"/>
    </w:pPr>
  </w:style>
  <w:style w:type="paragraph" w:customStyle="1" w:styleId="65">
    <w:name w:val="样式 样式 小四 左 首行缩进:  2 字符 + 首行缩进:  2 字符 Char"/>
    <w:basedOn w:val="66"/>
    <w:qFormat/>
    <w:uiPriority w:val="0"/>
    <w:pPr>
      <w:tabs>
        <w:tab w:val="left" w:pos="1021"/>
      </w:tabs>
      <w:ind w:firstLine="560"/>
    </w:pPr>
  </w:style>
  <w:style w:type="paragraph" w:customStyle="1" w:styleId="66">
    <w:name w:val="样式 小四 左 首行缩进:  2 字符"/>
    <w:basedOn w:val="1"/>
    <w:qFormat/>
    <w:uiPriority w:val="0"/>
    <w:pPr>
      <w:adjustRightInd w:val="0"/>
      <w:spacing w:line="360" w:lineRule="auto"/>
      <w:ind w:right="-56" w:rightChars="-20" w:firstLine="480" w:firstLineChars="200"/>
      <w:jc w:val="left"/>
      <w:textAlignment w:val="baseline"/>
    </w:pPr>
    <w:rPr>
      <w:rFonts w:cs="宋体"/>
    </w:rPr>
  </w:style>
  <w:style w:type="paragraph" w:customStyle="1" w:styleId="67">
    <w:name w:val="8.28  JQ  正文"/>
    <w:basedOn w:val="1"/>
    <w:qFormat/>
    <w:uiPriority w:val="0"/>
    <w:pPr>
      <w:autoSpaceDE w:val="0"/>
      <w:autoSpaceDN w:val="0"/>
      <w:spacing w:line="520" w:lineRule="exact"/>
      <w:ind w:firstLine="480" w:firstLineChars="200"/>
      <w:jc w:val="left"/>
    </w:pPr>
    <w:rPr>
      <w:rFonts w:hAnsi="宋体"/>
      <w:sz w:val="24"/>
    </w:rPr>
  </w:style>
  <w:style w:type="paragraph" w:customStyle="1" w:styleId="68">
    <w:name w:val="Char Char12"/>
    <w:basedOn w:val="1"/>
    <w:qFormat/>
    <w:uiPriority w:val="0"/>
    <w:rPr>
      <w:sz w:val="24"/>
    </w:rPr>
  </w:style>
  <w:style w:type="paragraph" w:customStyle="1" w:styleId="69">
    <w:name w:val="样式 行距: 1.5 倍行距"/>
    <w:basedOn w:val="1"/>
    <w:qFormat/>
    <w:uiPriority w:val="0"/>
    <w:pPr>
      <w:spacing w:line="360" w:lineRule="auto"/>
      <w:ind w:firstLine="480"/>
    </w:pPr>
    <w:rPr>
      <w:rFonts w:eastAsia="仿宋_GB2312" w:cs="宋体"/>
      <w:kern w:val="0"/>
    </w:rPr>
  </w:style>
  <w:style w:type="paragraph" w:customStyle="1" w:styleId="70">
    <w:name w:val="正文1-1"/>
    <w:basedOn w:val="1"/>
    <w:qFormat/>
    <w:uiPriority w:val="0"/>
    <w:pPr>
      <w:tabs>
        <w:tab w:val="left" w:pos="1021"/>
      </w:tabs>
      <w:adjustRightInd w:val="0"/>
      <w:snapToGrid w:val="0"/>
      <w:spacing w:line="500" w:lineRule="exact"/>
      <w:ind w:firstLine="480" w:firstLineChars="200"/>
    </w:pPr>
    <w:rPr>
      <w:rFonts w:hAnsi="华文仿宋"/>
    </w:rPr>
  </w:style>
  <w:style w:type="paragraph" w:customStyle="1" w:styleId="71">
    <w:name w:val="表头1"/>
    <w:basedOn w:val="1"/>
    <w:qFormat/>
    <w:uiPriority w:val="0"/>
    <w:pPr>
      <w:tabs>
        <w:tab w:val="left" w:pos="1021"/>
      </w:tabs>
      <w:spacing w:before="156" w:after="156"/>
      <w:jc w:val="center"/>
    </w:pPr>
    <w:rPr>
      <w:rFonts w:eastAsia="黑体"/>
    </w:rPr>
  </w:style>
  <w:style w:type="paragraph" w:customStyle="1" w:styleId="72">
    <w:name w:val="表文字"/>
    <w:basedOn w:val="1"/>
    <w:qFormat/>
    <w:uiPriority w:val="0"/>
    <w:pPr>
      <w:tabs>
        <w:tab w:val="left" w:pos="1021"/>
      </w:tabs>
      <w:overflowPunct w:val="0"/>
      <w:autoSpaceDE w:val="0"/>
      <w:autoSpaceDN w:val="0"/>
      <w:adjustRightInd w:val="0"/>
      <w:spacing w:line="240" w:lineRule="atLeast"/>
      <w:jc w:val="center"/>
      <w:textAlignment w:val="baseline"/>
    </w:pPr>
    <w:rPr>
      <w:rFonts w:eastAsia="仿宋_GB2312"/>
    </w:rPr>
  </w:style>
  <w:style w:type="paragraph" w:customStyle="1" w:styleId="73">
    <w:name w:val="表-正文"/>
    <w:basedOn w:val="1"/>
    <w:qFormat/>
    <w:uiPriority w:val="0"/>
    <w:pPr>
      <w:adjustRightInd w:val="0"/>
      <w:snapToGrid w:val="0"/>
      <w:spacing w:line="360" w:lineRule="auto"/>
      <w:ind w:firstLine="200" w:firstLineChars="200"/>
    </w:pPr>
    <w:rPr>
      <w:rFonts w:cs="宋体"/>
      <w:sz w:val="24"/>
    </w:rPr>
  </w:style>
  <w:style w:type="paragraph" w:styleId="74">
    <w:name w:val="List Paragraph"/>
    <w:basedOn w:val="1"/>
    <w:qFormat/>
    <w:uiPriority w:val="0"/>
    <w:pPr>
      <w:widowControl w:val="0"/>
      <w:autoSpaceDE w:val="0"/>
      <w:autoSpaceDN w:val="0"/>
      <w:snapToGrid/>
      <w:spacing w:after="0"/>
    </w:pPr>
    <w:rPr>
      <w:rFonts w:ascii="Times New Roman" w:hAnsi="Times New Roman" w:eastAsia="宋体" w:cs="Times New Roman"/>
      <w:sz w:val="24"/>
      <w:szCs w:val="24"/>
    </w:rPr>
  </w:style>
  <w:style w:type="paragraph" w:customStyle="1" w:styleId="75">
    <w:name w:val="（正文）"/>
    <w:basedOn w:val="12"/>
    <w:qFormat/>
    <w:uiPriority w:val="0"/>
    <w:pPr>
      <w:tabs>
        <w:tab w:val="left" w:pos="0"/>
      </w:tabs>
      <w:adjustRightInd w:val="0"/>
      <w:snapToGrid w:val="0"/>
      <w:spacing w:line="360" w:lineRule="auto"/>
      <w:ind w:firstLine="200" w:firstLineChars="200"/>
    </w:pPr>
    <w:rPr>
      <w:rFonts w:ascii="Calibri" w:hAnsi="Calibri" w:eastAsia="宋体" w:cs="Times New Roman"/>
      <w:sz w:val="24"/>
      <w:szCs w:val="22"/>
    </w:rPr>
  </w:style>
  <w:style w:type="paragraph" w:customStyle="1" w:styleId="76">
    <w:name w:val="cucd-0"/>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77">
    <w:name w:val="5正文"/>
    <w:basedOn w:val="1"/>
    <w:qFormat/>
    <w:uiPriority w:val="0"/>
    <w:pPr>
      <w:spacing w:line="520" w:lineRule="exact"/>
      <w:ind w:firstLine="200" w:firstLineChars="200"/>
    </w:pPr>
    <w:rPr>
      <w:rFonts w:ascii="Times New Roman" w:hAnsi="Times New Roman"/>
      <w:sz w:val="24"/>
    </w:rPr>
  </w:style>
  <w:style w:type="paragraph" w:customStyle="1" w:styleId="78">
    <w:name w:val="市环科院正文"/>
    <w:basedOn w:val="1"/>
    <w:qFormat/>
    <w:uiPriority w:val="0"/>
    <w:pPr>
      <w:spacing w:line="300" w:lineRule="auto"/>
      <w:ind w:firstLine="480" w:firstLineChars="200"/>
    </w:pPr>
    <w:rPr>
      <w:kern w:val="0"/>
      <w:sz w:val="24"/>
    </w:rPr>
  </w:style>
  <w:style w:type="paragraph" w:customStyle="1" w:styleId="79">
    <w:name w:val="正文文本，表格"/>
    <w:basedOn w:val="1"/>
    <w:qFormat/>
    <w:uiPriority w:val="0"/>
    <w:pPr>
      <w:jc w:val="center"/>
    </w:pPr>
    <w:rPr>
      <w:rFonts w:cs="宋体"/>
      <w:szCs w:val="21"/>
    </w:rPr>
  </w:style>
  <w:style w:type="paragraph" w:customStyle="1" w:styleId="80">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1">
    <w:name w:val="7表格内容"/>
    <w:basedOn w:val="1"/>
    <w:qFormat/>
    <w:uiPriority w:val="0"/>
    <w:pPr>
      <w:spacing w:line="400" w:lineRule="exact"/>
      <w:jc w:val="center"/>
    </w:pPr>
    <w:rPr>
      <w:rFonts w:ascii="Times New Roman" w:hAnsi="Times New Roman"/>
    </w:rPr>
  </w:style>
  <w:style w:type="paragraph" w:customStyle="1" w:styleId="82">
    <w:name w:val="RAINYON的段落"/>
    <w:qFormat/>
    <w:uiPriority w:val="0"/>
    <w:pPr>
      <w:widowControl w:val="0"/>
      <w:suppressAutoHyphens/>
      <w:topLinePunct/>
      <w:autoSpaceDE w:val="0"/>
      <w:spacing w:line="540" w:lineRule="exact"/>
      <w:ind w:firstLine="200" w:firstLineChars="200"/>
    </w:pPr>
    <w:rPr>
      <w:rFonts w:ascii="Times New Roman" w:hAnsi="Times New Roman" w:eastAsia="宋体" w:cs="Times New Roman"/>
      <w:color w:val="000000"/>
      <w:sz w:val="28"/>
      <w:szCs w:val="28"/>
      <w:lang w:val="en-US" w:eastAsia="zh-CN" w:bidi="ar-SA"/>
    </w:rPr>
  </w:style>
  <w:style w:type="paragraph" w:customStyle="1" w:styleId="83">
    <w:name w:val="1文章"/>
    <w:basedOn w:val="1"/>
    <w:qFormat/>
    <w:uiPriority w:val="0"/>
    <w:pPr>
      <w:snapToGrid w:val="0"/>
      <w:spacing w:line="360" w:lineRule="auto"/>
      <w:ind w:firstLine="573" w:firstLineChars="0"/>
      <w:jc w:val="both"/>
    </w:pPr>
    <w:rPr>
      <w:rFonts w:eastAsia="仿宋_GB2312"/>
      <w:sz w:val="28"/>
      <w:szCs w:val="20"/>
    </w:rPr>
  </w:style>
  <w:style w:type="paragraph" w:customStyle="1" w:styleId="84">
    <w:name w:val="zw1"/>
    <w:basedOn w:val="1"/>
    <w:qFormat/>
    <w:uiPriority w:val="0"/>
    <w:pPr>
      <w:spacing w:line="360" w:lineRule="auto"/>
      <w:ind w:right="-107" w:rightChars="-51" w:firstLine="480" w:firstLineChars="200"/>
    </w:pPr>
    <w:rPr>
      <w:rFonts w:hAnsi="宋体"/>
      <w:bCs/>
      <w:kern w:val="8"/>
      <w:sz w:val="24"/>
    </w:rPr>
  </w:style>
  <w:style w:type="paragraph" w:customStyle="1" w:styleId="85">
    <w:name w:val="表格一"/>
    <w:basedOn w:val="1"/>
    <w:qFormat/>
    <w:uiPriority w:val="0"/>
    <w:pPr>
      <w:jc w:val="center"/>
    </w:pPr>
    <w:rPr>
      <w:rFonts w:ascii="Times New Roman" w:hAnsi="Times New Roman" w:cs="Times New Roman"/>
      <w:sz w:val="24"/>
    </w:rPr>
  </w:style>
  <w:style w:type="paragraph" w:customStyle="1" w:styleId="86">
    <w:name w:val="表格内容"/>
    <w:basedOn w:val="1"/>
    <w:qFormat/>
    <w:uiPriority w:val="0"/>
    <w:pPr>
      <w:jc w:val="center"/>
    </w:pPr>
    <w:rPr>
      <w:rFonts w:cs="宋体"/>
      <w:szCs w:val="21"/>
    </w:rPr>
  </w:style>
  <w:style w:type="paragraph" w:customStyle="1" w:styleId="87">
    <w:name w:val="环评正文"/>
    <w:basedOn w:val="1"/>
    <w:qFormat/>
    <w:uiPriority w:val="0"/>
    <w:pPr>
      <w:spacing w:line="360" w:lineRule="auto"/>
    </w:pPr>
    <w:rPr>
      <w:rFonts w:ascii="宋体" w:hAnsi="宋体"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8.png"/><Relationship Id="rId34" Type="http://schemas.openxmlformats.org/officeDocument/2006/relationships/image" Target="media/image17.wmf"/><Relationship Id="rId33" Type="http://schemas.openxmlformats.org/officeDocument/2006/relationships/oleObject" Target="embeddings/oleObject8.bin"/><Relationship Id="rId32" Type="http://schemas.openxmlformats.org/officeDocument/2006/relationships/image" Target="media/image16.wmf"/><Relationship Id="rId31" Type="http://schemas.openxmlformats.org/officeDocument/2006/relationships/oleObject" Target="embeddings/oleObject7.bin"/><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4.wmf"/><Relationship Id="rId27" Type="http://schemas.openxmlformats.org/officeDocument/2006/relationships/oleObject" Target="embeddings/oleObject5.bin"/><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wmf"/><Relationship Id="rId22" Type="http://schemas.openxmlformats.org/officeDocument/2006/relationships/image" Target="media/image9.png"/><Relationship Id="rId21" Type="http://schemas.openxmlformats.org/officeDocument/2006/relationships/image" Target="media/image8.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3.bin"/><Relationship Id="rId17" Type="http://schemas.openxmlformats.org/officeDocument/2006/relationships/image" Target="media/image6.wmf"/><Relationship Id="rId16" Type="http://schemas.openxmlformats.org/officeDocument/2006/relationships/oleObject" Target="embeddings/oleObject2.bin"/><Relationship Id="rId15" Type="http://schemas.openxmlformats.org/officeDocument/2006/relationships/image" Target="media/image5.emf"/><Relationship Id="rId14" Type="http://schemas.openxmlformats.org/officeDocument/2006/relationships/oleObject" Target="embeddings/oleObject1.bin"/><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3"/>
    <customShpInfo spid="_x0000_s3074"/>
    <customShpInfo spid="_x0000_s2390"/>
    <customShpInfo spid="_x0000_s2391"/>
    <customShpInfo spid="_x0000_s2131"/>
    <customShpInfo spid="_x0000_s2130"/>
    <customShpInfo spid="_x0000_s2129"/>
    <customShpInfo spid="_x0000_s2128"/>
    <customShpInfo spid="_x0000_s2127"/>
    <customShpInfo spid="_x0000_s2124"/>
    <customShpInfo spid="_x0000_s2387"/>
    <customShpInfo spid="_x0000_s2388"/>
    <customShpInfo spid="_x0000_s2389"/>
    <customShpInfo spid="_x0000_s2320"/>
    <customShpInfo spid="_x0000_s2321"/>
    <customShpInfo spid="_x0000_s2334"/>
    <customShpInfo spid="_x0000_s2330"/>
    <customShpInfo spid="_x0000_s2328"/>
    <customShpInfo spid="_x0000_s2331"/>
    <customShpInfo spid="_x0000_s2329"/>
    <customShpInfo spid="_x0000_s2332"/>
    <customShpInfo spid="_x0000_s2333"/>
    <customShpInfo spid="_x0000_s2326"/>
    <customShpInfo spid="_x0000_s2322"/>
    <customShpInfo spid="_x0000_s2323"/>
    <customShpInfo spid="_x0000_s2324"/>
    <customShpInfo spid="_x0000_s2325"/>
    <customShpInfo spid="_x0000_s2327"/>
    <customShpInfo spid="_x0000_s2339"/>
    <customShpInfo spid="_x0000_s2340"/>
    <customShpInfo spid="_x0000_s2341"/>
    <customShpInfo spid="_x0000_s2342"/>
    <customShpInfo spid="_x0000_s2343"/>
    <customShpInfo spid="_x0000_s2344"/>
    <customShpInfo spid="_x0000_s2345"/>
    <customShpInfo spid="_x0000_s2346"/>
    <customShpInfo spid="_x0000_s2347"/>
    <customShpInfo spid="_x0000_s2348"/>
    <customShpInfo spid="_x0000_s2349"/>
    <customShpInfo spid="_x0000_s2350"/>
    <customShpInfo spid="_x0000_s2351"/>
    <customShpInfo spid="_x0000_s2352"/>
    <customShpInfo spid="_x0000_s2353"/>
    <customShpInfo spid="_x0000_s2354"/>
    <customShpInfo spid="_x0000_s2355"/>
    <customShpInfo spid="_x0000_s2356"/>
    <customShpInfo spid="_x0000_s2357"/>
    <customShpInfo spid="_x0000_s2358"/>
    <customShpInfo spid="_x0000_s2359"/>
    <customShpInfo spid="_x0000_s2360"/>
    <customShpInfo spid="_x0000_s2361"/>
    <customShpInfo spid="_x0000_s2362"/>
    <customShpInfo spid="_x0000_s2363"/>
    <customShpInfo spid="_x0000_s2364"/>
    <customShpInfo spid="_x0000_s2365"/>
    <customShpInfo spid="_x0000_s2366"/>
    <customShpInfo spid="_x0000_s2367"/>
    <customShpInfo spid="_x0000_s2368"/>
    <customShpInfo spid="_x0000_s2369"/>
    <customShpInfo spid="_x0000_s2370"/>
    <customShpInfo spid="_x0000_s2371"/>
    <customShpInfo spid="_x0000_s2372"/>
    <customShpInfo spid="_x0000_s2373"/>
    <customShpInfo spid="_x0000_s2374"/>
    <customShpInfo spid="_x0000_s2375"/>
    <customShpInfo spid="_x0000_s2376"/>
    <customShpInfo spid="_x0000_s2377"/>
    <customShpInfo spid="_x0000_s2378"/>
    <customShpInfo spid="_x0000_s2379"/>
    <customShpInfo spid="_x0000_s2380"/>
    <customShpInfo spid="_x0000_s2381"/>
    <customShpInfo spid="_x0000_s2382"/>
    <customShpInfo spid="_x0000_s2383"/>
    <customShpInfo spid="_x0000_s2384"/>
    <customShpInfo spid="_x0000_s2385"/>
    <customShpInfo spid="_x0000_s2386"/>
    <customShpInfo spid="_x0000_s2338"/>
    <customShpInfo spid="_x0000_s2054"/>
    <customShpInfo spid="_x0000_s2053"/>
    <customShpInfo spid="_x0000_s2052"/>
    <customShpInfo spid="_x0000_s2051"/>
    <customShpInfo spid="_x0000_s2050"/>
    <customShpInfo spid="_x0000_s2392"/>
    <customShpInfo spid="_x0000_s23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76</Pages>
  <Words>8681</Words>
  <Characters>49485</Characters>
  <Lines>412</Lines>
  <Paragraphs>116</Paragraphs>
  <TotalTime>0</TotalTime>
  <ScaleCrop>false</ScaleCrop>
  <LinksUpToDate>false</LinksUpToDate>
  <CharactersWithSpaces>58050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2018-05-19T03:05:00Z</dcterms:created>
  <dc:creator>后来回忆</dc:creator>
  <cp:lastModifiedBy>Z</cp:lastModifiedBy>
  <dcterms:modified xsi:type="dcterms:W3CDTF">2020-09-08T12:14:02Z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