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723" w:firstLineChars="200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2021年决算绩效评价报告</w:t>
      </w:r>
    </w:p>
    <w:p>
      <w:pPr>
        <w:pStyle w:val="6"/>
        <w:ind w:firstLine="640" w:firstLineChars="200"/>
        <w:jc w:val="center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pStyle w:val="6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（一）预算绩效管理工作开展情况</w:t>
      </w:r>
    </w:p>
    <w:p>
      <w:pPr>
        <w:pStyle w:val="6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根据预算绩效管理要求，本部门对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各</w:t>
      </w:r>
      <w:r>
        <w:rPr>
          <w:rFonts w:hint="eastAsia" w:asciiTheme="minorEastAsia" w:hAnsiTheme="minorEastAsia" w:eastAsiaTheme="minorEastAsia"/>
          <w:sz w:val="32"/>
          <w:szCs w:val="32"/>
        </w:rPr>
        <w:t>个项目开展了绩效自评，从评价情况来看，我单位围绕绩效目标执行各项预算，较好地实现了绩效目标，为纪检监察工作提供了有力保障，对全区社会经济发展促进和推动作用。预决算公开：202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年，按照上级的要求，我单位在政府网站上进行了预决算公开。</w:t>
      </w:r>
    </w:p>
    <w:p>
      <w:pPr>
        <w:pStyle w:val="6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6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（二）绩效自评结果</w:t>
      </w:r>
    </w:p>
    <w:p>
      <w:pP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根据年初设定的绩效目标，总体完成情况好。主要产出和效果：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一是</w:t>
      </w:r>
      <w:r>
        <w:rPr>
          <w:rFonts w:hint="eastAsia" w:asciiTheme="minorEastAsia" w:hAnsiTheme="minorEastAsia" w:eastAsiaTheme="minorEastAsia"/>
          <w:sz w:val="32"/>
          <w:szCs w:val="32"/>
        </w:rPr>
        <w:t>开展区委巡察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轮，发现并移交问题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101</w:t>
      </w:r>
      <w:r>
        <w:rPr>
          <w:rFonts w:hint="eastAsia" w:asciiTheme="minorEastAsia" w:hAnsiTheme="minorEastAsia" w:eastAsiaTheme="minorEastAsia"/>
          <w:sz w:val="32"/>
          <w:szCs w:val="32"/>
        </w:rPr>
        <w:t>个，推动立行立改问题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65</w:t>
      </w:r>
      <w:r>
        <w:rPr>
          <w:rFonts w:hint="eastAsia" w:asciiTheme="minorEastAsia" w:hAnsiTheme="minorEastAsia" w:eastAsiaTheme="minorEastAsia"/>
          <w:sz w:val="32"/>
          <w:szCs w:val="32"/>
        </w:rPr>
        <w:t>个，移交问题线索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二是开展作风督查64次，督促整改问题225个，给予组织处理409人，立案34人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查处3起干部违规接受管理服务对象吃请问题，党纪政务处分2人。严肃查处党员干部酒驾醉驾问题32起，党纪政务处分32人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开展新冠肺炎疫情防控督促整改问题210个，对行动迟缓、落实不力的单位“一把手”提醒谈话15人次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抓实换届风气监督，完成资格联审1233人次，取消资格15人次，否决1人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。与各级党委（党组）书记谈心谈话29人次，约谈16人，诫勉谈话1人。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三是开展专项检查27次，发现并督促整改问题174个，核查乱占耕地建房问题线索15条，追回社保医保基金132万余元，创设“企业家接待日”帮助企业解决问题12个，立案查处损害营商环境问题1件1人。开展涉粮领域交叉巡察和专项整治，立案1件。聚焦生态环境领域重点问题，开展“洞庭清波”专项行动，对中央环保督察组反馈移交的2个问题下达“整改清单”并完成销号。协同推进政法队伍教育整顿工作，查处问题线索11条，立案7人，给予党纪政务处分4人，诫勉谈话3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WJmODFmODFlM2YzMmQ2YTJlMzY2Yjg1MTI3NTAifQ=="/>
  </w:docVars>
  <w:rsids>
    <w:rsidRoot w:val="4DA375A2"/>
    <w:rsid w:val="16FF70C2"/>
    <w:rsid w:val="3CBD293A"/>
    <w:rsid w:val="47B0411C"/>
    <w:rsid w:val="4D510E76"/>
    <w:rsid w:val="4DA375A2"/>
    <w:rsid w:val="681A7B2C"/>
    <w:rsid w:val="7F2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cs="Times New Roman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747</Characters>
  <Lines>0</Lines>
  <Paragraphs>0</Paragraphs>
  <TotalTime>21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2022-06-28T08:53:00Z</dcterms:created>
  <dc:creator>Administrator</dc:creator>
  <cp:lastModifiedBy>lenovo</cp:lastModifiedBy>
  <dcterms:modified xsi:type="dcterms:W3CDTF">2022-09-26T09:16:00Z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CC5EE2A53C9846B188D7421B42DEDA5A</vt:lpwstr>
  </property>
</Properties>
</file>