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2" w:afterAutospacing="0"/>
        <w:ind w:left="0" w:firstLine="641"/>
        <w:rPr>
          <w:sz w:val="27"/>
          <w:szCs w:val="27"/>
        </w:rPr>
      </w:pPr>
      <w:r>
        <w:rPr>
          <w:rStyle w:val="7"/>
          <w:rFonts w:hint="eastAsia"/>
        </w:rPr>
        <w:t>关于</w:t>
      </w:r>
      <w:bookmarkStart w:id="0" w:name="_GoBack"/>
      <w:r>
        <w:rPr>
          <w:rStyle w:val="7"/>
          <w:rFonts w:hint="eastAsia"/>
        </w:rPr>
        <w:t>2020年度预算绩效情况说明</w:t>
      </w:r>
      <w:bookmarkEnd w:id="0"/>
      <w:r>
        <w:rPr>
          <w:color w:val="000000"/>
          <w:sz w:val="27"/>
          <w:szCs w:val="27"/>
        </w:rPr>
        <w:t xml:space="preserve"> </w:t>
      </w:r>
    </w:p>
    <w:p>
      <w:pPr>
        <w:pStyle w:val="6"/>
        <w:spacing w:before="0" w:beforeAutospacing="0" w:after="2" w:afterAutospacing="0"/>
        <w:ind w:left="0" w:firstLine="640"/>
        <w:rPr>
          <w:sz w:val="27"/>
          <w:szCs w:val="27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邵阳市双清区就业局大力做好各项就业工作，全面完成工作任务，取得良好绩效。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(一）整体支出绩效目标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预决算公开：2020年，按照上级的要求，我单位在政府网站上进行了预决算公开。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资产管理：我们进一步加强资产的管理，明确具体责任人，完善了固定资产档案，严格报批、审核等手续，做好资产登记工作，单位无任何资产流失现象。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2020年度，我区城镇新增就业人员任务3746人，共计完成3996人，完成上级任务的107%；失业人员再就业任务2310人，共计完成2319人，完成上级任务的100%；其中就业困难对象再就业任务800人，共计完成上级任务的844人，完成106%。新增农村劳动力转移就业任务520人，共计完成人数526人，完成上级任务的101%。城镇登记失业率4.3%以内，低于上级4.5%目标任务指标，各项就业工作圆满完成。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三公经费控制情况：我单位贯彻落实上级有关精神，严格控制“三公经费”支出，取得了良好效果。具体情况如下：2020年“三公”经费0万元，其中公务接待费为0万元，无公务用车运行维护费和因公出国（境）费用。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（二）部门整体支出情况分析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eastAsia="宋体" w:cs="宋体"/>
          <w:color w:val="000000"/>
          <w:sz w:val="32"/>
          <w:szCs w:val="32"/>
        </w:rPr>
        <w:t>从整体情况来看，我单位严格按照年初预算进行部门整体支出。在支出过程中，能严格遵守各项规章制度。</w:t>
      </w:r>
      <w:r>
        <w:rPr>
          <w:color w:val="000000"/>
          <w:sz w:val="27"/>
          <w:szCs w:val="27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" w:afterAutospacing="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mY4NDBkZDNhNGEwYWQxOGMwNWNjODE5ZjRhMTgifQ=="/>
  </w:docVars>
  <w:rsids>
    <w:rsidRoot w:val="00000000"/>
    <w:rsid w:val="3A7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18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2022-06-28T03:11:59Z</dcterms:created>
  <dc:creator>a</dc:creator>
  <cp:lastModifiedBy>Rilicy</cp:lastModifiedBy>
  <dcterms:modified xsi:type="dcterms:W3CDTF">2022-06-28T03:12:39Z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6E3FD8A3E3F64E0C90FDA3EF5AB30ABD</vt:lpwstr>
  </property>
</Properties>
</file>