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72"/>
          <w:szCs w:val="72"/>
          <w:bdr w:val="none" w:color="auto" w:sz="0" w:space="0"/>
          <w:shd w:val="clear" w:fill="FFFFFF"/>
        </w:rPr>
        <w:t>第五部分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70"/>
          <w:szCs w:val="70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70"/>
          <w:szCs w:val="70"/>
          <w:bdr w:val="none" w:color="auto" w:sz="0" w:space="0"/>
          <w:shd w:val="clear" w:fill="FFFFFF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Calibri" w:hAnsi="Calibri" w:cs="Calibri" w:eastAsiaTheme="minorEastAsi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70"/>
          <w:szCs w:val="70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64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2020年度部门整体支出绩效评价报告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8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(一）整体支出绩效目标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8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预决算公开：2020年，按照上级的要求，我单位在政府网站上进行了预决算公开。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8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资产管理：我们进一步加强资产的管理，明确具体责任人，完善了固定资产档案，严格报批、审核等手续，做好资产登记工作，单位无任何资产流失现象。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8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三公经费控制情况：我单位贯彻落实上级有关精神，严格控制“三公经费”支出，取得了良好效果。具体情况如下：2020年“三公”经费0万元，其中公务接待费为0万元，无公务用车运行维护费和因公出国（境）费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8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（二）部门整体支出情况分析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8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   从整体情况来看，我单位严格按照年初预算进行部门整体支出。在支出过程中，能严格遵守各项规章制度。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jZGYwNjZiY2QzNzNjZTRiOWNmMzgwOTFkYWIzZmMifQ=="/>
  </w:docVars>
  <w:rsids>
    <w:rsidRoot w:val="539C5FC1"/>
    <w:rsid w:val="539C5F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2022-06-28T06:49:00Z</dcterms:created>
  <dc:creator>尹碧云</dc:creator>
  <cp:lastModifiedBy>尹碧云</cp:lastModifiedBy>
  <dcterms:modified xsi:type="dcterms:W3CDTF">2022-06-28T06:50:32Z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30111F33BED3428F867FE19D168A04CB</vt:lpwstr>
  </property>
</Properties>
</file>