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水利局</w:t>
      </w:r>
      <w:r>
        <w:rPr>
          <w:rFonts w:hint="eastAsia" w:ascii="黑体" w:hAnsi="黑体" w:eastAsia="黑体"/>
          <w:sz w:val="44"/>
          <w:szCs w:val="44"/>
        </w:rPr>
        <w:t>部门决算</w:t>
      </w:r>
      <w:r>
        <w:rPr>
          <w:rFonts w:hint="eastAsia" w:ascii="黑体" w:hAnsi="黑体" w:eastAsia="黑体"/>
          <w:sz w:val="44"/>
          <w:szCs w:val="44"/>
          <w:lang w:eastAsia="zh-CN"/>
        </w:rPr>
        <w:t>绩效评价</w:t>
      </w:r>
      <w:r>
        <w:rPr>
          <w:rFonts w:hint="eastAsia" w:ascii="黑体" w:hAnsi="黑体" w:eastAsia="黑体"/>
          <w:sz w:val="44"/>
          <w:szCs w:val="44"/>
        </w:rPr>
        <w:t>报告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部门情况</w:t>
      </w:r>
    </w:p>
    <w:p>
      <w:pPr>
        <w:pStyle w:val="8"/>
        <w:numPr>
          <w:ilvl w:val="0"/>
          <w:numId w:val="0"/>
        </w:numPr>
        <w:ind w:leftChars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主要职能</w:t>
      </w:r>
    </w:p>
    <w:p>
      <w:pPr>
        <w:pStyle w:val="8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水利管理职责及移民相关职责。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保障水资源的合理开发利用。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负责生活、生产经营和生态环境用水的统筹和保障。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按规定制定水利工程建设和运行管理有关制度并组织实施，负责提出水里固定资产投资规模、方向、具体安排建议并组织指导实施。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指导水资源保护工作。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负责节约用水工作。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指导水利设施、水域及其岸线的管理、保护与综合利用。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负责监督水利工程建设与运行管理。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负责水土保持工作。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指导农村水利工作。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负责水利工程移民管理工作。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负责协调重大涉水违法事件的查处。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开展水利科技和外事工作。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负责落实综合防灾减灾规划相关要求，组织编制洪水干旱灾害防治规划和防护标准并指导实施。</w:t>
      </w:r>
    </w:p>
    <w:p>
      <w:pPr>
        <w:pStyle w:val="8"/>
        <w:numPr>
          <w:ilvl w:val="0"/>
          <w:numId w:val="3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完成区委区政府交办的其他任务。</w:t>
      </w:r>
    </w:p>
    <w:p>
      <w:pPr>
        <w:pStyle w:val="8"/>
        <w:numPr>
          <w:ilvl w:val="0"/>
          <w:numId w:val="2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机构情况</w:t>
      </w:r>
    </w:p>
    <w:p>
      <w:pPr>
        <w:pStyle w:val="8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邵阳市双清区水利局于2019年4月成立，</w:t>
      </w:r>
      <w:r>
        <w:rPr>
          <w:rFonts w:hint="eastAsia" w:ascii="仿宋" w:hAnsi="仿宋" w:eastAsia="仿宋"/>
          <w:sz w:val="32"/>
          <w:szCs w:val="32"/>
          <w:lang w:eastAsia="zh-CN"/>
        </w:rPr>
        <w:t>局机关</w:t>
      </w:r>
      <w:r>
        <w:rPr>
          <w:rFonts w:hint="eastAsia" w:ascii="仿宋" w:hAnsi="仿宋" w:eastAsia="仿宋"/>
          <w:sz w:val="32"/>
          <w:szCs w:val="32"/>
        </w:rPr>
        <w:t>内设机构包括：综合办公室、水利工程建设和水库移民股、河长制办公室（加挂水政管理股牌子）。2022年单位局机关行政编制4个，二级机构事业编制共有13个，包括区云水铺水轮泵管理站编制2个，区水政监察大队编制8个，区河湖事务中心3个。截至年底，实有在职人员14人，离休人员0人，退休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eastAsia="zh-CN"/>
        </w:rPr>
        <w:t>在职人员</w:t>
      </w:r>
      <w:r>
        <w:rPr>
          <w:rFonts w:hint="eastAsia" w:ascii="仿宋" w:hAnsi="仿宋" w:eastAsia="仿宋"/>
          <w:sz w:val="32"/>
          <w:szCs w:val="32"/>
        </w:rPr>
        <w:t>中行政6人，事业8人，1人为新进人员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bookmarkEnd w:id="0"/>
    <w:p>
      <w:pPr>
        <w:pStyle w:val="8"/>
        <w:numPr>
          <w:ilvl w:val="0"/>
          <w:numId w:val="4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当年取得的主要事业成效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建设水利</w:t>
      </w:r>
      <w:r>
        <w:rPr>
          <w:rFonts w:hint="eastAsia" w:ascii="仿宋" w:hAnsi="仿宋" w:eastAsia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/>
          <w:sz w:val="32"/>
          <w:szCs w:val="32"/>
        </w:rPr>
        <w:t>，夯实发展基础。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．治理</w:t>
      </w:r>
      <w:r>
        <w:rPr>
          <w:rFonts w:hint="eastAsia" w:ascii="仿宋" w:hAnsi="仿宋" w:eastAsia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/>
          <w:sz w:val="32"/>
          <w:szCs w:val="32"/>
        </w:rPr>
        <w:t>源污染，开展</w:t>
      </w:r>
      <w:r>
        <w:rPr>
          <w:rFonts w:hint="eastAsia" w:ascii="仿宋" w:hAnsi="仿宋" w:eastAsia="仿宋"/>
          <w:sz w:val="32"/>
          <w:szCs w:val="32"/>
          <w:lang w:eastAsia="zh-CN"/>
        </w:rPr>
        <w:t>河长制。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  <w:lang w:eastAsia="zh-CN"/>
        </w:rPr>
        <w:t>加强防汛抗旱</w:t>
      </w:r>
      <w:r>
        <w:rPr>
          <w:rFonts w:hint="eastAsia" w:ascii="仿宋" w:hAnsi="仿宋" w:eastAsia="仿宋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 推进移民管理工作。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收入支出预算情况分析</w:t>
      </w:r>
    </w:p>
    <w:p>
      <w:pPr>
        <w:pStyle w:val="8"/>
        <w:numPr>
          <w:ilvl w:val="0"/>
          <w:numId w:val="6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收入支出预算安排情况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双清区</w:t>
      </w:r>
      <w:r>
        <w:rPr>
          <w:rFonts w:hint="eastAsia" w:ascii="仿宋" w:hAnsi="仿宋" w:eastAsia="仿宋"/>
          <w:sz w:val="32"/>
          <w:szCs w:val="32"/>
          <w:lang w:eastAsia="zh-CN"/>
        </w:rPr>
        <w:t>水利</w:t>
      </w:r>
      <w:r>
        <w:rPr>
          <w:rFonts w:hint="eastAsia" w:ascii="仿宋" w:hAnsi="仿宋" w:eastAsia="仿宋"/>
          <w:sz w:val="32"/>
          <w:szCs w:val="32"/>
        </w:rPr>
        <w:t>局年初预算资金收入为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11,581,711.92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实际财政拨款收入</w:t>
      </w:r>
      <w:r>
        <w:rPr>
          <w:rFonts w:hint="eastAsia" w:ascii="仿宋" w:hAnsi="仿宋" w:eastAsia="仿宋"/>
          <w:sz w:val="32"/>
          <w:szCs w:val="32"/>
        </w:rPr>
        <w:t>11,581,711.92元。</w:t>
      </w:r>
      <w:r>
        <w:rPr>
          <w:rFonts w:ascii="仿宋" w:hAnsi="仿宋" w:eastAsia="仿宋"/>
          <w:sz w:val="32"/>
          <w:szCs w:val="32"/>
        </w:rPr>
        <w:t>财政决算基本支出</w:t>
      </w:r>
      <w:r>
        <w:rPr>
          <w:rFonts w:hint="eastAsia" w:ascii="仿宋" w:hAnsi="仿宋" w:eastAsia="仿宋"/>
          <w:sz w:val="32"/>
          <w:szCs w:val="32"/>
        </w:rPr>
        <w:t>2,475,426.09</w:t>
      </w:r>
      <w:r>
        <w:rPr>
          <w:rFonts w:ascii="仿宋" w:hAnsi="仿宋" w:eastAsia="仿宋"/>
          <w:sz w:val="32"/>
          <w:szCs w:val="32"/>
        </w:rPr>
        <w:t>元,项目支出</w:t>
      </w:r>
      <w:r>
        <w:rPr>
          <w:rFonts w:hint="eastAsia" w:ascii="仿宋" w:hAnsi="仿宋" w:eastAsia="仿宋"/>
          <w:sz w:val="32"/>
          <w:szCs w:val="32"/>
        </w:rPr>
        <w:t>9,106,285.83</w:t>
      </w:r>
      <w:r>
        <w:rPr>
          <w:rFonts w:ascii="仿宋" w:hAnsi="仿宋" w:eastAsia="仿宋"/>
          <w:sz w:val="32"/>
          <w:szCs w:val="32"/>
        </w:rPr>
        <w:t>元,合计</w:t>
      </w:r>
      <w:r>
        <w:rPr>
          <w:rFonts w:hint="eastAsia" w:ascii="仿宋" w:hAnsi="仿宋" w:eastAsia="仿宋"/>
          <w:sz w:val="32"/>
          <w:szCs w:val="32"/>
        </w:rPr>
        <w:t>11,581,711.92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（二）收入支出预算执行情况</w:t>
      </w:r>
    </w:p>
    <w:p>
      <w:pPr>
        <w:spacing w:before="75" w:after="75" w:line="450" w:lineRule="atLeas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1．</w:t>
      </w:r>
      <w:r>
        <w:rPr>
          <w:rFonts w:ascii="黑体" w:hAnsi="黑体" w:eastAsia="黑体"/>
          <w:sz w:val="32"/>
          <w:szCs w:val="32"/>
        </w:rPr>
        <w:t>收入支出结构分析</w:t>
      </w:r>
    </w:p>
    <w:p>
      <w:pPr>
        <w:widowControl/>
        <w:spacing w:before="75" w:line="450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本年度我单位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全年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11,581,711.92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。其中：项目预算收入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9,106,285.83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，基本预算收入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2,475,426.09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。全年基本支出：人员经费2,240,414.03，公用经费235,012.06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，项目支出9,106,285.83元。</w:t>
      </w:r>
    </w:p>
    <w:p>
      <w:pPr>
        <w:widowControl/>
        <w:spacing w:before="75" w:line="450" w:lineRule="atLeast"/>
        <w:ind w:firstLine="160" w:firstLineChar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2.支出按经济分类科目分析</w:t>
      </w:r>
    </w:p>
    <w:p>
      <w:pPr>
        <w:widowControl/>
        <w:spacing w:before="75" w:line="450" w:lineRule="atLeast"/>
        <w:ind w:lef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1）“三公”经费支出情况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公务车运行</w:t>
      </w:r>
      <w:r>
        <w:rPr>
          <w:rFonts w:hint="eastAsia" w:ascii="仿宋" w:hAnsi="仿宋" w:eastAsia="仿宋"/>
          <w:sz w:val="32"/>
          <w:szCs w:val="32"/>
        </w:rPr>
        <w:t>维护</w:t>
      </w:r>
      <w:r>
        <w:rPr>
          <w:rFonts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元、出国出境支出0元、</w:t>
      </w:r>
      <w:r>
        <w:rPr>
          <w:rFonts w:hint="eastAsia" w:ascii="仿宋" w:hAnsi="仿宋" w:eastAsia="仿宋"/>
          <w:sz w:val="32"/>
          <w:szCs w:val="32"/>
        </w:rPr>
        <w:t>公务</w:t>
      </w:r>
      <w:r>
        <w:rPr>
          <w:rFonts w:ascii="仿宋" w:hAnsi="仿宋" w:eastAsia="仿宋"/>
          <w:sz w:val="32"/>
          <w:szCs w:val="32"/>
        </w:rPr>
        <w:t>招待费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after="75" w:line="450" w:lineRule="atLeast"/>
        <w:ind w:firstLine="160" w:firstLineChars="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(2)会议费支出情况：</w:t>
      </w:r>
    </w:p>
    <w:p>
      <w:pPr>
        <w:widowControl/>
        <w:spacing w:before="75" w:line="45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我单位本年度会议费支出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（3）培训费支出情况：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我单位本年度</w:t>
      </w:r>
      <w:r>
        <w:rPr>
          <w:rFonts w:hint="eastAsia" w:ascii="仿宋" w:hAnsi="仿宋" w:eastAsia="仿宋"/>
          <w:sz w:val="32"/>
          <w:szCs w:val="32"/>
        </w:rPr>
        <w:t>培训</w:t>
      </w:r>
      <w:r>
        <w:rPr>
          <w:rFonts w:ascii="仿宋" w:hAnsi="仿宋" w:eastAsia="仿宋"/>
          <w:sz w:val="32"/>
          <w:szCs w:val="32"/>
        </w:rPr>
        <w:t>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</w:t>
      </w:r>
      <w:r>
        <w:rPr>
          <w:rFonts w:hint="eastAsia" w:ascii="黑体" w:hAnsi="黑体" w:eastAsia="黑体"/>
          <w:sz w:val="32"/>
          <w:szCs w:val="32"/>
        </w:rPr>
        <w:t>财政拨款收入、支出分析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（三）年末结转和结余情况</w:t>
      </w:r>
    </w:p>
    <w:p>
      <w:pPr>
        <w:widowControl/>
        <w:spacing w:after="75" w:line="45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本年度我单位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全年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收</w:t>
      </w:r>
      <w:r>
        <w:rPr>
          <w:rFonts w:hint="eastAsia" w:ascii="仿宋" w:hAnsi="仿宋" w:eastAsia="仿宋"/>
          <w:sz w:val="32"/>
          <w:szCs w:val="32"/>
        </w:rPr>
        <w:t>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11,581,711.92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。决算基本收入2,475,426.09元，决算项目拨款收入9,106,285.83元。</w:t>
      </w:r>
      <w:r>
        <w:rPr>
          <w:rFonts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</w:rPr>
        <w:t>11,581,711.92</w:t>
      </w:r>
      <w:r>
        <w:rPr>
          <w:rFonts w:hint="eastAsia" w:ascii="仿宋" w:hAnsi="仿宋" w:eastAsia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/>
          <w:sz w:val="32"/>
          <w:szCs w:val="32"/>
        </w:rPr>
        <w:t>收支平衡。</w:t>
      </w:r>
    </w:p>
    <w:p>
      <w:pPr>
        <w:spacing w:before="75" w:after="75" w:line="450" w:lineRule="atLeas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资产负债情况分析</w:t>
      </w:r>
    </w:p>
    <w:p>
      <w:pPr>
        <w:widowControl/>
        <w:spacing w:before="75" w:line="45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ˎ̥" w:hAnsi="ˎ̥" w:eastAsia="宋体" w:cs="宋体"/>
          <w:color w:val="444444"/>
          <w:kern w:val="0"/>
          <w:sz w:val="18"/>
          <w:szCs w:val="18"/>
        </w:rPr>
        <w:t>　　</w:t>
      </w:r>
      <w:r>
        <w:rPr>
          <w:rFonts w:ascii="仿宋" w:hAnsi="仿宋" w:eastAsia="仿宋"/>
          <w:sz w:val="32"/>
          <w:szCs w:val="32"/>
        </w:rPr>
        <w:t>年末我单位资产总额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312,738.94 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。其中：流动资产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138,010.59 元，</w:t>
      </w:r>
      <w:r>
        <w:rPr>
          <w:rFonts w:hint="eastAsia" w:ascii="仿宋" w:hAnsi="仿宋" w:eastAsia="仿宋"/>
          <w:sz w:val="32"/>
          <w:szCs w:val="32"/>
        </w:rPr>
        <w:t>固定资产</w:t>
      </w:r>
      <w:r>
        <w:rPr>
          <w:rFonts w:hint="eastAsia" w:ascii="仿宋" w:hAnsi="仿宋" w:eastAsia="仿宋"/>
          <w:sz w:val="32"/>
          <w:szCs w:val="32"/>
          <w:lang w:eastAsia="zh-CN"/>
        </w:rPr>
        <w:t>原值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208,600.06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，净值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174,728.35元，</w:t>
      </w:r>
      <w:r>
        <w:rPr>
          <w:rFonts w:ascii="仿宋" w:hAnsi="仿宋" w:eastAsia="仿宋"/>
          <w:sz w:val="32"/>
          <w:szCs w:val="32"/>
        </w:rPr>
        <w:t>负债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1,835,143.10 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。负责和</w:t>
      </w:r>
      <w:r>
        <w:rPr>
          <w:rFonts w:hint="eastAsia" w:ascii="仿宋" w:hAnsi="仿宋" w:eastAsia="仿宋"/>
          <w:sz w:val="32"/>
          <w:szCs w:val="32"/>
        </w:rPr>
        <w:t>净资产合计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312,738.94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widowControl/>
        <w:spacing w:after="75" w:line="45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四、本年度部门决算等财务工作开展情况</w:t>
      </w:r>
    </w:p>
    <w:p>
      <w:pPr>
        <w:widowControl/>
        <w:spacing w:before="75" w:line="45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ˎ̥" w:hAnsi="ˎ̥" w:eastAsia="宋体" w:cs="宋体"/>
          <w:color w:val="444444"/>
          <w:kern w:val="0"/>
          <w:sz w:val="18"/>
          <w:szCs w:val="18"/>
        </w:rPr>
        <w:t>　　</w:t>
      </w:r>
      <w:r>
        <w:rPr>
          <w:rFonts w:ascii="仿宋" w:hAnsi="仿宋" w:eastAsia="仿宋"/>
          <w:sz w:val="32"/>
          <w:szCs w:val="32"/>
        </w:rPr>
        <w:t>本年度我单位较好的完成了对本单位的财务管理、决算组织、编报、审核等事项。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0FA46"/>
    <w:multiLevelType w:val="singleLevel"/>
    <w:tmpl w:val="8150FA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D64C6AA"/>
    <w:multiLevelType w:val="singleLevel"/>
    <w:tmpl w:val="9D64C6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07F5464"/>
    <w:multiLevelType w:val="multilevel"/>
    <w:tmpl w:val="207F546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518B7"/>
    <w:multiLevelType w:val="multilevel"/>
    <w:tmpl w:val="356518B7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70987"/>
    <w:multiLevelType w:val="multilevel"/>
    <w:tmpl w:val="5AA709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C3266"/>
    <w:multiLevelType w:val="multilevel"/>
    <w:tmpl w:val="68CC3266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GQyZmExNmVjNjJkNTdmNjdhMTUyYThjYTQwZTIifQ=="/>
  </w:docVars>
  <w:rsids>
    <w:rsidRoot w:val="006F5653"/>
    <w:rsid w:val="0000600D"/>
    <w:rsid w:val="00011EE7"/>
    <w:rsid w:val="000821AF"/>
    <w:rsid w:val="000B4EF9"/>
    <w:rsid w:val="000E778E"/>
    <w:rsid w:val="000F7602"/>
    <w:rsid w:val="00166054"/>
    <w:rsid w:val="001926B3"/>
    <w:rsid w:val="0019330B"/>
    <w:rsid w:val="00196EB8"/>
    <w:rsid w:val="001E103E"/>
    <w:rsid w:val="00203780"/>
    <w:rsid w:val="00251F9F"/>
    <w:rsid w:val="002542CC"/>
    <w:rsid w:val="0027486D"/>
    <w:rsid w:val="00292E1A"/>
    <w:rsid w:val="002A7718"/>
    <w:rsid w:val="00322F5B"/>
    <w:rsid w:val="003862A0"/>
    <w:rsid w:val="00391426"/>
    <w:rsid w:val="00476A04"/>
    <w:rsid w:val="004776D6"/>
    <w:rsid w:val="0048150B"/>
    <w:rsid w:val="004D376F"/>
    <w:rsid w:val="00563463"/>
    <w:rsid w:val="00591E14"/>
    <w:rsid w:val="005F140C"/>
    <w:rsid w:val="00640D72"/>
    <w:rsid w:val="00680941"/>
    <w:rsid w:val="006A250D"/>
    <w:rsid w:val="006C191B"/>
    <w:rsid w:val="006D0B0F"/>
    <w:rsid w:val="006F5653"/>
    <w:rsid w:val="007211D1"/>
    <w:rsid w:val="00730A1E"/>
    <w:rsid w:val="00732447"/>
    <w:rsid w:val="00764C05"/>
    <w:rsid w:val="00777C77"/>
    <w:rsid w:val="00843999"/>
    <w:rsid w:val="00892E1B"/>
    <w:rsid w:val="008B6F9B"/>
    <w:rsid w:val="008F4427"/>
    <w:rsid w:val="00925588"/>
    <w:rsid w:val="009B73DD"/>
    <w:rsid w:val="00A90810"/>
    <w:rsid w:val="00AA1637"/>
    <w:rsid w:val="00AA65C4"/>
    <w:rsid w:val="00AC0C44"/>
    <w:rsid w:val="00AD25EF"/>
    <w:rsid w:val="00AE743F"/>
    <w:rsid w:val="00AF68E7"/>
    <w:rsid w:val="00B16ED2"/>
    <w:rsid w:val="00B2153A"/>
    <w:rsid w:val="00B70B75"/>
    <w:rsid w:val="00BB030B"/>
    <w:rsid w:val="00BE6CE7"/>
    <w:rsid w:val="00C50745"/>
    <w:rsid w:val="00C74658"/>
    <w:rsid w:val="00CA20B0"/>
    <w:rsid w:val="00CB71FE"/>
    <w:rsid w:val="00CE343E"/>
    <w:rsid w:val="00D04C3A"/>
    <w:rsid w:val="00D06405"/>
    <w:rsid w:val="00D11D13"/>
    <w:rsid w:val="00D341A4"/>
    <w:rsid w:val="00D47CE6"/>
    <w:rsid w:val="00D504E9"/>
    <w:rsid w:val="00D7372E"/>
    <w:rsid w:val="00DB586C"/>
    <w:rsid w:val="00DE18C9"/>
    <w:rsid w:val="00E408C7"/>
    <w:rsid w:val="00E86CCF"/>
    <w:rsid w:val="00EA41A9"/>
    <w:rsid w:val="00ED2EE2"/>
    <w:rsid w:val="00F43D83"/>
    <w:rsid w:val="00F531DF"/>
    <w:rsid w:val="00FF0762"/>
    <w:rsid w:val="037865BF"/>
    <w:rsid w:val="1E3867C5"/>
    <w:rsid w:val="26D00FD4"/>
    <w:rsid w:val="38B15202"/>
    <w:rsid w:val="3C0B2C67"/>
    <w:rsid w:val="42B415E9"/>
    <w:rsid w:val="431949D8"/>
    <w:rsid w:val="53B10F35"/>
    <w:rsid w:val="562C3974"/>
    <w:rsid w:val="5CBA0248"/>
    <w:rsid w:val="5E0F6624"/>
    <w:rsid w:val="6F3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982</Words>
  <Characters>1216</Characters>
  <Lines>8</Lines>
  <Paragraphs>2</Paragraphs>
  <TotalTime>14</TotalTime>
  <ScaleCrop>false</ScaleCrop>
  <LinksUpToDate>false</LinksUpToDate>
  <CharactersWithSpaces>1237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2019-02-19T02:30:00Z</dcterms:created>
  <dc:creator>PC</dc:creator>
  <cp:lastModifiedBy>Administrator</cp:lastModifiedBy>
  <dcterms:modified xsi:type="dcterms:W3CDTF">2023-09-19T10:57:19Z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3924A82949084AD7AC5ED0F7DAE63D7A_13</vt:lpwstr>
  </property>
</Properties>
</file>