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ascii="Arial" w:hAnsi="Arial" w:cs="Arial"/>
          <w:i w:val="0"/>
          <w:iCs w:val="0"/>
          <w:caps w:val="0"/>
          <w:color w:val="333333"/>
          <w:spacing w:val="0"/>
          <w:sz w:val="21"/>
          <w:szCs w:val="21"/>
        </w:rPr>
      </w:pPr>
      <w:r>
        <w:rPr>
          <w:rFonts w:ascii="黑体" w:hAnsi="宋体" w:eastAsia="黑体" w:cs="黑体"/>
          <w:i w:val="0"/>
          <w:iCs w:val="0"/>
          <w:caps w:val="0"/>
          <w:color w:val="000000"/>
          <w:spacing w:val="0"/>
          <w:sz w:val="72"/>
          <w:szCs w:val="72"/>
          <w:shd w:val="clear" w:fill="FFFFFF"/>
        </w:rPr>
        <w:t>第五部分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000000"/>
          <w:spacing w:val="0"/>
          <w:kern w:val="0"/>
          <w:sz w:val="70"/>
          <w:szCs w:val="7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000000"/>
          <w:spacing w:val="0"/>
          <w:kern w:val="0"/>
          <w:sz w:val="70"/>
          <w:szCs w:val="7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Arial" w:hAnsi="Arial" w:cs="Arial"/>
          <w:i w:val="0"/>
          <w:iCs w:val="0"/>
          <w:caps w:val="0"/>
          <w:color w:val="333333"/>
          <w:spacing w:val="0"/>
          <w:sz w:val="21"/>
          <w:szCs w:val="21"/>
        </w:rPr>
      </w:pPr>
      <w:r>
        <w:rPr>
          <w:rFonts w:ascii="Calibri" w:hAnsi="Calibri" w:cs="Calibri" w:eastAsiaTheme="minorEastAsia"/>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000000"/>
          <w:spacing w:val="0"/>
          <w:kern w:val="0"/>
          <w:sz w:val="70"/>
          <w:szCs w:val="7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40"/>
        <w:jc w:val="center"/>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000000"/>
          <w:spacing w:val="0"/>
          <w:kern w:val="0"/>
          <w:sz w:val="32"/>
          <w:szCs w:val="32"/>
          <w:shd w:val="clear" w:fill="FFFFFF"/>
          <w:lang w:val="en-US" w:eastAsia="zh-CN" w:bidi="ar"/>
        </w:rPr>
        <w:t>2020年度部门整体支出绩效评价报告</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一、部门概况</w:t>
      </w:r>
    </w:p>
    <w:p>
      <w:pPr>
        <w:spacing w:line="550" w:lineRule="exact"/>
        <w:ind w:firstLine="640" w:firstLineChars="200"/>
        <w:rPr>
          <w:rFonts w:hint="eastAsia" w:ascii="宋体" w:hAnsi="宋体" w:eastAsia="宋体" w:cs="宋体"/>
          <w:sz w:val="28"/>
          <w:szCs w:val="28"/>
          <w:lang w:eastAsia="zh-CN"/>
        </w:rPr>
      </w:pPr>
      <w:r>
        <w:rPr>
          <w:rFonts w:hint="eastAsia" w:ascii="楷体" w:hAnsi="楷体" w:eastAsia="楷体" w:cs="楷体"/>
          <w:kern w:val="0"/>
          <w:sz w:val="32"/>
          <w:szCs w:val="32"/>
        </w:rPr>
        <w:t>（一）部门基本情况</w:t>
      </w:r>
      <w:r>
        <w:rPr>
          <w:rFonts w:hint="eastAsia" w:ascii="仿宋" w:hAnsi="仿宋" w:eastAsia="仿宋" w:cs="仿宋"/>
          <w:kern w:val="0"/>
          <w:sz w:val="32"/>
          <w:szCs w:val="32"/>
        </w:rPr>
        <w:t>（包括部门的在职人员情况、机构设置、主要职能及重点工作计划等）。2020年度</w:t>
      </w:r>
      <w:r>
        <w:rPr>
          <w:rFonts w:hint="eastAsia" w:ascii="仿宋" w:hAnsi="仿宋" w:eastAsia="仿宋" w:cs="仿宋"/>
          <w:kern w:val="0"/>
          <w:sz w:val="32"/>
          <w:szCs w:val="32"/>
          <w:shd w:val="clear" w:color="auto" w:fill="FFFFFF"/>
          <w:lang w:val="en-US" w:eastAsia="zh-CN"/>
        </w:rPr>
        <w:t>双清区新型农村社会养老保险管理所无</w:t>
      </w:r>
      <w:r>
        <w:rPr>
          <w:rFonts w:hint="eastAsia" w:ascii="仿宋" w:hAnsi="仿宋" w:eastAsia="仿宋" w:cs="仿宋"/>
          <w:kern w:val="0"/>
          <w:sz w:val="32"/>
          <w:szCs w:val="32"/>
          <w:shd w:val="clear" w:color="auto" w:fill="FFFFFF"/>
        </w:rPr>
        <w:t>内设</w:t>
      </w:r>
      <w:r>
        <w:rPr>
          <w:rFonts w:hint="eastAsia" w:ascii="仿宋" w:hAnsi="仿宋" w:eastAsia="仿宋" w:cs="仿宋"/>
          <w:kern w:val="0"/>
          <w:sz w:val="32"/>
          <w:szCs w:val="32"/>
          <w:shd w:val="clear" w:color="auto" w:fill="FFFFFF"/>
          <w:lang w:eastAsia="zh-CN"/>
        </w:rPr>
        <w:t>科室</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主要职能是：</w:t>
      </w:r>
      <w:r>
        <w:rPr>
          <w:rFonts w:ascii="宋体" w:hAnsi="宋体" w:eastAsia="宋体" w:cs="Times New Roman"/>
          <w:sz w:val="28"/>
          <w:szCs w:val="28"/>
        </w:rPr>
        <w:t>在上级业务部门的精心指导下，按照“规范管理、优化服务、完善制度、健全体系”的工作思路，积极开展宣传动员，切实加强业务理论学习，扎实抓好业务工作，按要求全面完成参保率、缴费率、发放率三项核心指标。</w:t>
      </w:r>
      <w:r>
        <w:rPr>
          <w:rFonts w:hint="eastAsia" w:ascii="宋体" w:hAnsi="宋体" w:eastAsia="宋体" w:cs="Times New Roman"/>
          <w:sz w:val="28"/>
          <w:szCs w:val="28"/>
        </w:rPr>
        <w:t>全面落实人社扶贫援企稳岗各项政策，扎实做好各项社会养老保险工作</w:t>
      </w:r>
      <w:r>
        <w:rPr>
          <w:rFonts w:hint="eastAsia" w:ascii="宋体" w:hAnsi="宋体" w:eastAsia="宋体" w:cs="Times New Roman"/>
          <w:sz w:val="28"/>
          <w:szCs w:val="28"/>
          <w:lang w:eastAsia="zh-CN"/>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（二）部门整体支出规模、使用方向和主要内容、涉及范围等。</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2020年度部门整体支出分为基本支出和项目支出，基本支出用于保障单位正常运转的日常支出，项目支出用于</w:t>
      </w:r>
      <w:r>
        <w:rPr>
          <w:rFonts w:hint="eastAsia" w:ascii="仿宋" w:hAnsi="仿宋" w:eastAsia="仿宋" w:cs="仿宋"/>
          <w:kern w:val="0"/>
          <w:sz w:val="32"/>
          <w:szCs w:val="32"/>
          <w:lang w:val="en-US" w:eastAsia="zh-CN"/>
        </w:rPr>
        <w:t>退休人员生存状态资格认证</w:t>
      </w:r>
      <w:r>
        <w:rPr>
          <w:rFonts w:hint="eastAsia" w:ascii="仿宋" w:hAnsi="仿宋" w:eastAsia="仿宋" w:cs="仿宋"/>
          <w:kern w:val="0"/>
          <w:sz w:val="32"/>
          <w:szCs w:val="32"/>
          <w:lang w:eastAsia="zh-CN"/>
        </w:rPr>
        <w:t>支出</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二、部门整体支出管理及使用情况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（一）预算执行情况</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2020年度预算收入</w:t>
      </w:r>
      <w:r>
        <w:rPr>
          <w:rFonts w:hint="eastAsia" w:ascii="仿宋" w:hAnsi="仿宋" w:eastAsia="仿宋" w:cs="仿宋"/>
          <w:kern w:val="0"/>
          <w:sz w:val="32"/>
          <w:szCs w:val="32"/>
          <w:lang w:val="en-US" w:eastAsia="zh-CN"/>
        </w:rPr>
        <w:t>61.18</w:t>
      </w:r>
      <w:r>
        <w:rPr>
          <w:rFonts w:hint="eastAsia" w:ascii="仿宋" w:hAnsi="仿宋" w:eastAsia="仿宋" w:cs="仿宋"/>
          <w:kern w:val="0"/>
          <w:sz w:val="32"/>
          <w:szCs w:val="32"/>
        </w:rPr>
        <w:t>万元，预算支出</w:t>
      </w:r>
      <w:r>
        <w:rPr>
          <w:rFonts w:hint="eastAsia" w:ascii="仿宋" w:hAnsi="仿宋" w:eastAsia="仿宋" w:cs="仿宋"/>
          <w:kern w:val="0"/>
          <w:sz w:val="32"/>
          <w:szCs w:val="32"/>
          <w:lang w:val="en-US" w:eastAsia="zh-CN"/>
        </w:rPr>
        <w:t>61.18</w:t>
      </w:r>
      <w:r>
        <w:rPr>
          <w:rFonts w:hint="eastAsia" w:ascii="仿宋" w:hAnsi="仿宋" w:eastAsia="仿宋" w:cs="仿宋"/>
          <w:kern w:val="0"/>
          <w:sz w:val="32"/>
          <w:szCs w:val="32"/>
        </w:rPr>
        <w:t>万元。预</w:t>
      </w:r>
      <w:r>
        <w:rPr>
          <w:rFonts w:hint="eastAsia" w:ascii="仿宋" w:hAnsi="仿宋" w:eastAsia="仿宋" w:cs="仿宋"/>
          <w:kern w:val="0"/>
          <w:sz w:val="32"/>
          <w:szCs w:val="32"/>
          <w:lang w:eastAsia="zh-CN"/>
        </w:rPr>
        <w:t>决</w:t>
      </w:r>
      <w:r>
        <w:rPr>
          <w:rFonts w:hint="eastAsia" w:ascii="仿宋" w:hAnsi="仿宋" w:eastAsia="仿宋" w:cs="仿宋"/>
          <w:kern w:val="0"/>
          <w:sz w:val="32"/>
          <w:szCs w:val="32"/>
        </w:rPr>
        <w:t>算信息都在邵阳市人民政府门户网站公开，接受社会公众监督。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（二）基本支出</w:t>
      </w:r>
    </w:p>
    <w:p>
      <w:pPr>
        <w:keepNext w:val="0"/>
        <w:keepLines w:val="0"/>
        <w:pageBreakBefore w:val="0"/>
        <w:widowControl/>
        <w:suppressLineNumbers w:val="0"/>
        <w:kinsoku/>
        <w:wordWrap/>
        <w:overflowPunct/>
        <w:autoSpaceDE/>
        <w:autoSpaceDN/>
        <w:bidi w:val="0"/>
        <w:spacing w:after="0" w:afterAutospacing="0"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2020年基本支出</w:t>
      </w:r>
      <w:r>
        <w:rPr>
          <w:rFonts w:hint="eastAsia" w:ascii="仿宋" w:hAnsi="仿宋" w:eastAsia="仿宋" w:cs="仿宋"/>
          <w:kern w:val="0"/>
          <w:sz w:val="32"/>
          <w:szCs w:val="32"/>
          <w:lang w:val="en-US" w:eastAsia="zh-CN"/>
        </w:rPr>
        <w:t>95.23</w:t>
      </w:r>
      <w:r>
        <w:rPr>
          <w:rFonts w:hint="eastAsia" w:ascii="仿宋" w:hAnsi="仿宋" w:eastAsia="仿宋" w:cs="仿宋"/>
          <w:kern w:val="0"/>
          <w:sz w:val="32"/>
          <w:szCs w:val="32"/>
        </w:rPr>
        <w:t>万元，其中：工资福利支出</w:t>
      </w:r>
      <w:r>
        <w:rPr>
          <w:rFonts w:hint="eastAsia" w:ascii="仿宋" w:hAnsi="仿宋" w:eastAsia="仿宋" w:cs="仿宋"/>
          <w:kern w:val="0"/>
          <w:sz w:val="32"/>
          <w:szCs w:val="32"/>
          <w:lang w:val="en-US" w:eastAsia="zh-CN"/>
        </w:rPr>
        <w:t>78.91</w:t>
      </w:r>
      <w:r>
        <w:rPr>
          <w:rFonts w:hint="eastAsia" w:ascii="仿宋" w:hAnsi="仿宋" w:eastAsia="仿宋" w:cs="仿宋"/>
          <w:kern w:val="0"/>
          <w:sz w:val="32"/>
          <w:szCs w:val="32"/>
        </w:rPr>
        <w:t>万元，商品和服务支出</w:t>
      </w:r>
      <w:r>
        <w:rPr>
          <w:rFonts w:hint="eastAsia" w:ascii="仿宋" w:hAnsi="仿宋" w:eastAsia="仿宋" w:cs="仿宋"/>
          <w:kern w:val="0"/>
          <w:sz w:val="32"/>
          <w:szCs w:val="32"/>
          <w:lang w:val="en-US" w:eastAsia="zh-CN"/>
        </w:rPr>
        <w:t>15.1</w:t>
      </w:r>
      <w:r>
        <w:rPr>
          <w:rFonts w:hint="eastAsia" w:ascii="仿宋" w:hAnsi="仿宋" w:eastAsia="仿宋" w:cs="仿宋"/>
          <w:kern w:val="0"/>
          <w:sz w:val="32"/>
          <w:szCs w:val="32"/>
        </w:rPr>
        <w:t>万元，对个人和家庭补助支出</w:t>
      </w:r>
      <w:r>
        <w:rPr>
          <w:rFonts w:hint="eastAsia" w:ascii="仿宋" w:hAnsi="仿宋" w:eastAsia="仿宋" w:cs="仿宋"/>
          <w:kern w:val="0"/>
          <w:sz w:val="32"/>
          <w:szCs w:val="32"/>
          <w:lang w:val="en-US" w:eastAsia="zh-CN"/>
        </w:rPr>
        <w:t>1.22</w:t>
      </w:r>
      <w:r>
        <w:rPr>
          <w:rFonts w:hint="eastAsia" w:ascii="仿宋" w:hAnsi="仿宋" w:eastAsia="仿宋" w:cs="仿宋"/>
          <w:kern w:val="0"/>
          <w:sz w:val="32"/>
          <w:szCs w:val="32"/>
        </w:rPr>
        <w:t>万元。响应国家相关政策，厉行节约，严格控制“三公”经费支出，2020年“三公”经费共支出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万元，其中：公务用车运行费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万元，公务接待费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元</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bookmarkStart w:id="17" w:name="_GoBack"/>
      <w:bookmarkEnd w:id="17"/>
      <w:r>
        <w:rPr>
          <w:rFonts w:hint="eastAsia" w:ascii="黑体" w:hAnsi="黑体" w:eastAsia="黑体" w:cs="黑体"/>
          <w:kern w:val="0"/>
          <w:sz w:val="32"/>
          <w:szCs w:val="32"/>
        </w:rPr>
        <w:t>三、资产管理情况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2020年固定资产年初数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万元，期末数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万元。</w:t>
      </w:r>
    </w:p>
    <w:p>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绩效评价工作</w:t>
      </w:r>
      <w:r>
        <w:rPr>
          <w:rFonts w:hint="eastAsia" w:ascii="黑体" w:hAnsi="黑体" w:eastAsia="黑体" w:cs="黑体"/>
          <w:kern w:val="0"/>
          <w:sz w:val="32"/>
          <w:szCs w:val="32"/>
          <w:lang w:eastAsia="zh-CN"/>
        </w:rPr>
        <w:t>开展</w:t>
      </w:r>
      <w:r>
        <w:rPr>
          <w:rFonts w:hint="eastAsia" w:ascii="黑体" w:hAnsi="黑体" w:eastAsia="黑体" w:cs="黑体"/>
          <w:kern w:val="0"/>
          <w:sz w:val="32"/>
          <w:szCs w:val="32"/>
        </w:rPr>
        <w:t>情况</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0" w:name="_Toc22407"/>
      <w:bookmarkStart w:id="1" w:name="_Toc32578"/>
      <w:bookmarkStart w:id="2" w:name="_Toc21446"/>
      <w:r>
        <w:rPr>
          <w:rFonts w:hint="eastAsia" w:ascii="楷体" w:hAnsi="楷体" w:eastAsia="楷体" w:cs="楷体"/>
          <w:b/>
          <w:bCs/>
          <w:kern w:val="0"/>
          <w:sz w:val="32"/>
          <w:szCs w:val="32"/>
          <w:lang w:val="en-US" w:eastAsia="zh-CN"/>
        </w:rPr>
        <w:t>（一）绩效评价目的</w:t>
      </w:r>
      <w:bookmarkEnd w:id="0"/>
      <w:bookmarkEnd w:id="1"/>
      <w:bookmarkEnd w:id="2"/>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通过对部门整体支出绩效评价，了解部门资金使用情况及取得的成果，及时发现资金管理和部门支出过程中存在的问题，提出相关建议和采取相应的措施，从而为加强预算绩效管理、提高专项资金的使用效益、强化预算约束提供重要的参考依据。</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3" w:name="_Toc5938"/>
      <w:bookmarkStart w:id="4" w:name="_Toc22165"/>
      <w:bookmarkStart w:id="5" w:name="_Toc27511"/>
      <w:bookmarkStart w:id="6" w:name="_Toc23600"/>
      <w:bookmarkStart w:id="7" w:name="_Toc6076"/>
      <w:bookmarkStart w:id="8" w:name="_Toc2315"/>
      <w:bookmarkStart w:id="9" w:name="_Toc22531"/>
      <w:bookmarkStart w:id="10" w:name="_Toc22978"/>
      <w:bookmarkStart w:id="11" w:name="_Toc6376"/>
      <w:bookmarkStart w:id="12" w:name="_Toc12780"/>
      <w:bookmarkStart w:id="13" w:name="_Toc22734"/>
      <w:bookmarkStart w:id="14" w:name="_Toc11842"/>
      <w:bookmarkStart w:id="15" w:name="_Toc29745"/>
      <w:r>
        <w:rPr>
          <w:rFonts w:hint="eastAsia" w:ascii="楷体" w:hAnsi="楷体" w:eastAsia="楷体" w:cs="楷体"/>
          <w:b/>
          <w:bCs/>
          <w:kern w:val="0"/>
          <w:sz w:val="32"/>
          <w:szCs w:val="32"/>
          <w:lang w:val="en-US" w:eastAsia="zh-CN"/>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1.科学规范：注重专项资金的经济性、效率性和有效性，运用科学合理的方法，按照规范的程序，对财政运行绩效进行客观、公正的反映。</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2.统筹兼顾：绩效评价应职责明确，各有侧重，相互衔接。在单位自评的基础上，对专项资金进行绩效评价。</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3.激励约束：绩效评价结果应与预算安排、政策调整、改进管理实质性挂钩，体现奖优罚劣和激励相容导向。即：有效要保障、低效要压减、无效要问责。</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4.公开透明：绩效评价结果应依法依规公开，并自觉接受社会监督。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五、综合评价情况及评价结论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kern w:val="0"/>
          <w:sz w:val="32"/>
          <w:szCs w:val="32"/>
        </w:rPr>
        <w:t>2020年，我单位积极履职，强化管理，较好地完成了年度工作目标。通过加强预算收支管理，不断建立健全内部管理制度，梳理内部管理流程，部门整体支出管理水平得到提升。根据部门整体支出绩效评价指标体系，我单位2020年度评价得分为9</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分。</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六、部门整体支出主要绩效</w:t>
      </w:r>
    </w:p>
    <w:p>
      <w:pPr>
        <w:spacing w:line="550" w:lineRule="exact"/>
        <w:ind w:firstLine="560" w:firstLineChars="200"/>
        <w:rPr>
          <w:rFonts w:ascii="宋体" w:hAnsi="宋体" w:eastAsia="宋体" w:cs="宋体"/>
          <w:sz w:val="28"/>
          <w:szCs w:val="28"/>
        </w:rPr>
      </w:pPr>
      <w:r>
        <w:rPr>
          <w:rFonts w:hint="eastAsia" w:ascii="宋体" w:hAnsi="宋体" w:eastAsia="宋体" w:cs="Times New Roman"/>
          <w:sz w:val="28"/>
          <w:szCs w:val="28"/>
          <w:lang w:val="en-US" w:eastAsia="zh-CN"/>
        </w:rPr>
        <w:t>2020年社保取得如下工作任务：</w:t>
      </w:r>
      <w:r>
        <w:rPr>
          <w:rFonts w:hint="eastAsia" w:ascii="宋体" w:hAnsi="宋体" w:eastAsia="宋体" w:cs="宋体"/>
          <w:bCs/>
          <w:sz w:val="28"/>
          <w:szCs w:val="28"/>
        </w:rPr>
        <w:t>1.社会保险基金</w:t>
      </w:r>
      <w:r>
        <w:rPr>
          <w:rFonts w:hint="eastAsia" w:ascii="宋体" w:hAnsi="宋体" w:eastAsia="宋体" w:cs="宋体"/>
          <w:bCs/>
          <w:sz w:val="28"/>
          <w:szCs w:val="28"/>
          <w:lang w:val="en-US" w:eastAsia="zh-CN"/>
        </w:rPr>
        <w:t>正常</w:t>
      </w:r>
      <w:r>
        <w:rPr>
          <w:rFonts w:hint="eastAsia" w:ascii="宋体" w:hAnsi="宋体" w:eastAsia="宋体" w:cs="宋体"/>
          <w:bCs/>
          <w:sz w:val="28"/>
          <w:szCs w:val="28"/>
        </w:rPr>
        <w:t>运行</w:t>
      </w:r>
      <w:r>
        <w:rPr>
          <w:rFonts w:hint="eastAsia" w:ascii="宋体" w:hAnsi="宋体" w:eastAsia="宋体" w:cs="宋体"/>
          <w:bCs/>
          <w:sz w:val="28"/>
          <w:szCs w:val="28"/>
          <w:lang w:eastAsia="zh-CN"/>
        </w:rPr>
        <w:t>；</w:t>
      </w:r>
      <w:r>
        <w:rPr>
          <w:rFonts w:hint="eastAsia" w:ascii="宋体" w:hAnsi="宋体" w:eastAsia="宋体" w:cs="宋体"/>
          <w:sz w:val="28"/>
          <w:szCs w:val="28"/>
        </w:rPr>
        <w:t>2.落实保民生援企稳岗各项政策，为企业减负克服疫情困难恢复生产保驾护航</w:t>
      </w:r>
      <w:r>
        <w:rPr>
          <w:rFonts w:hint="eastAsia" w:ascii="宋体" w:hAnsi="宋体" w:eastAsia="宋体" w:cs="宋体"/>
          <w:sz w:val="28"/>
          <w:szCs w:val="28"/>
          <w:lang w:eastAsia="zh-CN"/>
        </w:rPr>
        <w:t>；</w:t>
      </w:r>
      <w:r>
        <w:rPr>
          <w:rFonts w:hint="eastAsia" w:ascii="宋体" w:hAnsi="宋体" w:eastAsia="宋体" w:cs="宋体"/>
          <w:sz w:val="28"/>
          <w:szCs w:val="28"/>
        </w:rPr>
        <w:t>3.精准完成养老金调待工作</w:t>
      </w:r>
      <w:r>
        <w:rPr>
          <w:rFonts w:hint="eastAsia" w:ascii="宋体" w:hAnsi="宋体" w:eastAsia="宋体" w:cs="宋体"/>
          <w:sz w:val="28"/>
          <w:szCs w:val="28"/>
          <w:lang w:eastAsia="zh-CN"/>
        </w:rPr>
        <w:t>；</w:t>
      </w:r>
      <w:r>
        <w:rPr>
          <w:rFonts w:hint="eastAsia" w:ascii="宋体" w:hAnsi="宋体" w:eastAsia="宋体" w:cs="宋体"/>
          <w:sz w:val="28"/>
          <w:szCs w:val="28"/>
        </w:rPr>
        <w:t>4.继续做好被征地社会保障工作</w:t>
      </w:r>
      <w:r>
        <w:rPr>
          <w:rFonts w:hint="eastAsia" w:ascii="宋体" w:hAnsi="宋体" w:eastAsia="宋体" w:cs="宋体"/>
          <w:sz w:val="28"/>
          <w:szCs w:val="28"/>
          <w:lang w:eastAsia="zh-CN"/>
        </w:rPr>
        <w:t>；</w:t>
      </w:r>
      <w:r>
        <w:rPr>
          <w:rFonts w:hint="eastAsia" w:ascii="宋体" w:hAnsi="宋体" w:eastAsia="宋体" w:cs="宋体"/>
          <w:sz w:val="28"/>
          <w:szCs w:val="28"/>
          <w:shd w:val="clear" w:color="auto" w:fill="FFFFFF"/>
        </w:rPr>
        <w:t>5.全面完成</w:t>
      </w:r>
      <w:r>
        <w:rPr>
          <w:rFonts w:hint="eastAsia" w:cs="仿宋" w:asciiTheme="minorEastAsia" w:hAnsiTheme="minorEastAsia"/>
          <w:sz w:val="28"/>
          <w:szCs w:val="28"/>
        </w:rPr>
        <w:t>城乡居民养老保险全覆盖工作</w:t>
      </w:r>
      <w:r>
        <w:rPr>
          <w:rFonts w:hint="eastAsia" w:cs="仿宋" w:asciiTheme="minorEastAsia" w:hAnsiTheme="minorEastAsia"/>
          <w:sz w:val="28"/>
          <w:szCs w:val="28"/>
          <w:lang w:eastAsia="zh-CN"/>
        </w:rPr>
        <w:t>；</w:t>
      </w:r>
      <w:r>
        <w:rPr>
          <w:rFonts w:hint="eastAsia" w:cs="宋体" w:asciiTheme="minorEastAsia" w:hAnsiTheme="minorEastAsia"/>
          <w:sz w:val="28"/>
          <w:szCs w:val="28"/>
        </w:rPr>
        <w:t>6.全力做好退捕渔民参保及补贴工作</w:t>
      </w:r>
      <w:r>
        <w:rPr>
          <w:rFonts w:hint="eastAsia" w:cs="宋体" w:asciiTheme="minorEastAsia" w:hAnsiTheme="minorEastAsia"/>
          <w:sz w:val="28"/>
          <w:szCs w:val="28"/>
          <w:lang w:eastAsia="zh-CN"/>
        </w:rPr>
        <w:t>；</w:t>
      </w:r>
      <w:r>
        <w:rPr>
          <w:rFonts w:hint="eastAsia" w:cs="仿宋" w:asciiTheme="minorEastAsia" w:hAnsiTheme="minorEastAsia"/>
          <w:sz w:val="28"/>
          <w:szCs w:val="28"/>
        </w:rPr>
        <w:t>7.全面落实社保扶贫政府代缴政策</w:t>
      </w:r>
      <w:r>
        <w:rPr>
          <w:rFonts w:hint="eastAsia" w:cs="仿宋" w:asciiTheme="minorEastAsia" w:hAnsiTheme="minorEastAsia"/>
          <w:sz w:val="28"/>
          <w:szCs w:val="28"/>
          <w:lang w:eastAsia="zh-CN"/>
        </w:rPr>
        <w:t>；</w:t>
      </w:r>
      <w:r>
        <w:rPr>
          <w:rFonts w:hint="eastAsia" w:ascii="宋体" w:hAnsi="宋体" w:eastAsia="宋体" w:cs="宋体"/>
          <w:sz w:val="28"/>
          <w:szCs w:val="28"/>
        </w:rPr>
        <w:t>8.加强内控管理，严把基金安全关，严控基金安全风险</w:t>
      </w:r>
      <w:r>
        <w:rPr>
          <w:rFonts w:hint="eastAsia" w:ascii="宋体" w:hAnsi="宋体" w:eastAsia="宋体" w:cs="宋体"/>
          <w:sz w:val="28"/>
          <w:szCs w:val="28"/>
          <w:lang w:eastAsia="zh-CN"/>
        </w:rPr>
        <w:t>；</w:t>
      </w:r>
      <w:r>
        <w:rPr>
          <w:rFonts w:hint="eastAsia" w:cs="仿宋" w:asciiTheme="minorEastAsia" w:hAnsiTheme="minorEastAsia"/>
          <w:sz w:val="28"/>
          <w:szCs w:val="28"/>
        </w:rPr>
        <w:t>9.</w:t>
      </w:r>
      <w:r>
        <w:rPr>
          <w:rFonts w:hint="eastAsia" w:ascii="宋体" w:hAnsi="宋体" w:eastAsia="宋体" w:cs="宋体"/>
          <w:sz w:val="28"/>
          <w:szCs w:val="28"/>
        </w:rPr>
        <w:t>开展机关事业单位、企业以及城乡居民养老保险退休人员生存认证，杜绝虚报冒领现象。</w:t>
      </w:r>
    </w:p>
    <w:p>
      <w:pPr>
        <w:spacing w:line="550" w:lineRule="exact"/>
        <w:ind w:firstLine="560" w:firstLineChars="200"/>
        <w:rPr>
          <w:rFonts w:hint="eastAsia" w:ascii="宋体" w:hAnsi="宋体" w:eastAsia="宋体" w:cs="宋体"/>
          <w:sz w:val="28"/>
          <w:szCs w:val="28"/>
          <w:lang w:eastAsia="zh-CN"/>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七、存在的问题</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1.对项目资金的帐务处理不太规范，预算批复中的项目资金虽已按照批复专款专用，但在帐务处理时没有区分项目支出和基本支出，统一核算。</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2.预算编制工作有待细化，在年初预算时，项目资金的经济分类科目没有按支出分配好。</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八、改进措施和有关建议</w:t>
      </w:r>
    </w:p>
    <w:p>
      <w:pPr>
        <w:ind w:firstLine="640" w:firstLineChars="200"/>
        <w:rPr>
          <w:rFonts w:hint="eastAsia" w:ascii="仿宋" w:hAnsi="仿宋" w:eastAsia="仿宋" w:cs="仿宋"/>
          <w:spacing w:val="0"/>
          <w:kern w:val="0"/>
          <w:sz w:val="32"/>
          <w:szCs w:val="32"/>
        </w:rPr>
      </w:pPr>
      <w:r>
        <w:rPr>
          <w:rFonts w:hint="eastAsia" w:ascii="仿宋" w:hAnsi="仿宋" w:eastAsia="仿宋" w:cs="仿宋"/>
          <w:spacing w:val="0"/>
          <w:kern w:val="0"/>
          <w:sz w:val="32"/>
          <w:szCs w:val="32"/>
        </w:rPr>
        <w:t xml:space="preserve">1.细化预算编制工作，认真做好预算的编制。进一步加强我委内部机构各办的预算管理意识，严格按照预算编制的相关制度和要求进行预算编制 </w:t>
      </w:r>
    </w:p>
    <w:p>
      <w:pPr>
        <w:ind w:firstLine="640" w:firstLineChars="200"/>
        <w:rPr>
          <w:rFonts w:hint="eastAsia" w:ascii="宋体" w:hAnsi="宋体" w:eastAsia="宋体" w:cs="宋体"/>
          <w:spacing w:val="0"/>
          <w:kern w:val="0"/>
          <w:sz w:val="30"/>
          <w:szCs w:val="30"/>
        </w:rPr>
      </w:pPr>
      <w:r>
        <w:rPr>
          <w:rFonts w:hint="eastAsia" w:ascii="仿宋" w:hAnsi="仿宋" w:eastAsia="仿宋" w:cs="仿宋"/>
          <w:spacing w:val="0"/>
          <w:kern w:val="0"/>
          <w:sz w:val="32"/>
          <w:szCs w:val="32"/>
        </w:rPr>
        <w:t>2.加强财务管理，严格财务审核。在费用报账支付时，按照预算规定的费用项目和用途进行财务核算，分门别类做支出。</w:t>
      </w:r>
      <w:r>
        <w:rPr>
          <w:rFonts w:hint="eastAsia" w:ascii="宋体" w:hAnsi="宋体" w:eastAsia="宋体" w:cs="宋体"/>
          <w:spacing w:val="0"/>
          <w:kern w:val="0"/>
          <w:sz w:val="30"/>
          <w:szCs w:val="30"/>
        </w:rPr>
        <w:br w:type="page"/>
      </w:r>
    </w:p>
    <w:p>
      <w:pPr>
        <w:rPr>
          <w:rFonts w:hint="eastAsia" w:ascii="宋体" w:hAnsi="宋体" w:eastAsia="宋体" w:cs="宋体"/>
          <w:spacing w:val="0"/>
          <w:kern w:val="0"/>
          <w:sz w:val="30"/>
          <w:szCs w:val="30"/>
        </w:rPr>
      </w:pPr>
    </w:p>
    <w:p>
      <w:pPr>
        <w:rPr>
          <w:rFonts w:hint="eastAsia" w:ascii="宋体" w:hAnsi="宋体" w:eastAsia="宋体" w:cs="宋体"/>
          <w:spacing w:val="0"/>
          <w:kern w:val="0"/>
          <w:sz w:val="30"/>
          <w:szCs w:val="30"/>
        </w:rPr>
      </w:pPr>
    </w:p>
    <w:p>
      <w:pPr>
        <w:spacing w:line="600" w:lineRule="exact"/>
        <w:rPr>
          <w:rFonts w:ascii="宋体" w:hAnsi="宋体" w:cs="宋体"/>
          <w:kern w:val="0"/>
          <w:sz w:val="32"/>
          <w:szCs w:val="32"/>
        </w:rPr>
      </w:pPr>
      <w:bookmarkStart w:id="16" w:name="RANGE!A1:H22"/>
      <w:r>
        <w:rPr>
          <w:rFonts w:hint="eastAsia" w:ascii="黑体" w:hAnsi="宋体" w:eastAsia="黑体" w:cs="宋体"/>
          <w:kern w:val="0"/>
          <w:sz w:val="32"/>
          <w:szCs w:val="32"/>
        </w:rPr>
        <w:t>附件</w:t>
      </w:r>
      <w:bookmarkEnd w:id="16"/>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rPr>
              <w:t>9</w:t>
            </w:r>
            <w:r>
              <w:rPr>
                <w:rFonts w:hint="eastAsia" w:ascii="宋体" w:hAnsi="宋体" w:cs="宋体"/>
                <w:kern w:val="0"/>
                <w:sz w:val="24"/>
                <w:lang w:val="en-US" w:eastAsia="zh-CN"/>
              </w:rPr>
              <w:t>5</w:t>
            </w:r>
          </w:p>
        </w:tc>
      </w:tr>
    </w:tbl>
    <w:p>
      <w:pPr>
        <w:spacing w:line="600" w:lineRule="exact"/>
        <w:rPr>
          <w:rFonts w:ascii="宋体" w:hAnsi="宋体" w:cs="宋体"/>
          <w:kern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(一）整体支出绩效目标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预决算公开：2020年，按照上级的要求，我单位在政府网站上进行了预决算公开。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资产管理：我们进一步加强资产的管理，明确具体责任人，完善了固定资产档案，严格报批、审核等手续，做好资产登记工作，单位无任何资产流失现象。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三公经费控制情况：我单位贯彻落实上级有关精神，严格控制“三公经费”支出，取得了良好效果。具体情况如下：2020年“三公”经费0万元，其中公务接待费为0万元，无公务用车运行维护费和因公出国（境）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（二）部门整体支出情况分析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   从整体情况来看，我单位严格按照年初预算进行部门整体支出。在支出过程中，能严格遵守各项规章制度。</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4D54"/>
    <w:multiLevelType w:val="singleLevel"/>
    <w:tmpl w:val="5F374D5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OTM5ZTFhNDAwYzE3ZTQ0ODIxYWRiNjU4MjZiNjkifQ=="/>
  </w:docVars>
  <w:rsids>
    <w:rsidRoot w:val="00000000"/>
    <w:rsid w:val="0B6A09A7"/>
    <w:rsid w:val="5F056994"/>
    <w:rsid w:val="63A81A8B"/>
    <w:rsid w:val="65422AC3"/>
    <w:rsid w:val="6C21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4710</Words>
  <Characters>4959</Characters>
  <Lines>0</Lines>
  <Paragraphs>0</Paragraphs>
  <TotalTime>8</TotalTime>
  <ScaleCrop>false</ScaleCrop>
  <LinksUpToDate>false</LinksUpToDate>
  <CharactersWithSpaces>5117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2022-09-13T03:39:00Z</dcterms:created>
  <dc:creator>Administrator</dc:creator>
  <cp:lastModifiedBy>缘缘</cp:lastModifiedBy>
  <dcterms:modified xsi:type="dcterms:W3CDTF">2022-09-14T01:37:49Z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AD795807E72B41EDAB3C1E47308F402C</vt:lpwstr>
  </property>
</Properties>
</file>