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Arial" w:hAnsi="Arial" w:cs="Arial"/>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20</w:t>
      </w: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2</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1</w:t>
      </w: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双清区人社局整体支出绩效评价报告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Arial" w:hAnsi="Arial" w:cs="Arial"/>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Arial" w:hAnsi="Arial" w:cs="Arial"/>
          <w:i w:val="0"/>
          <w:iCs w:val="0"/>
          <w:caps w:val="0"/>
          <w:color w:val="333333"/>
          <w:spacing w:val="0"/>
          <w:sz w:val="21"/>
          <w:szCs w:val="21"/>
        </w:rPr>
      </w:pPr>
      <w:r>
        <w:rPr>
          <w:rFonts w:ascii="仿宋_GB2312" w:hAnsi="宋体" w:eastAsia="仿宋_GB2312" w:cs="仿宋_GB2312"/>
          <w:i w:val="0"/>
          <w:iCs w:val="0"/>
          <w:caps w:val="0"/>
          <w:color w:val="222222"/>
          <w:spacing w:val="0"/>
          <w:kern w:val="0"/>
          <w:sz w:val="32"/>
          <w:szCs w:val="32"/>
          <w:shd w:val="clear" w:fill="FFFFFF"/>
          <w:lang w:val="en-US" w:eastAsia="zh-CN" w:bidi="ar"/>
        </w:rPr>
        <w:t>区财政局：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按照区财政局关于绩效评价文件要求，现将我单位整体支出绩效评价情况报告如下：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ascii="黑体" w:hAnsi="宋体" w:eastAsia="黑体" w:cs="黑体"/>
          <w:i w:val="0"/>
          <w:iCs w:val="0"/>
          <w:caps w:val="0"/>
          <w:color w:val="333333"/>
          <w:spacing w:val="0"/>
          <w:kern w:val="0"/>
          <w:sz w:val="32"/>
          <w:szCs w:val="32"/>
          <w:shd w:val="clear" w:fill="FFFFFF"/>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shd w:val="clear" w:fill="FFFFFF"/>
          <w:lang w:val="en-US" w:eastAsia="zh-CN" w:bidi="ar"/>
        </w:rPr>
        <w:t>（一）机构、人员构成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ascii="仿宋" w:hAnsi="仿宋" w:eastAsia="仿宋" w:cs="仿宋"/>
          <w:i w:val="0"/>
          <w:iCs w:val="0"/>
          <w:caps w:val="0"/>
          <w:color w:val="333333"/>
          <w:spacing w:val="0"/>
          <w:kern w:val="0"/>
          <w:sz w:val="32"/>
          <w:szCs w:val="32"/>
          <w:shd w:val="clear" w:fill="FFFFFF"/>
          <w:lang w:val="en-US" w:eastAsia="zh-CN" w:bidi="ar"/>
        </w:rPr>
        <w:t>邵阳市双清区人社局是全额拨款的行政单位，机关内设机构</w:t>
      </w:r>
      <w:r>
        <w:rPr>
          <w:rFonts w:hint="eastAsia" w:ascii="仿宋" w:hAnsi="仿宋" w:eastAsia="仿宋" w:cs="仿宋"/>
          <w:i w:val="0"/>
          <w:iCs w:val="0"/>
          <w:caps w:val="0"/>
          <w:color w:val="333333"/>
          <w:spacing w:val="0"/>
          <w:kern w:val="0"/>
          <w:sz w:val="32"/>
          <w:szCs w:val="32"/>
          <w:shd w:val="clear" w:fill="FFFFFF"/>
          <w:lang w:val="en-US" w:eastAsia="zh-CN" w:bidi="ar"/>
        </w:rPr>
        <w:t>6个：办公室、公务员管理股、绩效考核评估股、工资福利股、劳动关系与法规股、社会就业失业、保险管理、基金监督股。编办核定编制人数11人（其中行政编制10人、政法编制0人、事业编制0人、工勤编制1人），实有人数23人，其中在职人员10人，离休人员0人，退休人员13</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shd w:val="clear" w:fill="FFFFFF"/>
          <w:lang w:val="en-US" w:eastAsia="zh-CN" w:bidi="ar"/>
        </w:rPr>
        <w:t>（二）单位主要职责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1、贯彻执行国家、省、市有关人力资源和社会保障工作的方针、政策、法律法规、制订相应政策，并组织实施；对全区人力资源和社会保障工作宏观规划、综合管理、监督指导、协调服务。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2、综合管理全区国家公务员、专业技术人员和公务员、专业技术队伍建设工作，完善全区公务员制度；归口管理专业技术人员的职称工作，完善专业技术职务聘任制度；负责全区公务员录用考试、选拔考试、专业技术人员资格考试、职业资格考试、机关事业单位工人等级考试的组织实施和综合管理工作；综合管理全区国家公务员、专业技术人员和机关事业单位工勤人员的培训和继续教育工作。负责高层次专业技术人才选拔、培养和引进工作。归口管理全区引进国（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外智力工作。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3、研究拟定和组织实施行政奖惩制度的具体措施，负责全区国家行政奖励表彰工作，承办区人民政府任免工作人员的有关工作。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4、负责全区人才市场建设、人才资源规划、开发和人事统计工作，指导、实施事业单位人事制度改革，拟定全区机关、事业单位工作人员的总体规划、结构调整、工资分配的实施意见，编制全区机关、事业单位人员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5、拟定促进全区城乡就业工作的基本政策和措施，组织建立、健全就业服务体系。贯彻执行国有企业下岗职工基本生活保障和再就业的政策措施，组织实施再就业工程，负责全区就业和再就业经费管理。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6、拟定全区劳动关系调整的基本原则，组织劳动合同、集体合同制度的实施，负责全区劳动和社会保障制度检查和审核工作；负责劳动合同鉴证、集体合同审核工作；监督实施职工工作时间、休息休假制度和女工、未成年工特殊劳动保护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7、贯彻或拟定养老、失业、医疗、工伤和生育社会保障的基本政策及标准，并组织实施和监督检查；拟定全区社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会保险基金的征缴、支付、运营和管理的实施办法；承办区政府授权的各项社会保险工作。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8</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、组织建立全区社会保险服务体系，编制全区社会保险基金预决算，对社会保险基金管理实施行政监督；制订机关、事业企业单位和社会团体的补充养老保险、补充医疗保险管理制度。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9</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、贯彻执行职业分类、职业技能国家标准和相关行业标准，建立健全职业资格证书制度。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10</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、负责归口管理的政策性安置和调配工作，组织实施</w:t>
      </w:r>
      <w:r>
        <w:rPr>
          <w:rFonts w:hint="eastAsia" w:ascii="仿宋" w:hAnsi="仿宋" w:eastAsia="仿宋" w:cs="仿宋"/>
          <w:i w:val="0"/>
          <w:iCs w:val="0"/>
          <w:caps w:val="0"/>
          <w:color w:val="333333"/>
          <w:spacing w:val="0"/>
          <w:kern w:val="0"/>
          <w:sz w:val="32"/>
          <w:szCs w:val="32"/>
          <w:shd w:val="clear" w:fill="FFFFFF"/>
          <w:lang w:val="en-US" w:eastAsia="zh-CN" w:bidi="ar"/>
        </w:rPr>
        <w:t>机关事业单位及企业工作人员的工资、福利、退休制度和政策。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11、会同有关部门拟定农民工工作综合性政策和规划，推动农民工相关政策的落实，协调解决重点难点问题，维护农民工合法权益。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12、负责全区人事劳动争议处理和仲裁工作，依法查处使用童工政策和女工、未成年工的违法行为，组织实施劳动监察，协调劳动者维权工作。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13、负责牵头区政府绩效考核评估工作。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14、承办区委、区人民政府交办的其他事项。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（三）部门整体支出规模、使用方向和主要内容、涉及范围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人社局2021年全年总支出226.98万元。基本支出226.98万元，其中人员支出125.94万元(工资支出36.9万元、津贴22.76万元“3”奖励支出24.72万元、住房保障支出12.64万元、社保费开支15.70万元 ，伙食补助等开支2.28万元、对个人家庭补助10.94万元)。公用支出101.04 万元，主要用于单位的办公费开支10.80万元、印刷费6.35万元、邮电费0.4万元、差旅费1.5万元，维修(护)费8万元，劳务费19.24万元，委托业务费11.4万元，工会经费4.1万元，其他交通补助9.28万元，其他开支26.67万元，办公设备购置3.3万元，合计101.04万元等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二、部门整体支出管理及使用情况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shd w:val="clear" w:fill="FFFFFF"/>
          <w:lang w:val="en-US" w:eastAsia="zh-CN" w:bidi="ar"/>
        </w:rPr>
        <w:t>（一）基本支出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人社局2021年度财政拨款基本支出421.3万元，其中：人员经费299.95万元，占基本支出的71%,主要包括基本工资、津贴补贴、奖金、伙食补助费，机关事业基本养老保险缴纳，职工基本医疗养老保险缴费同，其他社会保障缴费，住房公积金，其他工资福利支出；公用经费121.35万元，占基本支出的29%，主要包括办公费、印刷费、邮电费、差旅费，劳务费，委托业务费，工会经费，维修费，其他商品和服务支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“三公”经费的使用情况如下：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1．因公出国(境)费用支出决算0万元，占0%，2021年因公出国(境)团组数0个，团组人数0人；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2．公务用车购置及运行费支出决算0万元。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3.  公务接待0.31万元。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shd w:val="clear" w:fill="FFFFFF"/>
          <w:lang w:val="en-US" w:eastAsia="zh-CN" w:bidi="ar"/>
        </w:rPr>
        <w:t>（二）专项支出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1</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．项目资金安排落实、总投入等情况。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项目资金共计预算安排了</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8</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2</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．项目资金实际使用情况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用于劳动保障扩面工作经费</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8</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三、部门整体支出管理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人社局建立健全的财务管理制度，会计核算制度，励行节约制度，相关管理制度合法、合规、完整，并严格按照制度办理财务业务。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四、部门整体支出绩效情况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（一）稳步推进就业创业工作</w:t>
      </w: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1.圆满完成各项就业指标任务。</w:t>
      </w:r>
      <w:r>
        <w:rPr>
          <w:rFonts w:hint="eastAsia" w:ascii="仿宋" w:hAnsi="仿宋" w:eastAsia="仿宋" w:cs="仿宋"/>
          <w:i w:val="0"/>
          <w:iCs w:val="0"/>
          <w:caps w:val="0"/>
          <w:color w:val="000000"/>
          <w:spacing w:val="0"/>
          <w:kern w:val="0"/>
          <w:sz w:val="32"/>
          <w:szCs w:val="32"/>
          <w:shd w:val="clear" w:fill="FFFFFF"/>
          <w:lang w:val="en-US" w:eastAsia="zh-CN" w:bidi="ar"/>
        </w:rPr>
        <w:t>2021年以来，我区严格按照上级把“稳就业”作为“六稳”之首的具体要求，结合我区实际，分解目标任务，落实责任和措施，全力助推复工复产稳就业保民生。截止2021年12月，</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我区城镇新增就业人员任务3746人，共计完成3821人，完成上级任务的102%；失业人员再就业任务2310人，共计完成2319人，完成上级任务的100%；其中就业困难对象再就业任务800人，共计完成上级任务的819人，完成102%。新增农村劳动力转移就业任务520人，共计完成人数526人，完成上级任务的101%。</w:t>
      </w:r>
      <w:r>
        <w:rPr>
          <w:rFonts w:hint="eastAsia" w:ascii="仿宋" w:hAnsi="仿宋" w:eastAsia="仿宋" w:cs="仿宋"/>
          <w:i w:val="0"/>
          <w:iCs w:val="0"/>
          <w:caps w:val="0"/>
          <w:color w:val="000000"/>
          <w:spacing w:val="0"/>
          <w:kern w:val="0"/>
          <w:sz w:val="32"/>
          <w:szCs w:val="32"/>
          <w:shd w:val="clear" w:fill="FFFFFF"/>
          <w:lang w:val="en-US" w:eastAsia="zh-CN" w:bidi="ar"/>
        </w:rPr>
        <w:t>城镇登记失业率4.3%以内，低于上级4.5%目标任务指标。</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重点民生实事项目“开展政府补贴性职业技能培训”项目任务2300人，完成培训补贴人数共计4405人，完成目标任务的192%；其中农村转移就业劳动者培训任务目标360人，完成培训2366人，完成上级任务的657%。</w:t>
      </w:r>
      <w:r>
        <w:rPr>
          <w:rFonts w:hint="eastAsia" w:ascii="仿宋" w:hAnsi="仿宋" w:eastAsia="仿宋" w:cs="仿宋"/>
          <w:i w:val="0"/>
          <w:iCs w:val="0"/>
          <w:caps w:val="0"/>
          <w:color w:val="000000"/>
          <w:spacing w:val="0"/>
          <w:kern w:val="0"/>
          <w:sz w:val="32"/>
          <w:szCs w:val="32"/>
          <w:shd w:val="clear" w:fill="FFFFFF"/>
          <w:lang w:val="en-US" w:eastAsia="zh-CN" w:bidi="ar"/>
        </w:rPr>
        <w:t>贫困劳动力培训任务250人，培训完成628人，完成上级任务的251%，贫困家庭两后生培训任务30人，培训完成34人，完成上级任务的113%。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2.攻坚克难，全力助推复工复产。</w:t>
      </w:r>
      <w:r>
        <w:rPr>
          <w:rFonts w:hint="eastAsia" w:ascii="仿宋" w:hAnsi="仿宋" w:eastAsia="仿宋" w:cs="仿宋"/>
          <w:i w:val="0"/>
          <w:iCs w:val="0"/>
          <w:caps w:val="0"/>
          <w:color w:val="000000"/>
          <w:spacing w:val="0"/>
          <w:kern w:val="0"/>
          <w:sz w:val="32"/>
          <w:szCs w:val="32"/>
          <w:shd w:val="clear" w:fill="FFFFFF"/>
          <w:lang w:val="en-US" w:eastAsia="zh-CN" w:bidi="ar"/>
        </w:rPr>
        <w:t>疫情以来，为全力支持各类企业及用人单位复工复产，从3月下旬开始，又先后采集提供100多家用工企业招聘信息，2次组织参与市“百日千万网络招聘专项行动”邵阳站活动。登记摸排市区内及省外近200家企业用工需求，提供3000多个就业岗位，印制《2021年双清区企业招聘岗位信息》等资料15000份，在全区各乡镇街道社区、村等场所广泛宣传，助力企业招聘和求职者就业，全力支持企业解决用工难问题。另一方面根据企业诉求,主动和用工企业联系，及时掌握务工人员返岗心态，宣传复工复产优惠政策，特别注重用工密集企业务工人员返岗劝说工作，并取得实效。疫情期间，共为口味王劝说返岗老员工73人、为连泰鞋业劝说返岗老员工214人，及时为企业解决用工难问题，保证了企业生产顺利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3.多措并举，保障稳就业政策落实。</w:t>
      </w:r>
      <w:r>
        <w:rPr>
          <w:rFonts w:hint="eastAsia" w:ascii="仿宋" w:hAnsi="仿宋" w:eastAsia="仿宋" w:cs="仿宋"/>
          <w:i w:val="0"/>
          <w:iCs w:val="0"/>
          <w:caps w:val="0"/>
          <w:color w:val="000000"/>
          <w:spacing w:val="0"/>
          <w:kern w:val="0"/>
          <w:sz w:val="32"/>
          <w:szCs w:val="32"/>
          <w:shd w:val="clear" w:fill="FFFFFF"/>
          <w:lang w:val="en-US" w:eastAsia="zh-CN" w:bidi="ar"/>
        </w:rPr>
        <w:t>一是大力开展职业培训。2021年我区先后在各乡镇、企业和定点培训机构开展了育婴员、中式面点、中式烹调、计算机操作、缝纫工、茶艺师、栽培工、家政服务、电子商务等各就业培训，共计开班75个，职业技能培训人员4405人；二是按要求落实高校毕业就业见习工作。今年在4所就业见习基地安排42人高校毕业生实施就业见习，发放见习补贴金额16.135万元；三是多渠道招工引员促就业。举行“点亮万家灯火”系列就业专项活动，于7月6日在红星美凯龙组织举办了专题招聘会，共有77家企业提供招聘岗位800多个，于7月28日、8月20日为步步高新天地召开了两场大型招聘会，先后动员3000多人参会，达成就业意向1000多人，助力企业招聘和求职者就业，全力支持企业解决用工难问题，取得了良好的效果；四是落实稳企稳岗扶持政策。对疫情期间劳动力人员就业不稳定，落实稳企稳岗扶持政策，对邵阳鑫鹏科技有限公司、邵阳天堂助剂化工有限公司、湖南立得科技股份有限公司给予工业企业结构调整专项稳就业资金补贴奖补20万元，对就业扶贫车间海天编织吸纳贫困劳动力奖补0.9万元，对优爱家政予以精准扶贫爱心单位奖补10万元，对友谊阿波罗给予创业载体补助资金15万元,为7家小微企业吸纳高校毕业生就业社保补贴3.18万元，对就业困难人员256人养老保险、医疗保险补贴共计67.08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4. 全力以赴，推进就业扶贫工作。</w:t>
      </w:r>
      <w:r>
        <w:rPr>
          <w:rFonts w:hint="eastAsia" w:ascii="仿宋" w:hAnsi="仿宋" w:eastAsia="仿宋" w:cs="仿宋"/>
          <w:i w:val="0"/>
          <w:iCs w:val="0"/>
          <w:caps w:val="0"/>
          <w:color w:val="000000"/>
          <w:spacing w:val="0"/>
          <w:kern w:val="0"/>
          <w:sz w:val="32"/>
          <w:szCs w:val="32"/>
          <w:shd w:val="clear" w:fill="FFFFFF"/>
          <w:lang w:val="en-US" w:eastAsia="zh-CN" w:bidi="ar"/>
        </w:rPr>
        <w:t>全面落实就业扶贫政策。我们坚定“一人就业，全家脱贫”的工作思路，全面落实贫困劳动力就业。建设就业扶贫车间2个，2021年对2个扶贫车间贫困劳动力就业14人以工代训补贴4.2万元；对扶贫车间邵阳海天塑料编织有限公司滨江车间给予岗位补贴0.7万元，社会保险补贴5.12万元；</w:t>
      </w:r>
      <w:bookmarkStart w:id="0" w:name="_GoBack"/>
      <w:bookmarkEnd w:id="0"/>
      <w:r>
        <w:rPr>
          <w:rFonts w:hint="eastAsia" w:ascii="仿宋" w:hAnsi="仿宋" w:eastAsia="仿宋" w:cs="仿宋"/>
          <w:i w:val="0"/>
          <w:iCs w:val="0"/>
          <w:caps w:val="0"/>
          <w:color w:val="000000"/>
          <w:spacing w:val="0"/>
          <w:kern w:val="0"/>
          <w:sz w:val="32"/>
          <w:szCs w:val="32"/>
          <w:shd w:val="clear" w:fill="FFFFFF"/>
          <w:lang w:val="en-US" w:eastAsia="zh-CN" w:bidi="ar"/>
        </w:rPr>
        <w:t>2021年贫困劳动力外出务工总数984人；双清区返乡回流贫困劳动力总人数14人，其中已就业8人，无就业意愿6人。做好贫困劳动力和“两后生”培训，2021年培训贫困劳动力人员628人，培训“两后生”34人。2021年对九兴集团邵阳连泰鞋业有限公司吸纳贫困劳动力就业共317人实施补贴，其中养老保险补贴，医疗保险补贴，失业保险补贴共计社保补贴138万余元，岗位补贴31.7万元，共计补贴169.7万余元；2021年发放贫困劳动力外出务工交通补助63人，补贴金额1.5万元；发放贫困劳动力求职创业补贴223人，补贴金额6.69万元，补贴发放全面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（二）提质人才服务和人事管理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2021年我区招募“三支一扶”志愿者4名，均服务于就业和社会保障服务平台，9月1日已上岗；我区计划引进“双一流”人才12人，符合报名资格的考生11人，目前已完成面试、体检、考察程序，拟录取2人，待区委组织部开会后上岗；公开招聘教师180人，经笔试、面试、体检，政审，拟录用175人，目前170人已上岗，5人因孕期推迟上岗；计划面向村（社区）党组织书记、主任考核招聘乡镇（街道）事业编制人员2名，经面试、实际考核、考察程序已完成，拟聘用1人，正在办理上岗相关手续；计划招聘医护人员和其他事业单位编制人员64人，招聘工作与12月10日开启，目前报名已完成，正在准备笔试前一系列工作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（三）完善社会保障制度，发挥社保制度优势，落实保民生援企稳岗各项政策。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2</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021年，我区机关事业单位养老保险、城镇企业职工养老保险、城乡居民养老保险、失业保险分别有参保人数 4411 人、25540人、53760人、</w:t>
      </w:r>
      <w:r>
        <w:rPr>
          <w:rFonts w:hint="eastAsia" w:ascii="仿宋" w:hAnsi="仿宋" w:eastAsia="仿宋" w:cs="仿宋"/>
          <w:i w:val="0"/>
          <w:iCs w:val="0"/>
          <w:caps w:val="0"/>
          <w:color w:val="000000"/>
          <w:spacing w:val="0"/>
          <w:kern w:val="0"/>
          <w:sz w:val="32"/>
          <w:szCs w:val="32"/>
          <w:shd w:val="clear" w:fill="FFFFFF"/>
          <w:lang w:val="en-US" w:eastAsia="zh-CN" w:bidi="ar"/>
        </w:rPr>
        <w:t>3820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人，征缴基金 6228万元、19179万元、7985万元、</w:t>
      </w:r>
      <w:r>
        <w:rPr>
          <w:rFonts w:hint="eastAsia" w:ascii="仿宋" w:hAnsi="仿宋" w:eastAsia="仿宋" w:cs="仿宋"/>
          <w:i w:val="0"/>
          <w:iCs w:val="0"/>
          <w:caps w:val="0"/>
          <w:color w:val="000000"/>
          <w:spacing w:val="0"/>
          <w:kern w:val="0"/>
          <w:sz w:val="32"/>
          <w:szCs w:val="32"/>
          <w:shd w:val="clear" w:fill="FFFFFF"/>
          <w:lang w:val="en-US" w:eastAsia="zh-CN" w:bidi="ar"/>
        </w:rPr>
        <w:t>160</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万元，待遇领取人数 2317 人、12088人、14790人、1985人，发放待遇11770万元、20778万元、4878万元、</w:t>
      </w:r>
      <w:r>
        <w:rPr>
          <w:rFonts w:hint="eastAsia" w:ascii="仿宋" w:hAnsi="仿宋" w:eastAsia="仿宋" w:cs="仿宋"/>
          <w:i w:val="0"/>
          <w:iCs w:val="0"/>
          <w:caps w:val="0"/>
          <w:color w:val="000000"/>
          <w:spacing w:val="0"/>
          <w:kern w:val="0"/>
          <w:sz w:val="32"/>
          <w:szCs w:val="32"/>
          <w:shd w:val="clear" w:fill="FFFFFF"/>
          <w:lang w:val="en-US" w:eastAsia="zh-CN" w:bidi="ar"/>
        </w:rPr>
        <w:t>217</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万元。2021年城乡居民基本养老保险全覆盖新增参保目标任务数355人，已完成全部参保，参保率100%，企业职工基本养老保险基金征缴目标任务为4436万元，完成基金征缴19179万元，超额完成；完成同级财政补助目标任务22万元；完成企业职工养老保险参保缴费率20%的目标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1、社会保障制度不断完善，机关事业单位养老保险制度改革落地生根，社会保险基金征缴职能划转全面完成，城乡居民基本养老保险全覆盖。2014年10月启动机关事业单位养老保险制度改革以来，全区119家机关事业单位完成了参保登记，在职职工4411人进行了参保登记并按月缴费，2317名离退休人员养老金由社保中心按月进行社会化发放；2021年11月1日起，机关事业单位养老保险、城镇企业职工养老保险、城乡居民养老保险、职业年金、失业保险各险种基金征缴职能全部划转至税务部门进行征收；根据今年的目标任务，</w:t>
      </w:r>
      <w:r>
        <w:rPr>
          <w:rFonts w:hint="eastAsia" w:ascii="仿宋" w:hAnsi="仿宋" w:eastAsia="仿宋" w:cs="仿宋"/>
          <w:i w:val="0"/>
          <w:iCs w:val="0"/>
          <w:caps w:val="0"/>
          <w:color w:val="000000"/>
          <w:spacing w:val="0"/>
          <w:kern w:val="0"/>
          <w:sz w:val="32"/>
          <w:szCs w:val="32"/>
          <w:shd w:val="clear" w:fill="FFFFFF"/>
          <w:lang w:val="en-US" w:eastAsia="zh-CN" w:bidi="ar"/>
        </w:rPr>
        <w:t>我区城乡居民养老保险全覆盖目标任务数6506人。数据下发后，组织各乡镇办工作人员入户摸底，切实保障好全民参保工作成效，根据摸底情况，其中不属于城乡居保覆盖人数5733人，重复人员181人，无意愿参保人数237人，有意愿参保355人。现已全部完成参保，在10月底前全面完成全覆盖参保目标任务缴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2、继续做好被征地农民社会保障工作。</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截止2021年11月，已完成35个项目新增被征地农民社会保障对象1280人的参保缴费工作，其他后续项目根据市人社局的安排继续推进。2021年我区共完成被征地农民社保补贴资金申请14796笔，发放被征地农民社保补贴资金共计9198.511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3、落实保民生援企稳岗各项政策，为企业减负克服疫情困难恢复生产保驾护航。</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根据《关于阶段性减免企业社会保险费的通知》（湘人社规[2021]3号）《</w:t>
      </w:r>
      <w:r>
        <w:rPr>
          <w:rFonts w:hint="default" w:ascii="Arial" w:hAnsi="Arial" w:cs="Arial" w:eastAsiaTheme="minorEastAsia"/>
          <w:i w:val="0"/>
          <w:iCs w:val="0"/>
          <w:caps w:val="0"/>
          <w:color w:val="333333"/>
          <w:spacing w:val="0"/>
          <w:kern w:val="0"/>
          <w:sz w:val="21"/>
          <w:szCs w:val="21"/>
          <w:u w:val="none"/>
          <w:shd w:val="clear" w:fill="FFFFFF"/>
          <w:lang w:val="en-US" w:eastAsia="zh-CN" w:bidi="ar"/>
        </w:rPr>
        <w:fldChar w:fldCharType="begin"/>
      </w:r>
      <w:r>
        <w:rPr>
          <w:rFonts w:hint="default" w:ascii="Arial" w:hAnsi="Arial" w:cs="Arial" w:eastAsiaTheme="minorEastAsia"/>
          <w:i w:val="0"/>
          <w:iCs w:val="0"/>
          <w:caps w:val="0"/>
          <w:color w:val="333333"/>
          <w:spacing w:val="0"/>
          <w:kern w:val="0"/>
          <w:sz w:val="21"/>
          <w:szCs w:val="21"/>
          <w:u w:val="none"/>
          <w:shd w:val="clear" w:fill="FFFFFF"/>
          <w:lang w:val="en-US" w:eastAsia="zh-CN" w:bidi="ar"/>
        </w:rPr>
        <w:instrText xml:space="preserve"> HYPERLINK "http://www.shuangqing.gov.cn/shuangqing/qrsldj/202109/f54d03a2fccb499388801ee975e4b8c8/files/100513c54e1c4559b8f9301aa02ab28f.pdf" </w:instrText>
      </w:r>
      <w:r>
        <w:rPr>
          <w:rFonts w:hint="default" w:ascii="Arial" w:hAnsi="Arial" w:cs="Arial" w:eastAsiaTheme="minorEastAsia"/>
          <w:i w:val="0"/>
          <w:iCs w:val="0"/>
          <w:caps w:val="0"/>
          <w:color w:val="333333"/>
          <w:spacing w:val="0"/>
          <w:kern w:val="0"/>
          <w:sz w:val="21"/>
          <w:szCs w:val="21"/>
          <w:u w:val="none"/>
          <w:shd w:val="clear" w:fill="FFFFFF"/>
          <w:lang w:val="en-US" w:eastAsia="zh-CN" w:bidi="ar"/>
        </w:rPr>
        <w:fldChar w:fldCharType="separate"/>
      </w:r>
      <w:r>
        <w:rPr>
          <w:rStyle w:val="5"/>
          <w:rFonts w:hint="eastAsia" w:ascii="仿宋" w:hAnsi="仿宋" w:eastAsia="仿宋" w:cs="仿宋"/>
          <w:b w:val="0"/>
          <w:bCs w:val="0"/>
          <w:i w:val="0"/>
          <w:iCs w:val="0"/>
          <w:caps w:val="0"/>
          <w:color w:val="000000"/>
          <w:spacing w:val="0"/>
          <w:sz w:val="32"/>
          <w:szCs w:val="32"/>
          <w:u w:val="none"/>
          <w:shd w:val="clear" w:fill="FFFFFF"/>
        </w:rPr>
        <w:t>关于延长阶段性减免企业社会保险费政策实施期限等问题的通知</w:t>
      </w:r>
      <w:r>
        <w:rPr>
          <w:rFonts w:hint="default" w:ascii="Arial" w:hAnsi="Arial" w:cs="Arial" w:eastAsiaTheme="minorEastAsia"/>
          <w:i w:val="0"/>
          <w:iCs w:val="0"/>
          <w:caps w:val="0"/>
          <w:color w:val="333333"/>
          <w:spacing w:val="0"/>
          <w:kern w:val="0"/>
          <w:sz w:val="21"/>
          <w:szCs w:val="21"/>
          <w:u w:val="none"/>
          <w:shd w:val="clear" w:fill="FFFFFF"/>
          <w:lang w:val="en-US" w:eastAsia="zh-CN" w:bidi="ar"/>
        </w:rPr>
        <w:fldChar w:fldCharType="end"/>
      </w:r>
      <w:r>
        <w:rPr>
          <w:rFonts w:hint="eastAsia" w:ascii="仿宋" w:hAnsi="仿宋" w:eastAsia="仿宋" w:cs="仿宋"/>
          <w:b w:val="0"/>
          <w:bCs w:val="0"/>
          <w:i w:val="0"/>
          <w:iCs w:val="0"/>
          <w:caps w:val="0"/>
          <w:color w:val="000000"/>
          <w:spacing w:val="0"/>
          <w:kern w:val="0"/>
          <w:sz w:val="32"/>
          <w:szCs w:val="32"/>
          <w:shd w:val="clear" w:fill="FFFFFF"/>
          <w:lang w:val="en-US" w:eastAsia="zh-CN" w:bidi="ar"/>
        </w:rPr>
        <w:t>》（湘人社规[2021]31号）文件要求，</w:t>
      </w:r>
      <w:r>
        <w:rPr>
          <w:rFonts w:hint="eastAsia" w:ascii="仿宋" w:hAnsi="仿宋" w:eastAsia="仿宋" w:cs="仿宋"/>
          <w:i w:val="0"/>
          <w:iCs w:val="0"/>
          <w:caps w:val="0"/>
          <w:color w:val="000000"/>
          <w:spacing w:val="0"/>
          <w:kern w:val="0"/>
          <w:sz w:val="32"/>
          <w:szCs w:val="32"/>
          <w:shd w:val="clear" w:fill="FFFFFF"/>
          <w:lang w:val="en-US" w:eastAsia="zh-CN" w:bidi="ar"/>
        </w:rPr>
        <w:t>至2021年12月底，阶段性减免企业基本养老保险、失业保险、工伤保险免征全省中小微企业三项社会保险单位缴费部分，职工个人缴费部分不予减免。以单位身份参保的个体工商户参照执行，减半征收全省大型企业三项社会保险单位缴费部分，职工个人缴费部分不予减免。机关事业单位以外的其他单位参照执行。缓缴困难企业社会保险费，受疫情影响，申请缓缴前连续3 个月累计亏损的企业，可申请缓缴三项社会保险费，缓缴期限原则上不超过6个月，缓缴期间免收滞纳金。截止目前，我区一共333家中小微企业80家个体工商户及其他单位享受优惠政策，月预计减免中小微企业及个体工商户养老保险单位部分228.8万元，2021年2月至12月15日预计惠及44814人，共减免2179.6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000000"/>
          <w:spacing w:val="0"/>
          <w:kern w:val="0"/>
          <w:sz w:val="32"/>
          <w:szCs w:val="32"/>
          <w:shd w:val="clear" w:fill="FFFFFF"/>
          <w:lang w:val="en-US" w:eastAsia="zh-CN" w:bidi="ar"/>
        </w:rPr>
        <w:t>至2021年11月，失业保险共有企业142家企业减免失业保险费61.63万元；对17个符合失业保险稳岗返还条件的参保单位单位发放稳岗返还19.64万余元，受惠人数684人；每月按时给失业人员发放失业金和职工医疗保险金，截止2021年11月，发放失业金217.28万元，为失业人员缴纳职工医疗保险63.8万元；发放临时价格补贴8.57万元；按照中央、省、市关于落实阶段性实施失业补助金政策精神，从6月启动失业补助金发放工作，6-11月共发放失业补助金2.33万元，受惠人数55人。预计到12月底，受惠人数达180人，发放失业补助金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000000"/>
          <w:spacing w:val="0"/>
          <w:sz w:val="32"/>
          <w:szCs w:val="32"/>
          <w:shd w:val="clear" w:fill="FFFFFF"/>
        </w:rPr>
        <w:t>4、全力做好退捕渔民参保工作。</w:t>
      </w:r>
      <w:r>
        <w:rPr>
          <w:rFonts w:hint="eastAsia" w:ascii="仿宋" w:hAnsi="仿宋" w:eastAsia="仿宋" w:cs="仿宋"/>
          <w:b w:val="0"/>
          <w:bCs w:val="0"/>
          <w:i w:val="0"/>
          <w:iCs w:val="0"/>
          <w:caps w:val="0"/>
          <w:color w:val="000000"/>
          <w:spacing w:val="0"/>
          <w:sz w:val="32"/>
          <w:szCs w:val="32"/>
          <w:shd w:val="clear" w:fill="FFFFFF"/>
        </w:rPr>
        <w:t>我区目前无专业持证渔民，兼业持证渔民4户，兼业其他渔民4户，根据37号文件里相关补贴标准以及补贴方式，已落实参保工作的兼业持证退捕渔民4户共8人，其中企业职工养老保险参保人数4人，城乡居民养老保险参保人数4人，补贴标准按3.6万元/人。</w:t>
      </w:r>
      <w:r>
        <w:rPr>
          <w:rFonts w:hint="eastAsia" w:ascii="仿宋" w:hAnsi="仿宋" w:eastAsia="仿宋" w:cs="仿宋"/>
          <w:i w:val="0"/>
          <w:iCs w:val="0"/>
          <w:caps w:val="0"/>
          <w:color w:val="000000"/>
          <w:spacing w:val="0"/>
          <w:sz w:val="32"/>
          <w:szCs w:val="32"/>
          <w:shd w:val="clear" w:fill="FFFFFF"/>
        </w:rPr>
        <w:t>社保中心已将4位城乡居民养老保险参保者补贴一次性计入其城乡居民养老保险个人账户，共计支付14.4万元；企业参保的退捕渔民4位中，3位已补贴到位，共计7.44万元。另1位企业职工养老保险因所在企业（市属）没有为其交纳养老保险，按照先缴后补、逐年代发的原则，暂时不能进行补贴。后期社保中心将派专人跟进，尽快将补贴到位，让退捕渔民的惠民利民政策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000000"/>
          <w:spacing w:val="0"/>
          <w:sz w:val="32"/>
          <w:szCs w:val="32"/>
          <w:shd w:val="clear" w:fill="FFFFFF"/>
        </w:rPr>
        <w:t>5、全面落实社保扶贫政府代缴政策。</w:t>
      </w:r>
      <w:r>
        <w:rPr>
          <w:rFonts w:hint="eastAsia" w:ascii="仿宋" w:hAnsi="仿宋" w:eastAsia="仿宋" w:cs="仿宋"/>
          <w:i w:val="0"/>
          <w:iCs w:val="0"/>
          <w:caps w:val="0"/>
          <w:color w:val="000000"/>
          <w:spacing w:val="0"/>
          <w:sz w:val="32"/>
          <w:szCs w:val="32"/>
          <w:shd w:val="clear" w:fill="FFFFFF"/>
        </w:rPr>
        <w:t>我区（包含经开区）到目前为止16-59周岁符合政府代缴范围内的参保对象共计3639人，其中贫困人口80人、三无人员及五保户20人、低保对象1024人、残一级、二级共1432人、残三级、四级共1083人，城乡居民养老保险为其以上人员代缴养老保险费767100元。截止到11月13日，已全额代缴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bCs/>
          <w:i w:val="0"/>
          <w:iCs w:val="0"/>
          <w:caps w:val="0"/>
          <w:color w:val="000000"/>
          <w:spacing w:val="0"/>
          <w:kern w:val="0"/>
          <w:sz w:val="32"/>
          <w:szCs w:val="32"/>
          <w:shd w:val="clear" w:fill="FFFFFF"/>
          <w:lang w:val="en-US" w:eastAsia="zh-CN" w:bidi="ar"/>
        </w:rPr>
        <w:t>（四）切实维护劳动者合法权益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2021年1月至2021年12月，劳动监察接待投诉案件102件，立案前调解案件87件，立案7件均移送公安，投诉人申请延期处理2件，6件在办理中，帮助285名劳动者追回工资322.7万元。劳动争议仲裁受理案件48件，其中调解23件，裁决25件，涉及劳动者48人，涉及金额128.78万元。实现了政府工程零拖欠，杜绝了因劳动者工资纠纷集体上访、越级上访、集体讨薪群体性事件，为保障双清区农民工工资支付工作做出了不懈的努力，充分发挥职能作用，切实保障了农民工合法权益。与此同时开展工作从“治理”向“根治”升级，确保农民工权益。一是制度更完善，由领导小组统一领导，既有牵头单位（人社局）更有联合部门（33家责任单位），恪尽其责又分工合作。二是管理更严格，按照属地管理原则，所有辖区内用工密集工程项目（含政府投资工程），须向相关部门缴纳农民工工资保证金才能审批开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五、评价结论及建议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000000"/>
          <w:spacing w:val="0"/>
          <w:kern w:val="0"/>
          <w:sz w:val="32"/>
          <w:szCs w:val="32"/>
          <w:shd w:val="clear" w:fill="FFFFFF"/>
          <w:lang w:val="en-US" w:eastAsia="zh-CN" w:bidi="ar"/>
        </w:rPr>
        <w:t>（一）评价结论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本次对双清区人力资源和社会保障局</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20</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1</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年整体支出绩效自评结果：</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000000"/>
          <w:spacing w:val="0"/>
          <w:kern w:val="0"/>
          <w:sz w:val="32"/>
          <w:szCs w:val="32"/>
          <w:shd w:val="clear" w:fill="FFFFFF"/>
          <w:lang w:val="en-US" w:eastAsia="zh-CN" w:bidi="ar"/>
        </w:rPr>
        <w:t>（二）存在问题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、因我局工作点多、面广、线长，涉及的专项工作多，我局多次向财政汇报，要求将专项工作经费纳入财政预算，但财政仍未将专项工作经费纳入预算，导致追拨资金较多。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2.</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资金使用效益有待进一步提高。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000000"/>
          <w:spacing w:val="0"/>
          <w:kern w:val="0"/>
          <w:sz w:val="32"/>
          <w:szCs w:val="32"/>
          <w:shd w:val="clear" w:fill="FFFFFF"/>
          <w:lang w:val="en-US" w:eastAsia="zh-CN" w:bidi="ar"/>
        </w:rPr>
        <w:t>（三）改进建议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1</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、更进一步提高预算编制水平，加强部门预算编制的准确度，增强预算的适当灵活性。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2</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、认真提高业务水平，更加严格执行预算，保障各项工作任务圆满完成。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Arial" w:hAnsi="Arial" w:cs="Arial"/>
          <w:i w:val="0"/>
          <w:iCs w:val="0"/>
          <w:caps w:val="0"/>
          <w:color w:val="333333"/>
          <w:spacing w:val="0"/>
          <w:sz w:val="21"/>
          <w:szCs w:val="21"/>
        </w:rPr>
      </w:pPr>
      <w:r>
        <w:rPr>
          <w:rFonts w:ascii="Calibri" w:hAnsi="Calibri" w:cs="Calibri"/>
          <w:i w:val="0"/>
          <w:iCs w:val="0"/>
          <w:caps w:val="0"/>
          <w:color w:val="333333"/>
          <w:spacing w:val="0"/>
          <w:sz w:val="18"/>
          <w:szCs w:val="18"/>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default" w:ascii="Arial" w:hAnsi="Arial" w:cs="Arial"/>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2700"/>
        <w:jc w:val="right"/>
        <w:rPr>
          <w:rFonts w:hint="default" w:ascii="Arial" w:hAnsi="Arial" w:cs="Arial"/>
          <w:i w:val="0"/>
          <w:iCs w:val="0"/>
          <w:caps w:val="0"/>
          <w:color w:val="333333"/>
          <w:spacing w:val="0"/>
          <w:sz w:val="21"/>
          <w:szCs w:val="21"/>
        </w:rPr>
      </w:pP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邵阳市双清区人力资源和社会保障局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right"/>
        <w:rPr>
          <w:rFonts w:hint="default" w:ascii="Arial" w:hAnsi="Arial" w:cs="Arial"/>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                               202</w:t>
      </w:r>
      <w:r>
        <w:rPr>
          <w:rFonts w:hint="eastAsia" w:ascii="Times New Roman" w:hAnsi="Times New Roman" w:cs="Times New Roman"/>
          <w:i w:val="0"/>
          <w:iCs w:val="0"/>
          <w:caps w:val="0"/>
          <w:color w:val="000000"/>
          <w:spacing w:val="0"/>
          <w:kern w:val="0"/>
          <w:sz w:val="32"/>
          <w:szCs w:val="32"/>
          <w:shd w:val="clear" w:fill="FFFFFF"/>
          <w:lang w:val="en-US" w:eastAsia="zh-CN" w:bidi="ar"/>
        </w:rPr>
        <w:t>2</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年</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9</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月</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27</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40" w:right="0" w:firstLine="0"/>
        <w:jc w:val="both"/>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NDQzOTE3Y2UwOWU3YTIwNjAwY2EzMmU3NDAxMDAifQ=="/>
  </w:docVars>
  <w:rsids>
    <w:rsidRoot w:val="00000000"/>
    <w:rsid w:val="40A54FF3"/>
    <w:rsid w:val="7B85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6353</Words>
  <Characters>6976</Characters>
  <Lines>0</Lines>
  <Paragraphs>0</Paragraphs>
  <TotalTime>55</TotalTime>
  <ScaleCrop>false</ScaleCrop>
  <LinksUpToDate>false</LinksUpToDate>
  <CharactersWithSpaces>6986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2022-06-28T07:22:00Z</dcterms:created>
  <dc:creator>Administrator</dc:creator>
  <cp:lastModifiedBy>自然而然</cp:lastModifiedBy>
  <dcterms:modified xsi:type="dcterms:W3CDTF">2022-09-27T08:38:48Z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32264D20CA6E429A90ADBBA00D7E4C2C</vt:lpwstr>
  </property>
</Properties>
</file>