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center"/>
        <w:rPr>
          <w:rFonts w:ascii="Arial" w:hAnsi="Arial" w:cs="Arial"/>
          <w:i w:val="0"/>
          <w:iCs w:val="0"/>
          <w:caps w:val="0"/>
          <w:color w:val="333333"/>
          <w:spacing w:val="0"/>
          <w:sz w:val="21"/>
          <w:szCs w:val="21"/>
        </w:rPr>
      </w:pPr>
      <w:r>
        <w:rPr>
          <w:rFonts w:ascii="黑体" w:hAnsi="宋体" w:eastAsia="黑体" w:cs="黑体"/>
          <w:i w:val="0"/>
          <w:iCs w:val="0"/>
          <w:caps w:val="0"/>
          <w:color w:val="000000"/>
          <w:spacing w:val="0"/>
          <w:sz w:val="72"/>
          <w:szCs w:val="72"/>
          <w:shd w:val="clear" w:fill="FFFFFF"/>
        </w:rPr>
        <w:t>第五部分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center"/>
        <w:rPr>
          <w:rFonts w:hint="default" w:ascii="Arial" w:hAnsi="Arial" w:cs="Arial"/>
          <w:i w:val="0"/>
          <w:iCs w:val="0"/>
          <w:caps w:val="0"/>
          <w:color w:val="333333"/>
          <w:spacing w:val="0"/>
          <w:sz w:val="21"/>
          <w:szCs w:val="21"/>
        </w:rPr>
      </w:pPr>
      <w:r>
        <w:rPr>
          <w:rFonts w:hint="eastAsia" w:ascii="黑体" w:hAnsi="宋体" w:eastAsia="黑体" w:cs="黑体"/>
          <w:i w:val="0"/>
          <w:iCs w:val="0"/>
          <w:caps w:val="0"/>
          <w:color w:val="000000"/>
          <w:spacing w:val="0"/>
          <w:kern w:val="0"/>
          <w:sz w:val="70"/>
          <w:szCs w:val="7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center"/>
        <w:rPr>
          <w:rFonts w:hint="default" w:ascii="Arial" w:hAnsi="Arial" w:cs="Arial"/>
          <w:i w:val="0"/>
          <w:iCs w:val="0"/>
          <w:caps w:val="0"/>
          <w:color w:val="333333"/>
          <w:spacing w:val="0"/>
          <w:sz w:val="21"/>
          <w:szCs w:val="21"/>
        </w:rPr>
      </w:pPr>
      <w:r>
        <w:rPr>
          <w:rFonts w:hint="eastAsia" w:ascii="黑体" w:hAnsi="宋体" w:eastAsia="黑体" w:cs="黑体"/>
          <w:i w:val="0"/>
          <w:iCs w:val="0"/>
          <w:caps w:val="0"/>
          <w:color w:val="000000"/>
          <w:spacing w:val="0"/>
          <w:kern w:val="0"/>
          <w:sz w:val="70"/>
          <w:szCs w:val="70"/>
          <w:shd w:val="clear" w:fill="FFFFFF"/>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left"/>
        <w:rPr>
          <w:rFonts w:hint="default" w:ascii="Arial" w:hAnsi="Arial" w:cs="Arial"/>
          <w:i w:val="0"/>
          <w:iCs w:val="0"/>
          <w:caps w:val="0"/>
          <w:color w:val="333333"/>
          <w:spacing w:val="0"/>
          <w:sz w:val="21"/>
          <w:szCs w:val="21"/>
        </w:rPr>
      </w:pPr>
      <w:r>
        <w:rPr>
          <w:rFonts w:ascii="Calibri" w:hAnsi="Calibri" w:cs="Calibri" w:eastAsiaTheme="minorEastAsia"/>
          <w:i w:val="0"/>
          <w:iCs w:val="0"/>
          <w:caps w:val="0"/>
          <w:color w:val="333333"/>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center"/>
        <w:rPr>
          <w:rFonts w:hint="default" w:ascii="Arial" w:hAnsi="Arial" w:cs="Arial"/>
          <w:i w:val="0"/>
          <w:iCs w:val="0"/>
          <w:caps w:val="0"/>
          <w:color w:val="333333"/>
          <w:spacing w:val="0"/>
          <w:sz w:val="21"/>
          <w:szCs w:val="21"/>
        </w:rPr>
      </w:pPr>
      <w:r>
        <w:rPr>
          <w:rFonts w:hint="eastAsia" w:ascii="黑体" w:hAnsi="宋体" w:eastAsia="黑体" w:cs="黑体"/>
          <w:i w:val="0"/>
          <w:iCs w:val="0"/>
          <w:caps w:val="0"/>
          <w:color w:val="000000"/>
          <w:spacing w:val="0"/>
          <w:kern w:val="0"/>
          <w:sz w:val="70"/>
          <w:szCs w:val="7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640"/>
        <w:jc w:val="center"/>
        <w:rPr>
          <w:rFonts w:hint="default" w:ascii="Arial" w:hAnsi="Arial" w:cs="Arial"/>
          <w:i w:val="0"/>
          <w:iCs w:val="0"/>
          <w:caps w:val="0"/>
          <w:color w:val="333333"/>
          <w:spacing w:val="0"/>
          <w:sz w:val="21"/>
          <w:szCs w:val="21"/>
        </w:rPr>
      </w:pPr>
      <w:r>
        <w:rPr>
          <w:rFonts w:hint="eastAsia" w:ascii="宋体" w:hAnsi="宋体" w:eastAsia="宋体" w:cs="宋体"/>
          <w:b/>
          <w:bCs/>
          <w:i w:val="0"/>
          <w:iCs w:val="0"/>
          <w:caps w:val="0"/>
          <w:color w:val="000000"/>
          <w:spacing w:val="0"/>
          <w:kern w:val="0"/>
          <w:sz w:val="32"/>
          <w:szCs w:val="32"/>
          <w:shd w:val="clear" w:fill="FFFFFF"/>
          <w:lang w:val="en-US" w:eastAsia="zh-CN" w:bidi="ar"/>
        </w:rPr>
        <w:t>2022年度部门整体支出绩效评价报告</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一、部门概况</w:t>
      </w:r>
    </w:p>
    <w:p>
      <w:pPr>
        <w:spacing w:line="550" w:lineRule="exact"/>
        <w:ind w:firstLine="640" w:firstLineChars="200"/>
        <w:rPr>
          <w:rFonts w:hint="eastAsia" w:ascii="宋体" w:hAnsi="宋体" w:eastAsia="宋体" w:cs="宋体"/>
          <w:sz w:val="28"/>
          <w:szCs w:val="28"/>
          <w:lang w:eastAsia="zh-CN"/>
        </w:rPr>
      </w:pPr>
      <w:r>
        <w:rPr>
          <w:rFonts w:hint="eastAsia" w:ascii="楷体" w:hAnsi="楷体" w:eastAsia="楷体" w:cs="楷体"/>
          <w:kern w:val="0"/>
          <w:sz w:val="32"/>
          <w:szCs w:val="32"/>
        </w:rPr>
        <w:t>（一）部门基本情况</w:t>
      </w:r>
      <w:r>
        <w:rPr>
          <w:rFonts w:hint="eastAsia" w:ascii="仿宋" w:hAnsi="仿宋" w:eastAsia="仿宋" w:cs="仿宋"/>
          <w:kern w:val="0"/>
          <w:sz w:val="32"/>
          <w:szCs w:val="32"/>
        </w:rPr>
        <w:t>（包括部门的在职人员情况、机构设置、主要职能及重点工作计划等）。202</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年度</w:t>
      </w:r>
      <w:r>
        <w:rPr>
          <w:rFonts w:hint="eastAsia" w:ascii="仿宋" w:hAnsi="仿宋" w:eastAsia="仿宋" w:cs="仿宋"/>
          <w:kern w:val="0"/>
          <w:sz w:val="32"/>
          <w:szCs w:val="32"/>
          <w:shd w:val="clear" w:color="auto" w:fill="FFFFFF"/>
          <w:lang w:val="en-US" w:eastAsia="zh-CN"/>
        </w:rPr>
        <w:t>双清区社会养老保险服务中心</w:t>
      </w:r>
      <w:r>
        <w:rPr>
          <w:rFonts w:hint="eastAsia" w:ascii="仿宋" w:hAnsi="仿宋" w:eastAsia="仿宋" w:cs="仿宋"/>
          <w:kern w:val="0"/>
          <w:sz w:val="32"/>
          <w:szCs w:val="32"/>
          <w:shd w:val="clear" w:color="auto" w:fill="FFFFFF"/>
        </w:rPr>
        <w:t>内设</w:t>
      </w:r>
      <w:r>
        <w:rPr>
          <w:rFonts w:hint="eastAsia" w:ascii="仿宋" w:hAnsi="仿宋" w:eastAsia="仿宋" w:cs="仿宋"/>
          <w:kern w:val="0"/>
          <w:sz w:val="32"/>
          <w:szCs w:val="32"/>
          <w:shd w:val="clear" w:color="auto" w:fill="FFFFFF"/>
          <w:lang w:val="en-US" w:eastAsia="zh-CN"/>
        </w:rPr>
        <w:t>6个部门</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主要职能是：</w:t>
      </w:r>
      <w:r>
        <w:rPr>
          <w:rFonts w:ascii="宋体" w:hAnsi="宋体" w:eastAsia="宋体" w:cs="Times New Roman"/>
          <w:sz w:val="28"/>
          <w:szCs w:val="28"/>
        </w:rPr>
        <w:t>在上级业务部门的精心指导下，按照“规范管理、优化服务、完善制度、健全体系”的工作思路，积极开展宣传动员，切实加强业务理论学习，扎实抓好业务工作，按要求全面完成参保率、缴费率、发放率三项核心指标。</w:t>
      </w:r>
      <w:r>
        <w:rPr>
          <w:rFonts w:hint="eastAsia" w:ascii="宋体" w:hAnsi="宋体" w:eastAsia="宋体" w:cs="Times New Roman"/>
          <w:sz w:val="28"/>
          <w:szCs w:val="28"/>
        </w:rPr>
        <w:t>全面落实人社扶贫援企稳岗各项政策，扎实做好各项社会养老保险工作</w:t>
      </w:r>
      <w:r>
        <w:rPr>
          <w:rFonts w:hint="eastAsia" w:ascii="宋体" w:hAnsi="宋体" w:eastAsia="宋体" w:cs="Times New Roman"/>
          <w:sz w:val="28"/>
          <w:szCs w:val="28"/>
          <w:lang w:eastAsia="zh-CN"/>
        </w:rPr>
        <w:t>。</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firstLine="640" w:firstLineChars="200"/>
        <w:jc w:val="both"/>
        <w:textAlignment w:val="auto"/>
        <w:rPr>
          <w:rFonts w:hint="eastAsia" w:ascii="楷体" w:hAnsi="楷体" w:eastAsia="楷体" w:cs="楷体"/>
          <w:kern w:val="0"/>
          <w:sz w:val="32"/>
          <w:szCs w:val="32"/>
        </w:rPr>
      </w:pPr>
      <w:r>
        <w:rPr>
          <w:rFonts w:hint="eastAsia" w:ascii="楷体" w:hAnsi="楷体" w:eastAsia="楷体" w:cs="楷体"/>
          <w:kern w:val="0"/>
          <w:sz w:val="32"/>
          <w:szCs w:val="32"/>
        </w:rPr>
        <w:t>（二）部门整体支出规模、使用方向和主要内容、涉及范围等。</w:t>
      </w:r>
    </w:p>
    <w:p>
      <w:pPr>
        <w:keepNext w:val="0"/>
        <w:keepLines w:val="0"/>
        <w:pageBreakBefore w:val="0"/>
        <w:widowControl/>
        <w:suppressLineNumbers w:val="0"/>
        <w:kinsoku/>
        <w:wordWrap/>
        <w:overflowPunct/>
        <w:autoSpaceDE/>
        <w:autoSpaceDN/>
        <w:bidi w:val="0"/>
        <w:spacing w:after="0" w:afterAutospacing="0" w:line="560" w:lineRule="exact"/>
        <w:ind w:lef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年度部门整体支出分为基本支出和项目支出，基本支出用于保障单位正常运转的日常支出，项目支出用于</w:t>
      </w:r>
      <w:r>
        <w:rPr>
          <w:rFonts w:hint="eastAsia" w:ascii="仿宋" w:hAnsi="仿宋" w:eastAsia="仿宋" w:cs="仿宋"/>
          <w:kern w:val="0"/>
          <w:sz w:val="32"/>
          <w:szCs w:val="32"/>
          <w:lang w:val="en-US" w:eastAsia="zh-CN"/>
        </w:rPr>
        <w:t>退休人员生存状态资格认证</w:t>
      </w:r>
      <w:r>
        <w:rPr>
          <w:rFonts w:hint="eastAsia" w:ascii="仿宋" w:hAnsi="仿宋" w:eastAsia="仿宋" w:cs="仿宋"/>
          <w:kern w:val="0"/>
          <w:sz w:val="32"/>
          <w:szCs w:val="32"/>
          <w:lang w:eastAsia="zh-CN"/>
        </w:rPr>
        <w:t>支出</w:t>
      </w:r>
      <w:r>
        <w:rPr>
          <w:rFonts w:hint="eastAsia" w:ascii="仿宋" w:hAnsi="仿宋" w:eastAsia="仿宋" w:cs="仿宋"/>
          <w:kern w:val="0"/>
          <w:sz w:val="32"/>
          <w:szCs w:val="32"/>
        </w:rPr>
        <w:t>。</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二、部门整体支出管理及使用情况</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3" w:firstLineChars="200"/>
        <w:jc w:val="both"/>
        <w:textAlignment w:val="auto"/>
        <w:rPr>
          <w:rFonts w:hint="eastAsia" w:ascii="楷体" w:hAnsi="楷体" w:eastAsia="楷体" w:cs="楷体"/>
          <w:b/>
          <w:bCs w:val="0"/>
          <w:kern w:val="0"/>
          <w:sz w:val="32"/>
          <w:szCs w:val="32"/>
        </w:rPr>
      </w:pPr>
      <w:r>
        <w:rPr>
          <w:rFonts w:hint="eastAsia" w:ascii="楷体" w:hAnsi="楷体" w:eastAsia="楷体" w:cs="楷体"/>
          <w:b/>
          <w:bCs w:val="0"/>
          <w:kern w:val="0"/>
          <w:sz w:val="32"/>
          <w:szCs w:val="32"/>
        </w:rPr>
        <w:t>（一）预算执行情况</w:t>
      </w:r>
    </w:p>
    <w:p>
      <w:pPr>
        <w:keepNext w:val="0"/>
        <w:keepLines w:val="0"/>
        <w:pageBreakBefore w:val="0"/>
        <w:widowControl/>
        <w:suppressLineNumbers w:val="0"/>
        <w:kinsoku/>
        <w:wordWrap/>
        <w:overflowPunct/>
        <w:autoSpaceDE/>
        <w:autoSpaceDN/>
        <w:bidi w:val="0"/>
        <w:spacing w:after="0" w:afterAutospacing="0" w:line="560" w:lineRule="exact"/>
        <w:ind w:lef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年度预算收入</w:t>
      </w:r>
      <w:r>
        <w:rPr>
          <w:rFonts w:hint="eastAsia" w:ascii="仿宋" w:hAnsi="仿宋" w:eastAsia="仿宋" w:cs="仿宋"/>
          <w:kern w:val="0"/>
          <w:sz w:val="32"/>
          <w:szCs w:val="32"/>
          <w:lang w:val="en-US" w:eastAsia="zh-CN"/>
        </w:rPr>
        <w:t>271.33</w:t>
      </w:r>
      <w:r>
        <w:rPr>
          <w:rFonts w:hint="eastAsia" w:ascii="仿宋" w:hAnsi="仿宋" w:eastAsia="仿宋" w:cs="仿宋"/>
          <w:kern w:val="0"/>
          <w:sz w:val="32"/>
          <w:szCs w:val="32"/>
        </w:rPr>
        <w:t>万元，预算支出</w:t>
      </w:r>
      <w:r>
        <w:rPr>
          <w:rFonts w:hint="eastAsia" w:ascii="仿宋" w:hAnsi="仿宋" w:eastAsia="仿宋" w:cs="仿宋"/>
          <w:kern w:val="0"/>
          <w:sz w:val="32"/>
          <w:szCs w:val="32"/>
          <w:lang w:val="en-US" w:eastAsia="zh-CN"/>
        </w:rPr>
        <w:t>271.33</w:t>
      </w:r>
      <w:r>
        <w:rPr>
          <w:rFonts w:hint="eastAsia" w:ascii="仿宋" w:hAnsi="仿宋" w:eastAsia="仿宋" w:cs="仿宋"/>
          <w:kern w:val="0"/>
          <w:sz w:val="32"/>
          <w:szCs w:val="32"/>
        </w:rPr>
        <w:t>万元。预</w:t>
      </w:r>
      <w:r>
        <w:rPr>
          <w:rFonts w:hint="eastAsia" w:ascii="仿宋" w:hAnsi="仿宋" w:eastAsia="仿宋" w:cs="仿宋"/>
          <w:kern w:val="0"/>
          <w:sz w:val="32"/>
          <w:szCs w:val="32"/>
          <w:lang w:eastAsia="zh-CN"/>
        </w:rPr>
        <w:t>决</w:t>
      </w:r>
      <w:r>
        <w:rPr>
          <w:rFonts w:hint="eastAsia" w:ascii="仿宋" w:hAnsi="仿宋" w:eastAsia="仿宋" w:cs="仿宋"/>
          <w:kern w:val="0"/>
          <w:sz w:val="32"/>
          <w:szCs w:val="32"/>
        </w:rPr>
        <w:t>算信息都在邵阳市人民政府门户网站公开，接受社会公众监督。</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3" w:firstLineChars="200"/>
        <w:jc w:val="both"/>
        <w:textAlignment w:val="auto"/>
        <w:rPr>
          <w:rFonts w:hint="eastAsia" w:ascii="楷体" w:hAnsi="楷体" w:eastAsia="楷体" w:cs="楷体"/>
          <w:b/>
          <w:bCs w:val="0"/>
          <w:kern w:val="0"/>
          <w:sz w:val="32"/>
          <w:szCs w:val="32"/>
        </w:rPr>
      </w:pPr>
      <w:r>
        <w:rPr>
          <w:rFonts w:hint="eastAsia" w:ascii="楷体" w:hAnsi="楷体" w:eastAsia="楷体" w:cs="楷体"/>
          <w:b/>
          <w:bCs w:val="0"/>
          <w:kern w:val="0"/>
          <w:sz w:val="32"/>
          <w:szCs w:val="32"/>
        </w:rPr>
        <w:t>（二）基本支出</w:t>
      </w:r>
    </w:p>
    <w:p>
      <w:pPr>
        <w:keepNext w:val="0"/>
        <w:keepLines w:val="0"/>
        <w:pageBreakBefore w:val="0"/>
        <w:widowControl/>
        <w:suppressLineNumbers w:val="0"/>
        <w:kinsoku/>
        <w:wordWrap/>
        <w:overflowPunct/>
        <w:autoSpaceDE/>
        <w:autoSpaceDN/>
        <w:bidi w:val="0"/>
        <w:spacing w:after="0" w:afterAutospacing="0" w:line="560" w:lineRule="exact"/>
        <w:ind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年基本支出</w:t>
      </w:r>
      <w:r>
        <w:rPr>
          <w:rFonts w:hint="eastAsia" w:ascii="仿宋" w:hAnsi="仿宋" w:eastAsia="仿宋" w:cs="仿宋"/>
          <w:kern w:val="0"/>
          <w:sz w:val="32"/>
          <w:szCs w:val="32"/>
          <w:lang w:val="en-US" w:eastAsia="zh-CN"/>
        </w:rPr>
        <w:t>261.49</w:t>
      </w:r>
      <w:r>
        <w:rPr>
          <w:rFonts w:hint="eastAsia" w:ascii="仿宋" w:hAnsi="仿宋" w:eastAsia="仿宋" w:cs="仿宋"/>
          <w:kern w:val="0"/>
          <w:sz w:val="32"/>
          <w:szCs w:val="32"/>
        </w:rPr>
        <w:t>万元，其中：工资福利支出</w:t>
      </w:r>
      <w:r>
        <w:rPr>
          <w:rFonts w:hint="eastAsia" w:ascii="仿宋" w:hAnsi="仿宋" w:eastAsia="仿宋" w:cs="仿宋"/>
          <w:kern w:val="0"/>
          <w:sz w:val="32"/>
          <w:szCs w:val="32"/>
          <w:lang w:val="en-US" w:eastAsia="zh-CN"/>
        </w:rPr>
        <w:t>223.3</w:t>
      </w:r>
      <w:r>
        <w:rPr>
          <w:rFonts w:hint="eastAsia" w:ascii="仿宋" w:hAnsi="仿宋" w:eastAsia="仿宋" w:cs="仿宋"/>
          <w:kern w:val="0"/>
          <w:sz w:val="32"/>
          <w:szCs w:val="32"/>
        </w:rPr>
        <w:t>万元，商品和服务支出</w:t>
      </w:r>
      <w:r>
        <w:rPr>
          <w:rFonts w:hint="eastAsia" w:ascii="仿宋" w:hAnsi="仿宋" w:eastAsia="仿宋" w:cs="仿宋"/>
          <w:kern w:val="0"/>
          <w:sz w:val="32"/>
          <w:szCs w:val="32"/>
          <w:lang w:val="en-US" w:eastAsia="zh-CN"/>
        </w:rPr>
        <w:t>34.99</w:t>
      </w:r>
      <w:r>
        <w:rPr>
          <w:rFonts w:hint="eastAsia" w:ascii="仿宋" w:hAnsi="仿宋" w:eastAsia="仿宋" w:cs="仿宋"/>
          <w:kern w:val="0"/>
          <w:sz w:val="32"/>
          <w:szCs w:val="32"/>
        </w:rPr>
        <w:t>万元，对个人和家庭补助支出</w:t>
      </w:r>
      <w:r>
        <w:rPr>
          <w:rFonts w:hint="eastAsia" w:ascii="仿宋" w:hAnsi="仿宋" w:eastAsia="仿宋" w:cs="仿宋"/>
          <w:kern w:val="0"/>
          <w:sz w:val="32"/>
          <w:szCs w:val="32"/>
          <w:lang w:val="en-US" w:eastAsia="zh-CN"/>
        </w:rPr>
        <w:t>3.21</w:t>
      </w:r>
      <w:r>
        <w:rPr>
          <w:rFonts w:hint="eastAsia" w:ascii="仿宋" w:hAnsi="仿宋" w:eastAsia="仿宋" w:cs="仿宋"/>
          <w:kern w:val="0"/>
          <w:sz w:val="32"/>
          <w:szCs w:val="32"/>
        </w:rPr>
        <w:t>万元。响应国家相关政策，厉行节约，严格控制“三公”经费支出，202</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年“三公”经费共支出</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万元，其中：公务用车运行费</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万元，公务接待费</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元</w:t>
      </w:r>
      <w:r>
        <w:rPr>
          <w:rFonts w:hint="eastAsia" w:ascii="仿宋" w:hAnsi="仿宋" w:eastAsia="仿宋" w:cs="仿宋"/>
          <w:kern w:val="0"/>
          <w:sz w:val="32"/>
          <w:szCs w:val="32"/>
          <w:lang w:eastAsia="zh-CN"/>
        </w:rPr>
        <w:t>。</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3" w:firstLineChars="200"/>
        <w:jc w:val="both"/>
        <w:textAlignment w:val="auto"/>
        <w:rPr>
          <w:rFonts w:hint="eastAsia" w:ascii="楷体" w:hAnsi="楷体" w:eastAsia="楷体" w:cs="楷体"/>
          <w:b/>
          <w:bCs w:val="0"/>
          <w:kern w:val="0"/>
          <w:sz w:val="32"/>
          <w:szCs w:val="32"/>
        </w:rPr>
      </w:pPr>
      <w:r>
        <w:rPr>
          <w:rFonts w:hint="eastAsia" w:ascii="楷体" w:hAnsi="楷体" w:eastAsia="楷体" w:cs="楷体"/>
          <w:b/>
          <w:bCs w:val="0"/>
          <w:kern w:val="0"/>
          <w:sz w:val="32"/>
          <w:szCs w:val="32"/>
        </w:rPr>
        <w:t>（三）专项支出</w:t>
      </w:r>
    </w:p>
    <w:p>
      <w:pPr>
        <w:keepNext w:val="0"/>
        <w:keepLines w:val="0"/>
        <w:pageBreakBefore w:val="0"/>
        <w:widowControl/>
        <w:suppressLineNumbers w:val="0"/>
        <w:kinsoku/>
        <w:wordWrap/>
        <w:overflowPunct/>
        <w:autoSpaceDE/>
        <w:autoSpaceDN/>
        <w:bidi w:val="0"/>
        <w:spacing w:after="0" w:afterAutospacing="0" w:line="560" w:lineRule="exact"/>
        <w:ind w:lef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年度用于</w:t>
      </w:r>
      <w:r>
        <w:rPr>
          <w:rFonts w:hint="eastAsia" w:ascii="仿宋" w:hAnsi="仿宋" w:eastAsia="仿宋" w:cs="仿宋"/>
          <w:kern w:val="0"/>
          <w:sz w:val="32"/>
          <w:szCs w:val="32"/>
          <w:lang w:val="en-US" w:eastAsia="zh-CN"/>
        </w:rPr>
        <w:t>退休人员生存状态资格认证</w:t>
      </w:r>
      <w:r>
        <w:rPr>
          <w:rFonts w:hint="eastAsia" w:ascii="仿宋" w:hAnsi="仿宋" w:eastAsia="仿宋" w:cs="仿宋"/>
          <w:kern w:val="0"/>
          <w:sz w:val="32"/>
          <w:szCs w:val="32"/>
          <w:lang w:eastAsia="zh-CN"/>
        </w:rPr>
        <w:t>支出</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万元，结余</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三、资产管理情况</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年固定资产年初数</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万元，期末数</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 xml:space="preserve"> 万元。</w:t>
      </w:r>
    </w:p>
    <w:p>
      <w:pPr>
        <w:keepNext w:val="0"/>
        <w:keepLines w:val="0"/>
        <w:pageBreakBefore w:val="0"/>
        <w:widowControl/>
        <w:numPr>
          <w:ilvl w:val="0"/>
          <w:numId w:val="1"/>
        </w:numPr>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绩效评价工作</w:t>
      </w:r>
      <w:r>
        <w:rPr>
          <w:rFonts w:hint="eastAsia" w:ascii="黑体" w:hAnsi="黑体" w:eastAsia="黑体" w:cs="黑体"/>
          <w:kern w:val="0"/>
          <w:sz w:val="32"/>
          <w:szCs w:val="32"/>
          <w:lang w:eastAsia="zh-CN"/>
        </w:rPr>
        <w:t>开展</w:t>
      </w:r>
      <w:r>
        <w:rPr>
          <w:rFonts w:hint="eastAsia" w:ascii="黑体" w:hAnsi="黑体" w:eastAsia="黑体" w:cs="黑体"/>
          <w:kern w:val="0"/>
          <w:sz w:val="32"/>
          <w:szCs w:val="32"/>
        </w:rPr>
        <w:t>情况</w:t>
      </w:r>
    </w:p>
    <w:p>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leftChars="200" w:right="0" w:rightChars="0"/>
        <w:jc w:val="both"/>
        <w:textAlignment w:val="auto"/>
        <w:rPr>
          <w:rFonts w:hint="eastAsia" w:ascii="楷体" w:hAnsi="楷体" w:eastAsia="楷体" w:cs="楷体"/>
          <w:b/>
          <w:bCs/>
          <w:kern w:val="0"/>
          <w:sz w:val="32"/>
          <w:szCs w:val="32"/>
          <w:lang w:val="en-US" w:eastAsia="zh-CN"/>
        </w:rPr>
      </w:pPr>
      <w:bookmarkStart w:id="0" w:name="_Toc21446"/>
      <w:bookmarkStart w:id="1" w:name="_Toc32578"/>
      <w:bookmarkStart w:id="2" w:name="_Toc22407"/>
      <w:r>
        <w:rPr>
          <w:rFonts w:hint="eastAsia" w:ascii="楷体" w:hAnsi="楷体" w:eastAsia="楷体" w:cs="楷体"/>
          <w:b/>
          <w:bCs/>
          <w:kern w:val="0"/>
          <w:sz w:val="32"/>
          <w:szCs w:val="32"/>
          <w:lang w:val="en-US" w:eastAsia="zh-CN"/>
        </w:rPr>
        <w:t>（一）绩效评价目的</w:t>
      </w:r>
      <w:bookmarkEnd w:id="0"/>
      <w:bookmarkEnd w:id="1"/>
      <w:bookmarkEnd w:id="2"/>
    </w:p>
    <w:p>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通过对部门整体支出绩效评价，了解部门资金使用情况及取得的成果，及时发现资金管理和部门支出过程中存在的问题，提出相关建议和采取相应的措施，从而为加强预算绩效管理、提高专项资金的使用效益、强化预算约束提供重要的参考依据。</w:t>
      </w:r>
    </w:p>
    <w:p>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leftChars="200" w:right="0" w:rightChars="0"/>
        <w:jc w:val="both"/>
        <w:textAlignment w:val="auto"/>
        <w:rPr>
          <w:rFonts w:hint="eastAsia" w:ascii="楷体" w:hAnsi="楷体" w:eastAsia="楷体" w:cs="楷体"/>
          <w:b/>
          <w:bCs/>
          <w:kern w:val="0"/>
          <w:sz w:val="32"/>
          <w:szCs w:val="32"/>
          <w:lang w:val="en-US" w:eastAsia="zh-CN"/>
        </w:rPr>
      </w:pPr>
      <w:bookmarkStart w:id="3" w:name="_Toc11842"/>
      <w:bookmarkStart w:id="4" w:name="_Toc29745"/>
      <w:bookmarkStart w:id="5" w:name="_Toc6376"/>
      <w:bookmarkStart w:id="6" w:name="_Toc22978"/>
      <w:bookmarkStart w:id="7" w:name="_Toc27511"/>
      <w:bookmarkStart w:id="8" w:name="_Toc6076"/>
      <w:bookmarkStart w:id="9" w:name="_Toc12780"/>
      <w:bookmarkStart w:id="10" w:name="_Toc22165"/>
      <w:bookmarkStart w:id="11" w:name="_Toc22531"/>
      <w:bookmarkStart w:id="12" w:name="_Toc23600"/>
      <w:bookmarkStart w:id="13" w:name="_Toc5938"/>
      <w:bookmarkStart w:id="14" w:name="_Toc22734"/>
      <w:bookmarkStart w:id="15" w:name="_Toc2315"/>
      <w:r>
        <w:rPr>
          <w:rFonts w:hint="eastAsia" w:ascii="楷体" w:hAnsi="楷体" w:eastAsia="楷体" w:cs="楷体"/>
          <w:b/>
          <w:bCs/>
          <w:kern w:val="0"/>
          <w:sz w:val="32"/>
          <w:szCs w:val="32"/>
          <w:lang w:val="en-US" w:eastAsia="zh-CN"/>
        </w:rPr>
        <w:t>（二）绩效评价的基本原则</w:t>
      </w:r>
      <w:bookmarkEnd w:id="3"/>
      <w:bookmarkEnd w:id="4"/>
      <w:bookmarkEnd w:id="5"/>
      <w:bookmarkEnd w:id="6"/>
      <w:bookmarkEnd w:id="7"/>
      <w:bookmarkEnd w:id="8"/>
      <w:bookmarkEnd w:id="9"/>
      <w:bookmarkEnd w:id="10"/>
      <w:bookmarkEnd w:id="11"/>
      <w:bookmarkEnd w:id="12"/>
      <w:bookmarkEnd w:id="13"/>
      <w:bookmarkEnd w:id="14"/>
      <w:bookmarkEnd w:id="15"/>
    </w:p>
    <w:p>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1.科学规范：注重专项资金的经济性、效率性和有效性，运用科学合理的方法，按照规范的程序，对财政运行绩效进行客观、公正的反映。</w:t>
      </w:r>
    </w:p>
    <w:p>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2.统筹兼顾：绩效评价应职责明确，各有侧重，相互衔接。在单位自评的基础上，对专项资金进行绩效评价。</w:t>
      </w:r>
    </w:p>
    <w:p>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3.激励约束：绩效评价结果应与预算安排、政策调整、改进管理实质性挂钩，体现奖优罚劣和激励相容导向。即：有效要保障、低效要压减、无效要问责。</w:t>
      </w:r>
    </w:p>
    <w:p>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4.公开透明：绩效评价结果应依法依规公开，并自觉接受社会监督。</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五、综合评价情况及评价结论</w:t>
      </w:r>
    </w:p>
    <w:p>
      <w:pPr>
        <w:keepNext w:val="0"/>
        <w:keepLines w:val="0"/>
        <w:pageBreakBefore w:val="0"/>
        <w:widowControl/>
        <w:suppressLineNumbers w:val="0"/>
        <w:kinsoku/>
        <w:wordWrap/>
        <w:overflowPunct/>
        <w:autoSpaceDE/>
        <w:autoSpaceDN/>
        <w:bidi w:val="0"/>
        <w:spacing w:after="0" w:afterAutospacing="0" w:line="560" w:lineRule="exact"/>
        <w:ind w:left="0" w:firstLine="640" w:firstLineChars="200"/>
        <w:jc w:val="both"/>
        <w:textAlignment w:val="auto"/>
        <w:rPr>
          <w:rFonts w:hint="eastAsia" w:ascii="仿宋" w:hAnsi="仿宋" w:eastAsia="仿宋" w:cs="仿宋"/>
          <w:b/>
          <w:bCs w:val="0"/>
          <w:kern w:val="0"/>
          <w:sz w:val="32"/>
          <w:szCs w:val="32"/>
        </w:rPr>
      </w:pP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年，我单位积极履职，强化管理，较好地完成了年度工作目标。通过加强预算收支管理，不断建立健全内部管理制度，梳理内部管理流程，部门整体支出管理水平得到提升。根据部门整体支出绩效评价指标体系，我单位202</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年度评价得分为9</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分。</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六、部门整体支出主要绩效</w:t>
      </w:r>
    </w:p>
    <w:p>
      <w:pPr>
        <w:spacing w:line="550" w:lineRule="exact"/>
        <w:ind w:firstLine="560" w:firstLineChars="200"/>
        <w:rPr>
          <w:rFonts w:ascii="宋体" w:hAnsi="宋体" w:eastAsia="宋体" w:cs="宋体"/>
          <w:sz w:val="28"/>
          <w:szCs w:val="28"/>
        </w:rPr>
      </w:pPr>
      <w:r>
        <w:rPr>
          <w:rFonts w:hint="eastAsia" w:ascii="宋体" w:hAnsi="宋体" w:eastAsia="宋体" w:cs="Times New Roman"/>
          <w:sz w:val="28"/>
          <w:szCs w:val="28"/>
          <w:lang w:val="en-US" w:eastAsia="zh-CN"/>
        </w:rPr>
        <w:t>2022年社保取得如下工作任务：</w:t>
      </w:r>
      <w:r>
        <w:rPr>
          <w:rFonts w:hint="eastAsia" w:ascii="宋体" w:hAnsi="宋体" w:eastAsia="宋体" w:cs="宋体"/>
          <w:bCs/>
          <w:sz w:val="28"/>
          <w:szCs w:val="28"/>
        </w:rPr>
        <w:t>1.社会保险基金</w:t>
      </w:r>
      <w:r>
        <w:rPr>
          <w:rFonts w:hint="eastAsia" w:ascii="宋体" w:hAnsi="宋体" w:eastAsia="宋体" w:cs="宋体"/>
          <w:bCs/>
          <w:sz w:val="28"/>
          <w:szCs w:val="28"/>
          <w:lang w:val="en-US" w:eastAsia="zh-CN"/>
        </w:rPr>
        <w:t>正常</w:t>
      </w:r>
      <w:r>
        <w:rPr>
          <w:rFonts w:hint="eastAsia" w:ascii="宋体" w:hAnsi="宋体" w:eastAsia="宋体" w:cs="宋体"/>
          <w:bCs/>
          <w:sz w:val="28"/>
          <w:szCs w:val="28"/>
        </w:rPr>
        <w:t>运行</w:t>
      </w:r>
      <w:r>
        <w:rPr>
          <w:rFonts w:hint="eastAsia" w:ascii="宋体" w:hAnsi="宋体" w:eastAsia="宋体" w:cs="宋体"/>
          <w:bCs/>
          <w:sz w:val="28"/>
          <w:szCs w:val="28"/>
          <w:lang w:eastAsia="zh-CN"/>
        </w:rPr>
        <w:t>；</w:t>
      </w:r>
      <w:r>
        <w:rPr>
          <w:rFonts w:hint="eastAsia" w:ascii="宋体" w:hAnsi="宋体" w:eastAsia="宋体" w:cs="宋体"/>
          <w:sz w:val="28"/>
          <w:szCs w:val="28"/>
        </w:rPr>
        <w:t>2.落实保民生援企稳岗各项政策，为企业减负克服疫情困难恢复生产保驾护航</w:t>
      </w:r>
      <w:r>
        <w:rPr>
          <w:rFonts w:hint="eastAsia" w:ascii="宋体" w:hAnsi="宋体" w:eastAsia="宋体" w:cs="宋体"/>
          <w:sz w:val="28"/>
          <w:szCs w:val="28"/>
          <w:lang w:eastAsia="zh-CN"/>
        </w:rPr>
        <w:t>；</w:t>
      </w:r>
      <w:r>
        <w:rPr>
          <w:rFonts w:hint="eastAsia" w:ascii="宋体" w:hAnsi="宋体" w:eastAsia="宋体" w:cs="宋体"/>
          <w:sz w:val="28"/>
          <w:szCs w:val="28"/>
        </w:rPr>
        <w:t>3.精准完成养老金调待工作</w:t>
      </w:r>
      <w:r>
        <w:rPr>
          <w:rFonts w:hint="eastAsia" w:ascii="宋体" w:hAnsi="宋体" w:eastAsia="宋体" w:cs="宋体"/>
          <w:sz w:val="28"/>
          <w:szCs w:val="28"/>
          <w:lang w:eastAsia="zh-CN"/>
        </w:rPr>
        <w:t>；</w:t>
      </w:r>
      <w:r>
        <w:rPr>
          <w:rFonts w:hint="eastAsia" w:ascii="宋体" w:hAnsi="宋体" w:eastAsia="宋体" w:cs="宋体"/>
          <w:sz w:val="28"/>
          <w:szCs w:val="28"/>
        </w:rPr>
        <w:t>4.继续做好被征地社会保障工作</w:t>
      </w:r>
      <w:r>
        <w:rPr>
          <w:rFonts w:hint="eastAsia" w:ascii="宋体" w:hAnsi="宋体" w:eastAsia="宋体" w:cs="宋体"/>
          <w:sz w:val="28"/>
          <w:szCs w:val="28"/>
          <w:lang w:eastAsia="zh-CN"/>
        </w:rPr>
        <w:t>；</w:t>
      </w:r>
      <w:r>
        <w:rPr>
          <w:rFonts w:hint="eastAsia" w:ascii="宋体" w:hAnsi="宋体" w:eastAsia="宋体" w:cs="宋体"/>
          <w:sz w:val="28"/>
          <w:szCs w:val="28"/>
          <w:shd w:val="clear" w:color="auto" w:fill="FFFFFF"/>
        </w:rPr>
        <w:t>5.全面完成</w:t>
      </w:r>
      <w:r>
        <w:rPr>
          <w:rFonts w:hint="eastAsia" w:cs="仿宋" w:asciiTheme="minorEastAsia" w:hAnsiTheme="minorEastAsia"/>
          <w:sz w:val="28"/>
          <w:szCs w:val="28"/>
        </w:rPr>
        <w:t>城乡居民养老保险全覆盖工作</w:t>
      </w:r>
      <w:r>
        <w:rPr>
          <w:rFonts w:hint="eastAsia" w:cs="仿宋" w:asciiTheme="minorEastAsia" w:hAnsiTheme="minorEastAsia"/>
          <w:sz w:val="28"/>
          <w:szCs w:val="28"/>
          <w:lang w:eastAsia="zh-CN"/>
        </w:rPr>
        <w:t>；</w:t>
      </w:r>
      <w:r>
        <w:rPr>
          <w:rFonts w:hint="eastAsia" w:cs="宋体" w:asciiTheme="minorEastAsia" w:hAnsiTheme="minorEastAsia"/>
          <w:sz w:val="28"/>
          <w:szCs w:val="28"/>
        </w:rPr>
        <w:t>6.全力做好退捕渔民参保及补贴工作</w:t>
      </w:r>
      <w:r>
        <w:rPr>
          <w:rFonts w:hint="eastAsia" w:cs="宋体" w:asciiTheme="minorEastAsia" w:hAnsiTheme="minorEastAsia"/>
          <w:sz w:val="28"/>
          <w:szCs w:val="28"/>
          <w:lang w:eastAsia="zh-CN"/>
        </w:rPr>
        <w:t>；</w:t>
      </w:r>
      <w:r>
        <w:rPr>
          <w:rFonts w:hint="eastAsia" w:cs="仿宋" w:asciiTheme="minorEastAsia" w:hAnsiTheme="minorEastAsia"/>
          <w:sz w:val="28"/>
          <w:szCs w:val="28"/>
        </w:rPr>
        <w:t>7.全面落实社保扶贫政府代缴政策</w:t>
      </w:r>
      <w:r>
        <w:rPr>
          <w:rFonts w:hint="eastAsia" w:cs="仿宋" w:asciiTheme="minorEastAsia" w:hAnsiTheme="minorEastAsia"/>
          <w:sz w:val="28"/>
          <w:szCs w:val="28"/>
          <w:lang w:eastAsia="zh-CN"/>
        </w:rPr>
        <w:t>；</w:t>
      </w:r>
      <w:r>
        <w:rPr>
          <w:rFonts w:hint="eastAsia" w:ascii="宋体" w:hAnsi="宋体" w:eastAsia="宋体" w:cs="宋体"/>
          <w:sz w:val="28"/>
          <w:szCs w:val="28"/>
        </w:rPr>
        <w:t>8.加强内控管理，严把基金安全关，严控基金安全风险</w:t>
      </w:r>
      <w:r>
        <w:rPr>
          <w:rFonts w:hint="eastAsia" w:ascii="宋体" w:hAnsi="宋体" w:eastAsia="宋体" w:cs="宋体"/>
          <w:sz w:val="28"/>
          <w:szCs w:val="28"/>
          <w:lang w:eastAsia="zh-CN"/>
        </w:rPr>
        <w:t>；</w:t>
      </w:r>
      <w:r>
        <w:rPr>
          <w:rFonts w:hint="eastAsia" w:cs="仿宋" w:asciiTheme="minorEastAsia" w:hAnsiTheme="minorEastAsia"/>
          <w:sz w:val="28"/>
          <w:szCs w:val="28"/>
        </w:rPr>
        <w:t>9.</w:t>
      </w:r>
      <w:r>
        <w:rPr>
          <w:rFonts w:hint="eastAsia" w:ascii="宋体" w:hAnsi="宋体" w:eastAsia="宋体" w:cs="宋体"/>
          <w:sz w:val="28"/>
          <w:szCs w:val="28"/>
        </w:rPr>
        <w:t>开展机关事业单位、企业以及城乡居民养老保险退休人员生存认证，杜绝虚报冒领现象。</w:t>
      </w:r>
    </w:p>
    <w:p>
      <w:pPr>
        <w:spacing w:line="550" w:lineRule="exact"/>
        <w:ind w:firstLine="560" w:firstLineChars="200"/>
        <w:rPr>
          <w:rFonts w:hint="eastAsia" w:ascii="宋体" w:hAnsi="宋体" w:eastAsia="宋体" w:cs="宋体"/>
          <w:sz w:val="28"/>
          <w:szCs w:val="28"/>
          <w:lang w:eastAsia="zh-CN"/>
        </w:rPr>
      </w:pP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七、存在的问题</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1.对项目资金的帐务处理不太规范，预算批复中的项目资金虽已按照批复专款专用，但在帐务处理时没有区分项目支出和基本支出，统一核算。</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2.预算编制工作有待细化，在年初预算时，项目资金的经济分类科目没有按支出分配好。</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八、改进措施和有关建议</w:t>
      </w:r>
    </w:p>
    <w:p>
      <w:pPr>
        <w:ind w:firstLine="640" w:firstLineChars="200"/>
        <w:rPr>
          <w:rFonts w:hint="eastAsia" w:ascii="仿宋" w:hAnsi="仿宋" w:eastAsia="仿宋" w:cs="仿宋"/>
          <w:spacing w:val="0"/>
          <w:kern w:val="0"/>
          <w:sz w:val="32"/>
          <w:szCs w:val="32"/>
        </w:rPr>
      </w:pPr>
      <w:r>
        <w:rPr>
          <w:rFonts w:hint="eastAsia" w:ascii="仿宋" w:hAnsi="仿宋" w:eastAsia="仿宋" w:cs="仿宋"/>
          <w:spacing w:val="0"/>
          <w:kern w:val="0"/>
          <w:sz w:val="32"/>
          <w:szCs w:val="32"/>
        </w:rPr>
        <w:t xml:space="preserve">1.细化预算编制工作，认真做好预算的编制。进一步加强我委内部机构各办的预算管理意识，严格按照预算编制的相关制度和要求进行预算编制 </w:t>
      </w:r>
    </w:p>
    <w:p>
      <w:pPr>
        <w:ind w:firstLine="640" w:firstLineChars="200"/>
        <w:rPr>
          <w:rFonts w:hint="eastAsia" w:ascii="宋体" w:hAnsi="宋体" w:eastAsia="宋体" w:cs="宋体"/>
          <w:spacing w:val="0"/>
          <w:kern w:val="0"/>
          <w:sz w:val="30"/>
          <w:szCs w:val="30"/>
        </w:rPr>
      </w:pPr>
      <w:r>
        <w:rPr>
          <w:rFonts w:hint="eastAsia" w:ascii="仿宋" w:hAnsi="仿宋" w:eastAsia="仿宋" w:cs="仿宋"/>
          <w:spacing w:val="0"/>
          <w:kern w:val="0"/>
          <w:sz w:val="32"/>
          <w:szCs w:val="32"/>
        </w:rPr>
        <w:t>2.加强财务管理，严格财务审核。在费用报账支付时，按照预算规定的费用项目和用途进行财务核算，分门别类做支出。</w:t>
      </w:r>
      <w:r>
        <w:rPr>
          <w:rFonts w:hint="eastAsia" w:ascii="宋体" w:hAnsi="宋体" w:eastAsia="宋体" w:cs="宋体"/>
          <w:spacing w:val="0"/>
          <w:kern w:val="0"/>
          <w:sz w:val="30"/>
          <w:szCs w:val="30"/>
        </w:rPr>
        <w:br w:type="page"/>
      </w:r>
    </w:p>
    <w:p>
      <w:pPr>
        <w:rPr>
          <w:rFonts w:hint="eastAsia" w:ascii="宋体" w:hAnsi="宋体" w:eastAsia="宋体" w:cs="宋体"/>
          <w:spacing w:val="0"/>
          <w:kern w:val="0"/>
          <w:sz w:val="30"/>
          <w:szCs w:val="30"/>
        </w:rPr>
      </w:pPr>
    </w:p>
    <w:p>
      <w:pPr>
        <w:rPr>
          <w:rFonts w:hint="eastAsia" w:ascii="宋体" w:hAnsi="宋体" w:eastAsia="宋体" w:cs="宋体"/>
          <w:spacing w:val="0"/>
          <w:kern w:val="0"/>
          <w:sz w:val="30"/>
          <w:szCs w:val="30"/>
        </w:rPr>
      </w:pPr>
    </w:p>
    <w:p>
      <w:pPr>
        <w:spacing w:line="600" w:lineRule="exact"/>
        <w:rPr>
          <w:rFonts w:ascii="宋体" w:hAnsi="宋体" w:cs="宋体"/>
          <w:kern w:val="0"/>
          <w:sz w:val="32"/>
          <w:szCs w:val="32"/>
        </w:rPr>
      </w:pPr>
      <w:bookmarkStart w:id="16" w:name="RANGE!A1:H22"/>
      <w:r>
        <w:rPr>
          <w:rFonts w:hint="eastAsia" w:ascii="黑体" w:hAnsi="宋体" w:eastAsia="黑体" w:cs="宋体"/>
          <w:kern w:val="0"/>
          <w:sz w:val="32"/>
          <w:szCs w:val="32"/>
        </w:rPr>
        <w:t>附件</w:t>
      </w:r>
      <w:bookmarkEnd w:id="16"/>
      <w:r>
        <w:rPr>
          <w:rFonts w:hint="eastAsia" w:ascii="黑体" w:hAnsi="宋体" w:eastAsia="黑体" w:cs="宋体"/>
          <w:kern w:val="0"/>
          <w:sz w:val="32"/>
          <w:szCs w:val="32"/>
        </w:rPr>
        <w:t>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hint="eastAsia"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4"/>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0"/>
            <w:vAlign w:val="center"/>
          </w:tcPr>
          <w:p>
            <w:pPr>
              <w:widowControl/>
              <w:jc w:val="left"/>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noWrap w:val="0"/>
            <w:textDirection w:val="tbRlV"/>
            <w:vAlign w:val="top"/>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noWrap w:val="0"/>
            <w:vAlign w:val="center"/>
          </w:tcPr>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“三公经费”变动率=[（本年度“三公经费”总额-上年度“三公经费”总额）/上年度“三公经费”总额]×100%。</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noWrap w:val="0"/>
            <w:vAlign w:val="top"/>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noWrap w:val="0"/>
            <w:vAlign w:val="center"/>
          </w:tcPr>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重点支出安排率=（重点项目支出/项目总支出）×100%</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noWrap w:val="0"/>
            <w:vAlign w:val="center"/>
          </w:tcPr>
          <w:p>
            <w:pPr>
              <w:widowControl/>
              <w:jc w:val="center"/>
              <w:rPr>
                <w:rFonts w:hint="eastAsia" w:ascii="宋体" w:hAnsi="宋体" w:cs="宋体" w:eastAsiaTheme="minorEastAsia"/>
                <w:kern w:val="0"/>
                <w:sz w:val="24"/>
                <w:lang w:val="en-US" w:eastAsia="zh-CN"/>
              </w:rPr>
            </w:pPr>
            <w:r>
              <w:rPr>
                <w:rFonts w:hint="eastAsia" w:ascii="宋体" w:hAnsi="宋体" w:cs="宋体"/>
                <w:kern w:val="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noWrap w:val="0"/>
            <w:vAlign w:val="top"/>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ascii="仿宋_GB2312" w:hAnsi="宋体" w:eastAsia="仿宋_GB2312" w:cs="宋体"/>
                <w:kern w:val="0"/>
                <w:sz w:val="20"/>
                <w:szCs w:val="20"/>
              </w:rPr>
              <w:t>20</w:t>
            </w:r>
            <w:r>
              <w:rPr>
                <w:rFonts w:hint="eastAsia" w:ascii="仿宋_GB2312" w:hAnsi="宋体" w:eastAsia="仿宋_GB2312" w:cs="宋体"/>
                <w:kern w:val="0"/>
                <w:sz w:val="20"/>
                <w:szCs w:val="20"/>
              </w:rPr>
              <w:t>20年度非税实际收入完成数/</w:t>
            </w:r>
            <w:r>
              <w:rPr>
                <w:rFonts w:ascii="仿宋_GB2312" w:hAnsi="宋体" w:eastAsia="仿宋_GB2312" w:cs="宋体"/>
                <w:kern w:val="0"/>
                <w:sz w:val="20"/>
                <w:szCs w:val="20"/>
              </w:rPr>
              <w:t>20</w:t>
            </w:r>
            <w:r>
              <w:rPr>
                <w:rFonts w:hint="eastAsia" w:ascii="仿宋_GB2312" w:hAnsi="宋体" w:eastAsia="仿宋_GB2312" w:cs="宋体"/>
                <w:kern w:val="0"/>
                <w:sz w:val="20"/>
                <w:szCs w:val="20"/>
              </w:rPr>
              <w:t>20年度非税收入预算数）×100%，有减免因素的，以非税局确定的为准。</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411" w:type="dxa"/>
            <w:vMerge w:val="restart"/>
            <w:noWrap w:val="0"/>
            <w:textDirection w:val="tbRlV"/>
            <w:vAlign w:val="top"/>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完成率&lt;1，计2分，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完成率=1，计1分，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完成率&gt;1，不得分。</w:t>
            </w:r>
          </w:p>
          <w:p>
            <w:pPr>
              <w:widowControl/>
              <w:jc w:val="center"/>
              <w:rPr>
                <w:rFonts w:hint="eastAsia" w:ascii="仿宋_GB2312" w:hAnsi="宋体" w:eastAsia="仿宋_GB2312" w:cs="宋体"/>
                <w:kern w:val="0"/>
                <w:sz w:val="20"/>
                <w:szCs w:val="20"/>
              </w:rPr>
            </w:pPr>
          </w:p>
        </w:tc>
        <w:tc>
          <w:tcPr>
            <w:tcW w:w="3472" w:type="dxa"/>
            <w:noWrap w:val="0"/>
            <w:vAlign w:val="center"/>
          </w:tcPr>
          <w:p>
            <w:pPr>
              <w:autoSpaceDN w:val="0"/>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noWrap w:val="0"/>
            <w:vAlign w:val="center"/>
          </w:tcPr>
          <w:p>
            <w:pPr>
              <w:widowControl/>
              <w:jc w:val="center"/>
              <w:rPr>
                <w:rFonts w:hint="eastAsia" w:ascii="宋体" w:hAnsi="宋体" w:cs="宋体"/>
                <w:kern w:val="0"/>
                <w:sz w:val="24"/>
                <w:highlight w:val="yellow"/>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411" w:type="dxa"/>
            <w:vMerge w:val="continue"/>
            <w:noWrap w:val="0"/>
            <w:vAlign w:val="top"/>
          </w:tcPr>
          <w:p>
            <w:pPr>
              <w:rPr>
                <w:rFonts w:ascii="仿宋_GB2312" w:hAnsi="宋体" w:eastAsia="仿宋_GB2312" w:cs="宋体"/>
                <w:kern w:val="0"/>
                <w:sz w:val="20"/>
                <w:szCs w:val="20"/>
              </w:rPr>
            </w:pPr>
          </w:p>
        </w:tc>
        <w:tc>
          <w:tcPr>
            <w:tcW w:w="429" w:type="dxa"/>
            <w:vMerge w:val="continue"/>
            <w:tcBorders>
              <w:right w:val="single" w:color="auto" w:sz="4" w:space="0"/>
            </w:tcBorders>
            <w:noWrap w:val="0"/>
            <w:vAlign w:val="top"/>
          </w:tcPr>
          <w:p>
            <w:pP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top"/>
          </w:tcPr>
          <w:p>
            <w:pPr>
              <w:jc w:val="center"/>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结余超过10%（不含），2分；结余在0-10%（含）的，1分；本年超支不得分。</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noWrap w:val="0"/>
            <w:vAlign w:val="top"/>
          </w:tcPr>
          <w:p>
            <w:pPr>
              <w:rPr>
                <w:rFonts w:ascii="仿宋_GB2312" w:hAnsi="宋体" w:eastAsia="仿宋_GB2312" w:cs="宋体"/>
                <w:kern w:val="0"/>
                <w:sz w:val="20"/>
                <w:szCs w:val="20"/>
              </w:rPr>
            </w:pPr>
          </w:p>
        </w:tc>
        <w:tc>
          <w:tcPr>
            <w:tcW w:w="429" w:type="dxa"/>
            <w:vMerge w:val="continue"/>
            <w:tcBorders>
              <w:right w:val="single" w:color="auto" w:sz="4" w:space="0"/>
            </w:tcBorders>
            <w:noWrap w:val="0"/>
            <w:vAlign w:val="top"/>
          </w:tcPr>
          <w:p>
            <w:pP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top"/>
          </w:tcPr>
          <w:p>
            <w:pPr>
              <w:jc w:val="center"/>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控制率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0"/>
            <w:vAlign w:val="top"/>
          </w:tcPr>
          <w:p>
            <w:pP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noWrap w:val="0"/>
            <w:vAlign w:val="top"/>
          </w:tcPr>
          <w:p>
            <w:pPr>
              <w:widowControl/>
              <w:jc w:val="left"/>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tcBorders>
              <w:top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center"/>
              <w:rPr>
                <w:rFonts w:hint="eastAsia" w:ascii="仿宋_GB2312" w:hAnsi="宋体" w:eastAsia="仿宋_GB2312" w:cs="宋体"/>
                <w:kern w:val="0"/>
                <w:sz w:val="20"/>
                <w:szCs w:val="20"/>
              </w:rPr>
            </w:pPr>
          </w:p>
        </w:tc>
        <w:tc>
          <w:tcPr>
            <w:tcW w:w="3118" w:type="dxa"/>
            <w:tcBorders>
              <w:top w:val="single" w:color="auto" w:sz="4" w:space="0"/>
            </w:tcBorders>
            <w:noWrap w:val="0"/>
            <w:vAlign w:val="center"/>
          </w:tcPr>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①已制定资金管理办法、内部财务管理制度、会计核算制度等管理制度，1分；</w:t>
            </w:r>
          </w:p>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②建立健全单位内部控制制度，1分；</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③会计人员、机构按规定设置，1分；</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eastAsia" w:ascii="宋体" w:hAnsi="宋体" w:cs="宋体" w:eastAsiaTheme="minorEastAsia"/>
                <w:kern w:val="0"/>
                <w:sz w:val="24"/>
                <w:lang w:eastAsia="zh-CN"/>
              </w:rPr>
            </w:pPr>
            <w:r>
              <w:rPr>
                <w:rFonts w:hint="eastAsia" w:ascii="宋体" w:hAnsi="宋体" w:cs="宋体"/>
                <w:kern w:val="0"/>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noWrap w:val="0"/>
            <w:vAlign w:val="top"/>
          </w:tcPr>
          <w:p>
            <w:pPr>
              <w:widowControl/>
              <w:jc w:val="left"/>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tcBorders>
              <w:top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noWrap w:val="0"/>
            <w:vAlign w:val="center"/>
          </w:tcPr>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eastAsia" w:ascii="宋体" w:hAnsi="宋体" w:cs="宋体" w:eastAsiaTheme="minorEastAsia"/>
                <w:kern w:val="0"/>
                <w:sz w:val="24"/>
                <w:lang w:eastAsia="zh-CN"/>
              </w:rPr>
            </w:pPr>
            <w:r>
              <w:rPr>
                <w:rFonts w:hint="eastAsia" w:ascii="宋体" w:hAnsi="宋体" w:cs="宋体"/>
                <w:kern w:val="0"/>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资金  使用</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合规性</w:t>
            </w:r>
          </w:p>
        </w:tc>
        <w:tc>
          <w:tcPr>
            <w:tcW w:w="567"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noWrap w:val="0"/>
            <w:vAlign w:val="center"/>
          </w:tcPr>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①支出符合国家财经法规和财务管理制度规定以及有关专项资金管理办法的规定；</w:t>
            </w:r>
          </w:p>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②资金（开支）拨付有完整的审批程序和手续；</w:t>
            </w:r>
          </w:p>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③支出符合部门预算批复的用途；</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④资金使用无截留、挤占、挪用、虚列支出、随意借用、大额现金支付等情况。</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rPr>
                <w:rFonts w:hint="eastAsia" w:ascii="仿宋_GB2312" w:hAnsi="仿宋" w:eastAsia="仿宋_GB2312" w:cs="仿宋"/>
                <w:kern w:val="0"/>
                <w:sz w:val="20"/>
                <w:szCs w:val="20"/>
                <w:lang w:eastAsia="zh-CN"/>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p>
          <w:p>
            <w:pPr>
              <w:widowControl/>
              <w:rPr>
                <w:rFonts w:ascii="仿宋_GB2312" w:hAnsi="宋体" w:eastAsia="仿宋_GB2312" w:cs="宋体"/>
                <w:kern w:val="0"/>
                <w:sz w:val="20"/>
                <w:szCs w:val="20"/>
              </w:rPr>
            </w:pP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noWrap w:val="0"/>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noWrap w:val="0"/>
            <w:vAlign w:val="top"/>
          </w:tcPr>
          <w:p>
            <w:pPr>
              <w:widowControl/>
              <w:jc w:val="left"/>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widowControl/>
              <w:jc w:val="left"/>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left"/>
              <w:rPr>
                <w:rFonts w:ascii="仿宋_GB2312" w:hAnsi="宋体" w:eastAsia="仿宋_GB2312" w:cs="宋体"/>
                <w:kern w:val="0"/>
                <w:sz w:val="20"/>
                <w:szCs w:val="20"/>
              </w:rPr>
            </w:pPr>
          </w:p>
        </w:tc>
        <w:tc>
          <w:tcPr>
            <w:tcW w:w="851" w:type="dxa"/>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noWrap w:val="0"/>
            <w:vAlign w:val="top"/>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noWrap w:val="0"/>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0"/>
            <w:vAlign w:val="center"/>
          </w:tcPr>
          <w:p>
            <w:pPr>
              <w:widowControl/>
              <w:jc w:val="left"/>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①已制定资产管理制度，1分；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②相关资产管理制度得到有效执行，1分。                                           </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0"/>
            <w:vAlign w:val="top"/>
          </w:tcPr>
          <w:p>
            <w:pPr>
              <w:widowControl/>
              <w:jc w:val="left"/>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资产  管理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安全性</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noWrap w:val="0"/>
            <w:vAlign w:val="center"/>
          </w:tcPr>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 xml:space="preserve">①资产保存完整；②资产配置合理；③资产处置规范； </w:t>
            </w:r>
          </w:p>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以上情况每出现一例不符合要求的扣2分；⑨未按时报送2018年行政事业单位资产报表的，每延迟一天，扣1分，扣完为止。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0"/>
            <w:vAlign w:val="top"/>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top"/>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固定  资产</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利用率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0"/>
            <w:vAlign w:val="top"/>
          </w:tcPr>
          <w:p>
            <w:pPr>
              <w:widowControl/>
              <w:jc w:val="left"/>
              <w:rPr>
                <w:rFonts w:ascii="仿宋_GB2312" w:hAnsi="宋体" w:eastAsia="仿宋_GB2312" w:cs="宋体"/>
                <w:kern w:val="0"/>
                <w:sz w:val="20"/>
                <w:szCs w:val="20"/>
              </w:rPr>
            </w:pPr>
          </w:p>
        </w:tc>
        <w:tc>
          <w:tcPr>
            <w:tcW w:w="429" w:type="dxa"/>
            <w:vMerge w:val="restart"/>
            <w:tcBorders>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2020年度部门整体支出绩效目标的，2分；③在规定时间内报送、公开以上目标的，2分，否则不得分。</w:t>
            </w:r>
          </w:p>
        </w:tc>
        <w:tc>
          <w:tcPr>
            <w:tcW w:w="3472" w:type="dxa"/>
            <w:noWrap w:val="0"/>
            <w:vAlign w:val="center"/>
          </w:tcPr>
          <w:p>
            <w:pPr>
              <w:widowControl/>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0"/>
            <w:vAlign w:val="top"/>
          </w:tcPr>
          <w:p>
            <w:pPr>
              <w:widowControl/>
              <w:jc w:val="left"/>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jc w:val="left"/>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开展2019年度专项资金绩效自评的，2分，每少一个专项资金的自评扣1分，扣完为止；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开展2019年度已完工项目绩效自评的，2分，每少一个项目扣1分，扣完为止；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开展2019年度部门整体支出绩效自评的，1分；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noWrap w:val="0"/>
            <w:vAlign w:val="center"/>
          </w:tcPr>
          <w:p>
            <w:pPr>
              <w:widowControl/>
              <w:jc w:val="center"/>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0"/>
            <w:vAlign w:val="top"/>
          </w:tcPr>
          <w:p>
            <w:pPr>
              <w:widowControl/>
              <w:jc w:val="left"/>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noWrap w:val="0"/>
            <w:vAlign w:val="top"/>
          </w:tcPr>
          <w:p>
            <w:pPr>
              <w:jc w:val="left"/>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 w:hAnsi="仿宋" w:eastAsia="仿宋" w:cs="宋体"/>
                <w:sz w:val="20"/>
                <w:szCs w:val="20"/>
              </w:rPr>
            </w:pPr>
            <w:r>
              <w:rPr>
                <w:rFonts w:hint="eastAsia" w:ascii="仿宋_GB2312" w:hAnsi="宋体" w:eastAsia="仿宋_GB2312" w:cs="宋体"/>
                <w:kern w:val="0"/>
                <w:sz w:val="20"/>
                <w:szCs w:val="20"/>
              </w:rPr>
              <w:t>根据2019年度财政重点绩效评价和单位自评情况，向财政报送整改结果并整改到位的，2分，否则不得分。</w:t>
            </w:r>
          </w:p>
        </w:tc>
        <w:tc>
          <w:tcPr>
            <w:tcW w:w="3472" w:type="dxa"/>
            <w:noWrap w:val="0"/>
            <w:vAlign w:val="center"/>
          </w:tcPr>
          <w:p>
            <w:pPr>
              <w:jc w:val="center"/>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val="0"/>
            <w:textDirection w:val="tbRlV"/>
            <w:vAlign w:val="top"/>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noWrap w:val="0"/>
            <w:vAlign w:val="center"/>
          </w:tcPr>
          <w:p>
            <w:pPr>
              <w:autoSpaceDN w:val="0"/>
              <w:jc w:val="center"/>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noWrap w:val="0"/>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val="0"/>
            <w:textDirection w:val="tbRlV"/>
            <w:vAlign w:val="top"/>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center"/>
              <w:rPr>
                <w:rFonts w:hint="eastAsia" w:ascii="仿宋_GB2312" w:hAnsi="宋体" w:eastAsia="仿宋_GB2312" w:cs="宋体"/>
                <w:kern w:val="0"/>
                <w:sz w:val="20"/>
                <w:szCs w:val="20"/>
              </w:rPr>
            </w:pPr>
          </w:p>
        </w:tc>
        <w:tc>
          <w:tcPr>
            <w:tcW w:w="851" w:type="dxa"/>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noWrap w:val="0"/>
            <w:vAlign w:val="center"/>
          </w:tcPr>
          <w:p>
            <w:pPr>
              <w:autoSpaceDN w:val="0"/>
              <w:jc w:val="center"/>
              <w:textAlignment w:val="center"/>
              <w:rPr>
                <w:rFonts w:hint="eastAsia" w:ascii="仿宋_GB2312" w:hAnsi="宋体" w:eastAsia="仿宋_GB2312" w:cs="宋体"/>
                <w:kern w:val="0"/>
                <w:sz w:val="20"/>
                <w:szCs w:val="20"/>
              </w:rPr>
            </w:pPr>
          </w:p>
        </w:tc>
        <w:tc>
          <w:tcPr>
            <w:tcW w:w="617" w:type="dxa"/>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此三项指标可根据部门实际并结合2020年度部门整体支出绩效目标设立情况有选择的进行评价。</w:t>
            </w:r>
          </w:p>
        </w:tc>
        <w:tc>
          <w:tcPr>
            <w:tcW w:w="61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0"/>
            <w:vAlign w:val="center"/>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noWrap w:val="0"/>
            <w:vAlign w:val="center"/>
          </w:tcPr>
          <w:p>
            <w:pPr>
              <w:widowControl/>
              <w:jc w:val="left"/>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center"/>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0"/>
            <w:vAlign w:val="center"/>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noWrap w:val="0"/>
            <w:vAlign w:val="center"/>
          </w:tcPr>
          <w:p>
            <w:pPr>
              <w:widowControl/>
              <w:jc w:val="left"/>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center"/>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0"/>
            <w:vAlign w:val="top"/>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90%（含）以上计2分；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80%（含）-90%，计1分；70%（含）-80%，计0.5分；低于70%,计0分。</w:t>
            </w:r>
          </w:p>
        </w:tc>
        <w:tc>
          <w:tcPr>
            <w:tcW w:w="3472"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noWrap w:val="0"/>
            <w:vAlign w:val="center"/>
          </w:tcPr>
          <w:p>
            <w:pPr>
              <w:widowControl/>
              <w:jc w:val="center"/>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宋体" w:hAnsi="宋体" w:cs="宋体" w:eastAsiaTheme="minorEastAsia"/>
                <w:kern w:val="0"/>
                <w:sz w:val="24"/>
                <w:lang w:val="en-US" w:eastAsia="zh-CN"/>
              </w:rPr>
            </w:pPr>
            <w:r>
              <w:rPr>
                <w:rFonts w:hint="eastAsia" w:ascii="宋体" w:hAnsi="宋体" w:cs="宋体"/>
                <w:kern w:val="0"/>
                <w:sz w:val="24"/>
              </w:rPr>
              <w:t>9</w:t>
            </w:r>
            <w:r>
              <w:rPr>
                <w:rFonts w:hint="eastAsia" w:ascii="宋体" w:hAnsi="宋体" w:cs="宋体"/>
                <w:kern w:val="0"/>
                <w:sz w:val="24"/>
                <w:lang w:val="en-US" w:eastAsia="zh-CN"/>
              </w:rPr>
              <w:t>5</w:t>
            </w:r>
          </w:p>
        </w:tc>
      </w:tr>
    </w:tbl>
    <w:p>
      <w:pPr>
        <w:spacing w:line="600" w:lineRule="exact"/>
        <w:rPr>
          <w:rFonts w:ascii="宋体" w:hAnsi="宋体" w:cs="宋体"/>
          <w:kern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80"/>
        <w:jc w:val="left"/>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32"/>
          <w:szCs w:val="32"/>
          <w:shd w:val="clear" w:fill="FFFFFF"/>
        </w:rPr>
        <w:t>(一）整体支出绩效目标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80"/>
        <w:jc w:val="left"/>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32"/>
          <w:szCs w:val="32"/>
          <w:shd w:val="clear" w:fill="FFFFFF"/>
        </w:rPr>
        <w:t>预决算公开：202</w:t>
      </w:r>
      <w:r>
        <w:rPr>
          <w:rFonts w:hint="eastAsia" w:ascii="宋体" w:hAnsi="宋体" w:eastAsia="宋体" w:cs="宋体"/>
          <w:i w:val="0"/>
          <w:iCs w:val="0"/>
          <w:caps w:val="0"/>
          <w:color w:val="000000"/>
          <w:spacing w:val="0"/>
          <w:sz w:val="32"/>
          <w:szCs w:val="32"/>
          <w:shd w:val="clear" w:fill="FFFFFF"/>
          <w:lang w:val="en-US" w:eastAsia="zh-CN"/>
        </w:rPr>
        <w:t>2</w:t>
      </w:r>
      <w:r>
        <w:rPr>
          <w:rFonts w:hint="eastAsia" w:ascii="宋体" w:hAnsi="宋体" w:eastAsia="宋体" w:cs="宋体"/>
          <w:i w:val="0"/>
          <w:iCs w:val="0"/>
          <w:caps w:val="0"/>
          <w:color w:val="000000"/>
          <w:spacing w:val="0"/>
          <w:sz w:val="32"/>
          <w:szCs w:val="32"/>
          <w:shd w:val="clear" w:fill="FFFFFF"/>
        </w:rPr>
        <w:t>年，按照上级的要求，我单位在政府网站上进行了预决算公开。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80"/>
        <w:jc w:val="left"/>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32"/>
          <w:szCs w:val="32"/>
          <w:shd w:val="clear" w:fill="FFFFFF"/>
        </w:rPr>
        <w:t>资产管理：我们进一步加强资产的管理，明确具体责任人，完善了固定资产档案，严格报批、审核等手续，做好资产登记工作，单位无任何资产流失现象。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80"/>
        <w:jc w:val="left"/>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32"/>
          <w:szCs w:val="32"/>
          <w:shd w:val="clear" w:fill="FFFFFF"/>
        </w:rPr>
        <w:t>三公经费控制情况：我单位贯彻落实上级有关精神，严格控制“三公经费”支出，取得了良好效果。具体情况如下：202</w:t>
      </w:r>
      <w:r>
        <w:rPr>
          <w:rFonts w:hint="eastAsia" w:ascii="宋体" w:hAnsi="宋体" w:eastAsia="宋体" w:cs="宋体"/>
          <w:i w:val="0"/>
          <w:iCs w:val="0"/>
          <w:caps w:val="0"/>
          <w:color w:val="000000"/>
          <w:spacing w:val="0"/>
          <w:sz w:val="32"/>
          <w:szCs w:val="32"/>
          <w:shd w:val="clear" w:fill="FFFFFF"/>
          <w:lang w:val="en-US" w:eastAsia="zh-CN"/>
        </w:rPr>
        <w:t>2</w:t>
      </w:r>
      <w:r>
        <w:rPr>
          <w:rFonts w:hint="eastAsia" w:ascii="宋体" w:hAnsi="宋体" w:eastAsia="宋体" w:cs="宋体"/>
          <w:i w:val="0"/>
          <w:iCs w:val="0"/>
          <w:caps w:val="0"/>
          <w:color w:val="000000"/>
          <w:spacing w:val="0"/>
          <w:sz w:val="32"/>
          <w:szCs w:val="32"/>
          <w:shd w:val="clear" w:fill="FFFFFF"/>
        </w:rPr>
        <w:t>年“三公”经费0万元，其中公务接待费为0万元，无公务用车运行维护费和因公出国（境）费用。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80"/>
        <w:jc w:val="left"/>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32"/>
          <w:szCs w:val="32"/>
          <w:shd w:val="clear" w:fill="FFFFFF"/>
        </w:rPr>
        <w:t>（二）部门整体支出情况分析</w:t>
      </w:r>
      <w:bookmarkStart w:id="17" w:name="_GoBack"/>
      <w:bookmarkEnd w:id="17"/>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80"/>
        <w:jc w:val="left"/>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32"/>
          <w:szCs w:val="32"/>
          <w:shd w:val="clear" w:fill="FFFFFF"/>
        </w:rPr>
        <w:t>   从整体情况来看，我单位严格按照年初预算进行部门整体支出。在支出过程中，能严格遵守各项规章制度。</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374D54"/>
    <w:multiLevelType w:val="singleLevel"/>
    <w:tmpl w:val="5F374D5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jOTM5ZTFhNDAwYzE3ZTQ0ODIxYWRiNjU4MjZiNjkifQ=="/>
  </w:docVars>
  <w:rsids>
    <w:rsidRoot w:val="00000000"/>
    <w:rsid w:val="0B6A09A7"/>
    <w:rsid w:val="460317D2"/>
    <w:rsid w:val="5F056994"/>
    <w:rsid w:val="63A81A8B"/>
    <w:rsid w:val="68706A78"/>
    <w:rsid w:val="6C216368"/>
    <w:rsid w:val="6E1F6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lang w:val="zh-CN"/>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普通(网站) Char"/>
    <w:basedOn w:val="1"/>
    <w:qFormat/>
    <w:uiPriority w:val="0"/>
    <w:pPr>
      <w:spacing w:beforeAutospacing="1" w:after="10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4716</Words>
  <Characters>4965</Characters>
  <Lines>0</Lines>
  <Paragraphs>0</Paragraphs>
  <TotalTime>21</TotalTime>
  <ScaleCrop>false</ScaleCrop>
  <LinksUpToDate>false</LinksUpToDate>
  <CharactersWithSpaces>5123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2022-09-13T03:39:00Z</dcterms:created>
  <dc:creator>Administrator</dc:creator>
  <cp:lastModifiedBy>lenovo</cp:lastModifiedBy>
  <dcterms:modified xsi:type="dcterms:W3CDTF">2023-10-11T01:33:14Z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AD795807E72B41EDAB3C1E47308F402C</vt:lpwstr>
  </property>
</Properties>
</file>