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2021年</w:t>
      </w:r>
      <w:r>
        <w:rPr>
          <w:rFonts w:hint="eastAsia" w:ascii="黑体" w:hAnsi="黑体" w:eastAsia="黑体" w:cs="黑体"/>
          <w:kern w:val="0"/>
          <w:sz w:val="32"/>
          <w:szCs w:val="32"/>
        </w:rPr>
        <w:t>度</w:t>
      </w:r>
      <w:r>
        <w:rPr>
          <w:rFonts w:hint="eastAsia" w:ascii="黑体" w:hAnsi="黑体" w:eastAsia="黑体" w:cs="黑体"/>
          <w:kern w:val="0"/>
          <w:sz w:val="32"/>
          <w:szCs w:val="32"/>
          <w:lang w:eastAsia="zh-CN"/>
        </w:rPr>
        <w:t>邵阳市司法局</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（一）部门基本情况（包括部门的在职人员情况、机构设置、主要职能及重点工作计划等）。</w:t>
      </w:r>
      <w:r>
        <w:rPr>
          <w:rFonts w:hint="eastAsia" w:cs="宋体"/>
          <w:kern w:val="0"/>
          <w:sz w:val="30"/>
          <w:szCs w:val="30"/>
          <w:lang w:eastAsia="zh-CN"/>
        </w:rPr>
        <w:t>2021年</w:t>
      </w:r>
      <w:r>
        <w:rPr>
          <w:rFonts w:hint="eastAsia" w:ascii="宋体" w:hAnsi="宋体" w:eastAsia="宋体" w:cs="宋体"/>
          <w:kern w:val="0"/>
          <w:sz w:val="30"/>
          <w:szCs w:val="30"/>
        </w:rPr>
        <w:t>度实际在职人员41人</w:t>
      </w:r>
      <w:r>
        <w:rPr>
          <w:rFonts w:hint="eastAsia" w:cs="宋体"/>
          <w:kern w:val="0"/>
          <w:sz w:val="30"/>
          <w:szCs w:val="30"/>
          <w:lang w:val="en-US" w:eastAsia="zh-CN"/>
        </w:rPr>
        <w:t>,</w:t>
      </w:r>
      <w:r>
        <w:rPr>
          <w:rFonts w:hint="eastAsia" w:ascii="宋体" w:hAnsi="宋体" w:eastAsia="宋体" w:cs="宋体"/>
          <w:kern w:val="0"/>
          <w:sz w:val="30"/>
          <w:szCs w:val="30"/>
        </w:rPr>
        <w:t>内设</w:t>
      </w:r>
      <w:r>
        <w:rPr>
          <w:rFonts w:hint="eastAsia" w:cs="宋体"/>
          <w:kern w:val="0"/>
          <w:sz w:val="30"/>
          <w:szCs w:val="30"/>
          <w:lang w:val="en-US" w:eastAsia="zh-CN"/>
        </w:rPr>
        <w:t>6</w:t>
      </w:r>
      <w:r>
        <w:rPr>
          <w:rFonts w:hint="eastAsia" w:ascii="宋体" w:hAnsi="宋体" w:eastAsia="宋体" w:cs="宋体"/>
          <w:kern w:val="0"/>
          <w:sz w:val="30"/>
          <w:szCs w:val="30"/>
        </w:rPr>
        <w:t>个职能科(室)，即：</w:t>
      </w:r>
      <w:r>
        <w:rPr>
          <w:rFonts w:hint="eastAsia" w:ascii="宋体" w:hAnsi="宋体" w:eastAsia="宋体" w:cs="宋体"/>
          <w:i w:val="0"/>
          <w:iCs w:val="0"/>
          <w:caps w:val="0"/>
          <w:color w:val="000000"/>
          <w:spacing w:val="0"/>
          <w:sz w:val="30"/>
          <w:szCs w:val="30"/>
          <w:shd w:val="clear" w:fill="FFFFFF"/>
        </w:rPr>
        <w:t>办公室、基层股、社区矫正股、公律股、宣教股、法律援助中心</w:t>
      </w:r>
      <w:r>
        <w:rPr>
          <w:rFonts w:hint="eastAsia" w:ascii="宋体" w:hAnsi="宋体" w:eastAsia="宋体" w:cs="宋体"/>
          <w:kern w:val="0"/>
          <w:sz w:val="30"/>
          <w:szCs w:val="30"/>
        </w:rPr>
        <w:t>。主要职能是：</w:t>
      </w:r>
      <w:r>
        <w:rPr>
          <w:rFonts w:hint="eastAsia" w:ascii="宋体" w:hAnsi="宋体" w:eastAsia="宋体" w:cs="宋体"/>
          <w:i w:val="0"/>
          <w:iCs w:val="0"/>
          <w:caps w:val="0"/>
          <w:color w:val="000000"/>
          <w:spacing w:val="0"/>
          <w:sz w:val="30"/>
          <w:szCs w:val="30"/>
          <w:shd w:val="clear" w:fill="FFFFFF"/>
        </w:rPr>
        <w:t>1、承担全面依法治区重大问题的政策研究，协调有关方面提出全面依法治区中长期规划建议，负责有关重大决策部署督察工作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贯彻执行国家、省、市关于司法行政工作的方针政策和法律法规;编制全区司法行政工作发展规划和年度计划并监督实施</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指导全区规范性文件管理有关工作，承担区政府规范性文件送审稿的合法性审查工作，承办区政府及其各部门规范性文件的登记工作。受理有关规范性文件违法的审查申请。负责乡镇(街道)及其区直各部门规范性文件的备案审查工作。负责区政府规范性文件向市政府和区人大常委会报送备案工作。组织开展规范性文件清理工作。负责区政府法律顾问工作，受区政府委托，草拟、审查有关法律文书。代理民事诉讼和仲裁活动以及其他非诉法律事务，对区政府合同的订立工作进行监督指导，组织实施《邵阳市双清区政府合同管理办法》。负责政府重大合同的审查工作，参与并监督重大政府合同的谈判、起草、签订、备案、履行、争议解决等工作。负责对区政府交予审查的其他民事法律行为进行合法性审查</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承担统筹推进法治政府建设的责任。指导、监督区政府各部门、乡镇(街道)依法行政工作。负责综合协调行政执法，承担推进行政执法体制改革有关工作，推进严格规范公正文明执法。承办区政府作为被申请人的市政府最终裁决的有关行政复议事项。承办行政复议申请的立案审查，受区政府委托出庭应诉。拟订行政复议、行政赔偿制度并组织实施。指导、监督全区行政复议、行政应诉、行政赔偿工作，负责行政复议和行政应诉案件办理工作，提出完善行政复议制度和解决问题的建议。承担区政府行政复议办公室的日常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承担统筹规划全区法治社会建设的责任。负责拟订法治宣传教育规划，组织实施普法宣传工作，组织对外法治宣传。推动人民参与和促进法治建设。指导依法治理和法治创建工作，参与社会治安综合治理工作。指导调解工作和人民陪审员、人民监督员选任管理工作，推进司法所建设</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指导、管理社区矫正工作。指导刑满释放人员帮教安置工作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负责拟订公共法律服务体系建设规划并指导实施，统筹和布局城乡、区域法律服务资源。指导、监督律师、法律援助和基层法律服务管理工作。</w:t>
      </w:r>
      <w:r>
        <w:rPr>
          <w:rFonts w:hint="eastAsia" w:ascii="等线" w:hAnsi="等线" w:eastAsia="等线" w:cs="等线"/>
          <w:i w:val="0"/>
          <w:iCs w:val="0"/>
          <w:caps w:val="0"/>
          <w:color w:val="000000"/>
          <w:spacing w:val="0"/>
          <w:sz w:val="30"/>
          <w:szCs w:val="30"/>
          <w:shd w:val="clear" w:fill="FFFFFF"/>
        </w:rPr>
        <w:t> </w:t>
      </w:r>
      <w:r>
        <w:rPr>
          <w:rFonts w:hint="eastAsia" w:ascii="Arial" w:hAnsi="Arial" w:eastAsia="等线" w:cs="Arial"/>
          <w:i w:val="0"/>
          <w:iCs w:val="0"/>
          <w:caps w:val="0"/>
          <w:color w:val="333333"/>
          <w:spacing w:val="0"/>
          <w:sz w:val="30"/>
          <w:szCs w:val="30"/>
          <w:lang w:val="en-US" w:eastAsia="zh-CN"/>
        </w:rPr>
        <w:t>;</w:t>
      </w:r>
      <w:r>
        <w:rPr>
          <w:rFonts w:hint="eastAsia" w:ascii="宋体" w:hAnsi="宋体" w:eastAsia="宋体" w:cs="宋体"/>
          <w:i w:val="0"/>
          <w:iCs w:val="0"/>
          <w:caps w:val="0"/>
          <w:color w:val="000000"/>
          <w:spacing w:val="0"/>
          <w:sz w:val="30"/>
          <w:szCs w:val="30"/>
          <w:shd w:val="clear" w:fill="FFFFFF"/>
        </w:rPr>
        <w:t>负责全区法治对外合作工作。承担区政府涉外协议等文件的法律审查工作。组织开展法治对外合作交流</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规划、协调、指导法治人才队伍建设相关工作。指导、监督本系统队伍建设</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负责本系统服装、警车等管理工作，指导、监督本系统财务、装备、设施、场所等保障工作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对社区戒毒和社区康复工作提供指导和协助</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完成区委、区政府交办的其他任务。</w:t>
      </w:r>
      <w:r>
        <w:rPr>
          <w:rFonts w:hint="eastAsia" w:ascii="等线" w:hAnsi="等线" w:eastAsia="等线" w:cs="等线"/>
          <w:i w:val="0"/>
          <w:iCs w:val="0"/>
          <w:caps w:val="0"/>
          <w:color w:val="000000"/>
          <w:spacing w:val="0"/>
          <w:sz w:val="30"/>
          <w:szCs w:val="30"/>
          <w:shd w:val="clear" w:fill="FFFFFF"/>
        </w:rPr>
        <w:t>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2021年</w:t>
      </w:r>
      <w:r>
        <w:rPr>
          <w:rFonts w:hint="eastAsia" w:ascii="宋体" w:hAnsi="宋体" w:eastAsia="宋体" w:cs="宋体"/>
          <w:kern w:val="0"/>
          <w:sz w:val="30"/>
          <w:szCs w:val="30"/>
        </w:rPr>
        <w:t>度部门整体支出分为基本支出和项目支出，基本支出用于保障单位正常运转的日常支出，项目支出</w:t>
      </w:r>
      <w:r>
        <w:rPr>
          <w:rFonts w:hint="eastAsia" w:cs="宋体"/>
          <w:kern w:val="0"/>
          <w:sz w:val="30"/>
          <w:szCs w:val="30"/>
          <w:lang w:val="en-US" w:eastAsia="zh-CN"/>
        </w:rPr>
        <w:t>用于司法业务</w:t>
      </w:r>
      <w:r>
        <w:rPr>
          <w:rFonts w:hint="eastAsia" w:ascii="宋体" w:hAnsi="宋体" w:eastAsia="宋体" w:cs="宋体"/>
          <w:kern w:val="0"/>
          <w:sz w:val="30"/>
          <w:szCs w:val="30"/>
        </w:rPr>
        <w:t>管理发生的支出等。</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2021年</w:t>
      </w:r>
      <w:r>
        <w:rPr>
          <w:rFonts w:hint="eastAsia" w:ascii="宋体" w:hAnsi="宋体" w:eastAsia="宋体" w:cs="宋体"/>
          <w:kern w:val="0"/>
          <w:sz w:val="30"/>
          <w:szCs w:val="30"/>
        </w:rPr>
        <w:t>度预算收入</w:t>
      </w:r>
      <w:r>
        <w:rPr>
          <w:rFonts w:hint="eastAsia" w:cs="宋体"/>
          <w:kern w:val="0"/>
          <w:sz w:val="30"/>
          <w:szCs w:val="30"/>
          <w:lang w:val="en-US" w:eastAsia="zh-CN"/>
        </w:rPr>
        <w:t>826.34</w:t>
      </w:r>
      <w:r>
        <w:rPr>
          <w:rFonts w:hint="eastAsia" w:ascii="宋体" w:hAnsi="宋体" w:eastAsia="宋体" w:cs="宋体"/>
          <w:kern w:val="0"/>
          <w:sz w:val="30"/>
          <w:szCs w:val="30"/>
        </w:rPr>
        <w:t>万元，预算支出</w:t>
      </w:r>
      <w:r>
        <w:rPr>
          <w:rFonts w:hint="eastAsia" w:cs="宋体"/>
          <w:kern w:val="0"/>
          <w:sz w:val="30"/>
          <w:szCs w:val="30"/>
          <w:lang w:val="en-US" w:eastAsia="zh-CN"/>
        </w:rPr>
        <w:t>826.34</w:t>
      </w:r>
      <w:r>
        <w:rPr>
          <w:rFonts w:hint="eastAsia" w:ascii="宋体" w:hAnsi="宋体" w:eastAsia="宋体" w:cs="宋体"/>
          <w:kern w:val="0"/>
          <w:sz w:val="30"/>
          <w:szCs w:val="30"/>
        </w:rPr>
        <w:t>万元。预算信息都在邵阳市人民政府门户网站公开，接受社会公众监督。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2021年</w:t>
      </w:r>
      <w:r>
        <w:rPr>
          <w:rFonts w:hint="eastAsia" w:ascii="宋体" w:hAnsi="宋体" w:eastAsia="宋体" w:cs="宋体"/>
          <w:kern w:val="0"/>
          <w:sz w:val="30"/>
          <w:szCs w:val="30"/>
        </w:rPr>
        <w:t>基本支出</w:t>
      </w:r>
      <w:r>
        <w:rPr>
          <w:rFonts w:hint="eastAsia" w:cs="宋体"/>
          <w:kern w:val="0"/>
          <w:sz w:val="30"/>
          <w:szCs w:val="30"/>
          <w:lang w:val="en-US" w:eastAsia="zh-CN"/>
        </w:rPr>
        <w:t>826.34</w:t>
      </w:r>
      <w:r>
        <w:rPr>
          <w:rFonts w:hint="eastAsia" w:ascii="宋体" w:hAnsi="宋体" w:eastAsia="宋体" w:cs="宋体"/>
          <w:kern w:val="0"/>
          <w:sz w:val="30"/>
          <w:szCs w:val="30"/>
        </w:rPr>
        <w:t>万元，其中：工资福利支出</w:t>
      </w:r>
      <w:r>
        <w:rPr>
          <w:rFonts w:hint="eastAsia" w:cs="宋体"/>
          <w:kern w:val="0"/>
          <w:sz w:val="30"/>
          <w:szCs w:val="30"/>
          <w:lang w:val="en-US" w:eastAsia="zh-CN"/>
        </w:rPr>
        <w:t>568.81</w:t>
      </w:r>
      <w:r>
        <w:rPr>
          <w:rFonts w:hint="eastAsia" w:ascii="宋体" w:hAnsi="宋体" w:eastAsia="宋体" w:cs="宋体"/>
          <w:kern w:val="0"/>
          <w:sz w:val="30"/>
          <w:szCs w:val="30"/>
        </w:rPr>
        <w:t>万元，商品和服务支出</w:t>
      </w:r>
      <w:r>
        <w:rPr>
          <w:rFonts w:hint="eastAsia" w:cs="宋体"/>
          <w:kern w:val="0"/>
          <w:sz w:val="30"/>
          <w:szCs w:val="30"/>
          <w:lang w:val="en-US" w:eastAsia="zh-CN"/>
        </w:rPr>
        <w:t>247.64</w:t>
      </w:r>
      <w:r>
        <w:rPr>
          <w:rFonts w:hint="eastAsia" w:ascii="宋体" w:hAnsi="宋体" w:eastAsia="宋体" w:cs="宋体"/>
          <w:kern w:val="0"/>
          <w:sz w:val="30"/>
          <w:szCs w:val="30"/>
        </w:rPr>
        <w:t>万元，对个人和家庭补助支出</w:t>
      </w:r>
      <w:r>
        <w:rPr>
          <w:rFonts w:hint="eastAsia" w:cs="宋体"/>
          <w:kern w:val="0"/>
          <w:sz w:val="30"/>
          <w:szCs w:val="30"/>
          <w:lang w:val="en-US" w:eastAsia="zh-CN"/>
        </w:rPr>
        <w:t>9.89</w:t>
      </w:r>
      <w:r>
        <w:rPr>
          <w:rFonts w:hint="eastAsia" w:ascii="宋体" w:hAnsi="宋体" w:eastAsia="宋体" w:cs="宋体"/>
          <w:kern w:val="0"/>
          <w:sz w:val="30"/>
          <w:szCs w:val="30"/>
        </w:rPr>
        <w:t>万元。响应国家相关政策，厉行节约，严格控制“三公”经费支出，</w:t>
      </w:r>
      <w:r>
        <w:rPr>
          <w:rFonts w:hint="eastAsia" w:cs="宋体"/>
          <w:kern w:val="0"/>
          <w:sz w:val="30"/>
          <w:szCs w:val="30"/>
          <w:lang w:eastAsia="zh-CN"/>
        </w:rPr>
        <w:t>2021年</w:t>
      </w:r>
      <w:r>
        <w:rPr>
          <w:rFonts w:hint="eastAsia" w:ascii="宋体" w:hAnsi="宋体" w:eastAsia="宋体" w:cs="宋体"/>
          <w:kern w:val="0"/>
          <w:sz w:val="30"/>
          <w:szCs w:val="30"/>
        </w:rPr>
        <w:t>“三公”经费共支出</w:t>
      </w:r>
      <w:r>
        <w:rPr>
          <w:rFonts w:hint="eastAsia" w:cs="宋体"/>
          <w:kern w:val="0"/>
          <w:sz w:val="30"/>
          <w:szCs w:val="30"/>
          <w:lang w:val="en-US" w:eastAsia="zh-CN"/>
        </w:rPr>
        <w:t>5.02</w:t>
      </w:r>
      <w:r>
        <w:rPr>
          <w:rFonts w:hint="eastAsia" w:ascii="宋体" w:hAnsi="宋体" w:eastAsia="宋体" w:cs="宋体"/>
          <w:kern w:val="0"/>
          <w:sz w:val="30"/>
          <w:szCs w:val="30"/>
        </w:rPr>
        <w:t>万元，其中：公务用车运行费</w:t>
      </w:r>
      <w:r>
        <w:rPr>
          <w:rFonts w:hint="eastAsia" w:cs="宋体"/>
          <w:kern w:val="0"/>
          <w:sz w:val="30"/>
          <w:szCs w:val="30"/>
          <w:lang w:val="en-US" w:eastAsia="zh-CN"/>
        </w:rPr>
        <w:t>5.02</w:t>
      </w:r>
      <w:r>
        <w:rPr>
          <w:rFonts w:hint="eastAsia" w:ascii="宋体" w:hAnsi="宋体" w:eastAsia="宋体" w:cs="宋体"/>
          <w:kern w:val="0"/>
          <w:sz w:val="30"/>
          <w:szCs w:val="30"/>
        </w:rPr>
        <w:t>万元，公务接待费</w:t>
      </w:r>
      <w:r>
        <w:rPr>
          <w:rFonts w:hint="eastAsia" w:cs="宋体"/>
          <w:kern w:val="0"/>
          <w:sz w:val="30"/>
          <w:szCs w:val="30"/>
          <w:lang w:val="en-US" w:eastAsia="zh-CN"/>
        </w:rPr>
        <w:t>0</w:t>
      </w:r>
      <w:r>
        <w:rPr>
          <w:rFonts w:hint="eastAsia" w:ascii="宋体" w:hAnsi="宋体" w:eastAsia="宋体" w:cs="宋体"/>
          <w:kern w:val="0"/>
          <w:sz w:val="30"/>
          <w:szCs w:val="30"/>
        </w:rPr>
        <w:t>元，比2019年度</w:t>
      </w:r>
      <w:r>
        <w:rPr>
          <w:rFonts w:hint="eastAsia" w:cs="宋体"/>
          <w:kern w:val="0"/>
          <w:sz w:val="30"/>
          <w:szCs w:val="30"/>
          <w:lang w:eastAsia="zh-CN"/>
        </w:rPr>
        <w:t>增加</w:t>
      </w:r>
      <w:r>
        <w:rPr>
          <w:rFonts w:hint="eastAsia" w:ascii="宋体" w:hAnsi="宋体" w:eastAsia="宋体" w:cs="宋体"/>
          <w:kern w:val="0"/>
          <w:sz w:val="30"/>
          <w:szCs w:val="30"/>
        </w:rPr>
        <w:t>了</w:t>
      </w:r>
      <w:r>
        <w:rPr>
          <w:rFonts w:hint="eastAsia" w:cs="宋体"/>
          <w:kern w:val="0"/>
          <w:sz w:val="30"/>
          <w:szCs w:val="30"/>
          <w:lang w:val="en-US" w:eastAsia="zh-CN"/>
        </w:rPr>
        <w:t>550.49</w:t>
      </w:r>
      <w:r>
        <w:rPr>
          <w:rFonts w:hint="eastAsia" w:ascii="宋体" w:hAnsi="宋体" w:eastAsia="宋体" w:cs="宋体"/>
          <w:kern w:val="0"/>
          <w:sz w:val="30"/>
          <w:szCs w:val="30"/>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cs="宋体"/>
          <w:kern w:val="0"/>
          <w:sz w:val="30"/>
          <w:szCs w:val="30"/>
          <w:lang w:eastAsia="zh-CN"/>
        </w:rPr>
        <w:t>2021年</w:t>
      </w:r>
      <w:r>
        <w:rPr>
          <w:rFonts w:hint="eastAsia" w:ascii="宋体" w:hAnsi="宋体" w:eastAsia="宋体" w:cs="宋体"/>
          <w:kern w:val="0"/>
          <w:sz w:val="30"/>
          <w:szCs w:val="30"/>
        </w:rPr>
        <w:t>度用于</w:t>
      </w:r>
      <w:r>
        <w:rPr>
          <w:rFonts w:hint="eastAsia" w:cs="宋体"/>
          <w:kern w:val="0"/>
          <w:sz w:val="30"/>
          <w:szCs w:val="30"/>
          <w:lang w:val="en-US" w:eastAsia="zh-CN"/>
        </w:rPr>
        <w:t>司法业务专项</w:t>
      </w:r>
      <w:r>
        <w:rPr>
          <w:rFonts w:hint="eastAsia" w:ascii="宋体" w:hAnsi="宋体" w:eastAsia="宋体" w:cs="宋体"/>
          <w:kern w:val="0"/>
          <w:sz w:val="30"/>
          <w:szCs w:val="30"/>
        </w:rPr>
        <w:t>费用支出</w:t>
      </w:r>
      <w:r>
        <w:rPr>
          <w:rFonts w:hint="eastAsia" w:cs="宋体"/>
          <w:kern w:val="0"/>
          <w:sz w:val="30"/>
          <w:szCs w:val="30"/>
          <w:lang w:val="en-US" w:eastAsia="zh-CN"/>
        </w:rPr>
        <w:t>0</w:t>
      </w:r>
      <w:r>
        <w:rPr>
          <w:rFonts w:hint="eastAsia" w:ascii="宋体" w:hAnsi="宋体" w:eastAsia="宋体" w:cs="宋体"/>
          <w:kern w:val="0"/>
          <w:sz w:val="30"/>
          <w:szCs w:val="30"/>
        </w:rPr>
        <w:t>万元，结余</w:t>
      </w:r>
      <w:r>
        <w:rPr>
          <w:rFonts w:hint="eastAsia" w:cs="宋体"/>
          <w:kern w:val="0"/>
          <w:sz w:val="30"/>
          <w:szCs w:val="30"/>
          <w:lang w:val="en-US" w:eastAsia="zh-CN"/>
        </w:rPr>
        <w:t>0</w:t>
      </w:r>
      <w:r>
        <w:rPr>
          <w:rFonts w:hint="eastAsia" w:ascii="宋体" w:hAnsi="宋体" w:eastAsia="宋体" w:cs="宋体"/>
          <w:kern w:val="0"/>
          <w:sz w:val="30"/>
          <w:szCs w:val="30"/>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三、资产管理情况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2021年</w:t>
      </w:r>
      <w:r>
        <w:rPr>
          <w:rFonts w:hint="eastAsia" w:ascii="宋体" w:hAnsi="宋体" w:eastAsia="宋体" w:cs="宋体"/>
          <w:kern w:val="0"/>
          <w:sz w:val="30"/>
          <w:szCs w:val="30"/>
        </w:rPr>
        <w:t>固定资产年初数</w:t>
      </w:r>
      <w:r>
        <w:rPr>
          <w:rFonts w:hint="eastAsia" w:cs="宋体"/>
          <w:kern w:val="0"/>
          <w:sz w:val="30"/>
          <w:szCs w:val="30"/>
          <w:lang w:val="en-US" w:eastAsia="zh-CN"/>
        </w:rPr>
        <w:t>292.43</w:t>
      </w:r>
      <w:r>
        <w:rPr>
          <w:rFonts w:hint="eastAsia" w:ascii="宋体" w:hAnsi="宋体" w:eastAsia="宋体" w:cs="宋体"/>
          <w:kern w:val="0"/>
          <w:sz w:val="30"/>
          <w:szCs w:val="30"/>
        </w:rPr>
        <w:t xml:space="preserve">万元，期末数 </w:t>
      </w:r>
      <w:r>
        <w:rPr>
          <w:rFonts w:hint="eastAsia" w:cs="宋体"/>
          <w:kern w:val="0"/>
          <w:sz w:val="30"/>
          <w:szCs w:val="30"/>
          <w:lang w:val="en-US" w:eastAsia="zh-CN"/>
        </w:rPr>
        <w:t>292.69</w:t>
      </w:r>
      <w:r>
        <w:rPr>
          <w:rFonts w:hint="eastAsia" w:ascii="宋体" w:hAnsi="宋体" w:eastAsia="宋体" w:cs="宋体"/>
          <w:kern w:val="0"/>
          <w:sz w:val="30"/>
          <w:szCs w:val="30"/>
        </w:rPr>
        <w:t>万元。为了更好的加强单位资产管理，健全管理制度，保障国有资产的完整和安全，结合我站实际制定了本单位财务管理制度，将国有资产分类管理，专人负责，做到产权清晰，账、表、实、卡相符，资产保存、处置合理、规范。</w:t>
      </w:r>
      <w:bookmarkStart w:id="1" w:name="_GoBack"/>
      <w:bookmarkEnd w:id="1"/>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绩效评价工作情况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根据财政局下发的《邵阳市财政局关于开展</w:t>
      </w:r>
      <w:r>
        <w:rPr>
          <w:rFonts w:hint="eastAsia" w:cs="宋体"/>
          <w:kern w:val="0"/>
          <w:sz w:val="30"/>
          <w:szCs w:val="30"/>
          <w:lang w:eastAsia="zh-CN"/>
        </w:rPr>
        <w:t>2021年</w:t>
      </w:r>
      <w:r>
        <w:rPr>
          <w:rFonts w:hint="eastAsia" w:ascii="宋体" w:hAnsi="宋体" w:eastAsia="宋体" w:cs="宋体"/>
          <w:kern w:val="0"/>
          <w:sz w:val="30"/>
          <w:szCs w:val="30"/>
        </w:rPr>
        <w:t>度部门整体支出绩效自评工作的通知》，我局对本单位的预算配置、预算执行、预算管理、资产管理、绩效管理、职责履行、履职效益等方面的执行情况进行了自评，形成了评价结论。</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b/>
          <w:bCs w:val="0"/>
          <w:kern w:val="0"/>
          <w:sz w:val="30"/>
          <w:szCs w:val="30"/>
        </w:rPr>
      </w:pPr>
      <w:r>
        <w:rPr>
          <w:rFonts w:hint="eastAsia" w:ascii="宋体" w:hAnsi="宋体" w:eastAsia="宋体" w:cs="宋体"/>
          <w:kern w:val="0"/>
          <w:sz w:val="30"/>
          <w:szCs w:val="30"/>
        </w:rPr>
        <w:t>202</w:t>
      </w:r>
      <w:r>
        <w:rPr>
          <w:rFonts w:hint="eastAsia" w:cs="宋体"/>
          <w:kern w:val="0"/>
          <w:sz w:val="30"/>
          <w:szCs w:val="30"/>
          <w:lang w:val="en-US" w:eastAsia="zh-CN"/>
        </w:rPr>
        <w:t>1</w:t>
      </w:r>
      <w:r>
        <w:rPr>
          <w:rFonts w:hint="eastAsia" w:ascii="宋体" w:hAnsi="宋体" w:eastAsia="宋体" w:cs="宋体"/>
          <w:kern w:val="0"/>
          <w:sz w:val="30"/>
          <w:szCs w:val="30"/>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cs="宋体"/>
          <w:kern w:val="0"/>
          <w:sz w:val="30"/>
          <w:szCs w:val="30"/>
          <w:lang w:val="en-US" w:eastAsia="zh-CN"/>
        </w:rPr>
        <w:t>1</w:t>
      </w:r>
      <w:r>
        <w:rPr>
          <w:rFonts w:hint="eastAsia" w:ascii="宋体" w:hAnsi="宋体" w:eastAsia="宋体" w:cs="宋体"/>
          <w:kern w:val="0"/>
          <w:sz w:val="30"/>
          <w:szCs w:val="30"/>
        </w:rPr>
        <w:t>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六、部门整体支出主要绩效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lang w:eastAsia="zh-CN"/>
        </w:rPr>
        <w:t>202</w:t>
      </w:r>
      <w:r>
        <w:rPr>
          <w:rFonts w:hint="eastAsia" w:cs="宋体"/>
          <w:kern w:val="0"/>
          <w:sz w:val="30"/>
          <w:szCs w:val="30"/>
          <w:lang w:val="en-US" w:eastAsia="zh-CN"/>
        </w:rPr>
        <w:t>1</w:t>
      </w:r>
      <w:r>
        <w:rPr>
          <w:rFonts w:hint="eastAsia" w:ascii="宋体" w:hAnsi="宋体" w:eastAsia="宋体" w:cs="宋体"/>
          <w:kern w:val="0"/>
          <w:sz w:val="30"/>
          <w:szCs w:val="30"/>
          <w:lang w:eastAsia="zh-CN"/>
        </w:rPr>
        <w:t>年</w:t>
      </w:r>
      <w:r>
        <w:rPr>
          <w:rFonts w:hint="eastAsia" w:ascii="宋体" w:hAnsi="宋体" w:eastAsia="宋体" w:cs="宋体"/>
          <w:kern w:val="0"/>
          <w:sz w:val="30"/>
          <w:szCs w:val="30"/>
        </w:rPr>
        <w:t>，双清区司法局认真贯彻落实区委、区政府和省司法厅和市司法局的决策部署，真抓实干，攻坚克难，统筹推进司法行政各项工作，取得了明显成效。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是维稳安保工作取得新突破。深入开展“规范文明执法教育整顿”、“大排查大整治大评估”等专项活动。从严落实社区矫正监管措施，引入信息化手段强化社区服刑人员动态监管，常态化实施行为规范教育；落实帮扶措施，安置帮教刑释人员,减少社会不稳定因素。深入开展专项调解活动，有力调处各类矛盾纠纷。</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是法律服务保障迈出新步伐。加大普法工作保障力度，落实“谁执法谁普法”责任制，全区学法考法参考率、及格率达标。加强法律援助，扎实保障和服务民生。公共法律服务实体平台实现全覆盖，公共法律服务体系进一步健全。全区乡镇（街道）、村（社区）全部建成公共法律服务站（点）。选优配强法律服务力量，开展民营企业和中小微企业免费法律体检活动，推进一村（社区）一法律顾问工作，推进“万名律师乡村（社区）行”专项活动，切实服务经济社会发展。全区律师积极担任企业法律顾问，为重点企业、重点项目提供了良好的服务，有效优化经济社会环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三是深化改革取得新成果。深入推进律师调解试点、社区矫正制度、完善法律援助制度，深化人民监督员、人民陪审员改革，为司法行政事业发展增添了强劲动力。</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四是基层基础再上新台阶。通过招录、培养、选调和政府购买服务等多种途径充实司法力量，有力推进基层司法行政工作开展。社区矫正管理系统全部上线运行，“数字法治、智慧司法”加速推进。司法所标准化、规范化建设不断加强，基层基础建设水平进一步提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七、存在的问题</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（一）财务管理需进一步规范。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（二）固定资产管理需进一步规范。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（三）预算编制工作需进一步规范。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八、改进措施和有关建议</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1、根据当前国家有关政策的变化进一步完善财务管理规章制度，做到有章可循。</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2、要做好公用经费和“三公”经费的管理，确保资金使用的合法、合理、合规性。</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3、加强经费审批和控制，规范支出标准和范围。</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4、通过对固定资产进行清查、盘点，做到账实、账账相符，及时做好固定资产的核销工作。</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5、提高固定资产的使用效益，如办公用房的管理、公务用车的管理等。</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6、提高预算的科学性。预算编制要结合人员、工作任务、岗位性质等因素，提高预算编制的准确性、合理性。切实做到收支平衡。</w:t>
      </w:r>
    </w:p>
    <w:p>
      <w:pPr>
        <w:ind w:firstLine="600" w:firstLineChars="200"/>
        <w:rPr>
          <w:rFonts w:hint="eastAsia" w:ascii="宋体" w:hAnsi="宋体" w:eastAsia="宋体" w:cs="宋体"/>
          <w:spacing w:val="0"/>
          <w:kern w:val="0"/>
          <w:sz w:val="30"/>
          <w:szCs w:val="30"/>
        </w:rPr>
      </w:pPr>
      <w:r>
        <w:rPr>
          <w:rFonts w:hint="eastAsia" w:ascii="宋体" w:hAnsi="宋体" w:eastAsia="宋体" w:cs="宋体"/>
          <w:spacing w:val="0"/>
          <w:kern w:val="0"/>
          <w:sz w:val="30"/>
          <w:szCs w:val="30"/>
        </w:rPr>
        <w:t>7、加大预算的刚性执行力度，费用使用做到先预算后使用。</w:t>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度非税实际收入完成数/</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F12C1"/>
    <w:multiLevelType w:val="singleLevel"/>
    <w:tmpl w:val="444F12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GFjYTBmOWFjNzk1OTFiMzQyYTNiMzZmMWY3ZTcifQ=="/>
  </w:docVars>
  <w:rsids>
    <w:rsidRoot w:val="00000000"/>
    <w:rsid w:val="0BE67068"/>
    <w:rsid w:val="331932AB"/>
    <w:rsid w:val="3A0032F9"/>
    <w:rsid w:val="3BD95401"/>
    <w:rsid w:val="3CC96E22"/>
    <w:rsid w:val="3EBE6EBB"/>
    <w:rsid w:val="5B7C1C76"/>
    <w:rsid w:val="685112F1"/>
    <w:rsid w:val="724D41D7"/>
    <w:rsid w:val="77B1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paragraph" w:customStyle="1" w:styleId="8">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5771</Words>
  <Characters>6021</Characters>
  <Lines>0</Lines>
  <Paragraphs>0</Paragraphs>
  <TotalTime>2</TotalTime>
  <ScaleCrop>false</ScaleCrop>
  <LinksUpToDate>false</LinksUpToDate>
  <CharactersWithSpaces>6177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双双</cp:lastModifiedBy>
  <dcterms:modified xsi:type="dcterms:W3CDTF">2022-10-11T23:52:23Z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A0C5BBCB79124E30AFB134F0711CD31B</vt:lpwstr>
  </property>
</Properties>
</file>