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spacing w:val="-4"/>
          <w:kern w:val="0"/>
          <w:szCs w:val="21"/>
        </w:rPr>
        <w:t>部门：桥头街道办事处单位</w:t>
      </w:r>
      <w:r>
        <w:rPr>
          <w:rFonts w:ascii="Times New Roman" w:hAnsi="Times New Roman" w:eastAsia="仿宋_GB2312" w:cs="Times New Roman"/>
          <w:color w:val="000000"/>
          <w:spacing w:val="-10"/>
          <w:kern w:val="0"/>
          <w:szCs w:val="21"/>
        </w:rPr>
        <w:t xml:space="preserve">  </w:t>
      </w:r>
      <w:r>
        <w:rPr>
          <w:rFonts w:ascii="Times New Roman" w:hAnsi="Times New Roman" w:eastAsia="仿宋_GB2312" w:cs="Times New Roman"/>
          <w:color w:val="000000"/>
          <w:spacing w:val="-20"/>
          <w:kern w:val="0"/>
          <w:szCs w:val="21"/>
        </w:rPr>
        <w:t xml:space="preserve">                                                                                           </w:t>
      </w:r>
      <w:r>
        <w:rPr>
          <w:rFonts w:hint="eastAsia" w:ascii="Times New Roman" w:hAnsi="Times New Roman" w:eastAsia="仿宋_GB2312" w:cs="Times New Roman"/>
          <w:color w:val="000000"/>
          <w:spacing w:val="-20"/>
          <w:kern w:val="0"/>
          <w:szCs w:val="21"/>
        </w:rPr>
        <w:t xml:space="preserve">                                                 </w:t>
      </w:r>
      <w:r>
        <w:rPr>
          <w:rFonts w:ascii="Times New Roman" w:hAnsi="Times New Roman" w:eastAsia="仿宋_GB2312" w:cs="Times New Roman"/>
          <w:color w:val="000000"/>
          <w:spacing w:val="-20"/>
          <w:kern w:val="0"/>
          <w:szCs w:val="21"/>
        </w:rPr>
        <w:t xml:space="preserve">        </w:t>
      </w:r>
      <w:r>
        <w:rPr>
          <w:rFonts w:hint="eastAsia" w:ascii="Times New Roman" w:hAnsi="Times New Roman" w:eastAsia="仿宋_GB2312" w:cs="Times New Roman"/>
          <w:color w:val="000000"/>
          <w:spacing w:val="-20"/>
          <w:kern w:val="0"/>
          <w:szCs w:val="21"/>
        </w:rPr>
        <w:t xml:space="preserve">    </w:t>
      </w:r>
      <w:r>
        <w:rPr>
          <w:rFonts w:ascii="Times New Roman" w:hAnsi="Times New Roman" w:eastAsia="仿宋_GB2312" w:cs="Times New Roman"/>
          <w:color w:val="000000"/>
          <w:spacing w:val="-2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6"/>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spacing w:line="400" w:lineRule="exac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861.77　</w:t>
            </w:r>
          </w:p>
        </w:tc>
        <w:tc>
          <w:tcPr>
            <w:tcW w:w="4820"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470.22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二、灾害防治及应急管理支出</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1.34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三、住房保障支出</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30.95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四、城乡社区支出</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54.43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五、社会保障和就业支出</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257.2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六、卫生健康支出</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47.64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ascii="Times New Roman" w:hAnsi="Times New Roman" w:eastAsia="仿宋_GB2312" w:cs="Times New Roman"/>
                <w:kern w:val="0"/>
                <w:szCs w:val="21"/>
              </w:rPr>
              <w:t>……</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861.77　</w:t>
            </w:r>
          </w:p>
        </w:tc>
        <w:tc>
          <w:tcPr>
            <w:tcW w:w="4820"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spacing w:line="400" w:lineRule="exact"/>
              <w:jc w:val="left"/>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　861.77</w:t>
            </w:r>
          </w:p>
        </w:tc>
      </w:tr>
    </w:tbl>
    <w:p>
      <w:pPr>
        <w:widowControl/>
        <w:spacing w:line="400" w:lineRule="exact"/>
        <w:jc w:val="left"/>
        <w:rPr>
          <w:rFonts w:ascii="Times New Roman" w:hAnsi="Times New Roman" w:eastAsia="黑体" w:cs="Times New Roman"/>
          <w:bCs/>
          <w:kern w:val="0"/>
          <w:sz w:val="32"/>
          <w:szCs w:val="32"/>
        </w:rPr>
      </w:pPr>
      <w:r>
        <w:rPr>
          <w:rFonts w:hint="eastAsia" w:ascii="Times New Roman" w:hAnsi="Times New Roman" w:eastAsia="仿宋_GB2312" w:cs="Times New Roman"/>
          <w:kern w:val="0"/>
          <w:szCs w:val="21"/>
        </w:rPr>
        <w:t>注：本表反映部门本年度的总收支和年末结转结余情况。</w:t>
      </w:r>
      <w:r>
        <w:rPr>
          <w:rFonts w:ascii="Times New Roman" w:hAnsi="Times New Roman" w:eastAsia="黑体" w:cs="Times New Roman"/>
          <w:bCs/>
          <w:kern w:val="0"/>
          <w:sz w:val="32"/>
          <w:szCs w:val="32"/>
        </w:rPr>
        <w:br w:type="page"/>
      </w:r>
    </w:p>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桥头街道办事处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3813" w:type="dxa"/>
        <w:jc w:val="center"/>
        <w:tblLayout w:type="autofit"/>
        <w:tblCellMar>
          <w:top w:w="0" w:type="dxa"/>
          <w:left w:w="108" w:type="dxa"/>
          <w:bottom w:w="0" w:type="dxa"/>
          <w:right w:w="108" w:type="dxa"/>
        </w:tblCellMar>
      </w:tblPr>
      <w:tblGrid>
        <w:gridCol w:w="1193"/>
        <w:gridCol w:w="2126"/>
        <w:gridCol w:w="992"/>
        <w:gridCol w:w="1560"/>
        <w:gridCol w:w="1559"/>
        <w:gridCol w:w="1284"/>
        <w:gridCol w:w="1412"/>
        <w:gridCol w:w="1676"/>
        <w:gridCol w:w="2011"/>
      </w:tblGrid>
      <w:tr>
        <w:tblPrEx>
          <w:tblCellMar>
            <w:top w:w="0" w:type="dxa"/>
            <w:left w:w="108" w:type="dxa"/>
            <w:bottom w:w="0" w:type="dxa"/>
            <w:right w:w="108" w:type="dxa"/>
          </w:tblCellMar>
        </w:tblPrEx>
        <w:trPr>
          <w:trHeight w:val="450" w:hRule="atLeast"/>
          <w:jc w:val="center"/>
        </w:trPr>
        <w:tc>
          <w:tcPr>
            <w:tcW w:w="3319"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99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560"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559"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284"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193"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212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6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5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8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3"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212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99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60"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59"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84"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3319"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99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8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3319"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861.77</w:t>
            </w:r>
            <w:r>
              <w:rPr>
                <w:rFonts w:ascii="Times New Roman" w:hAnsi="Times New Roman" w:eastAsia="仿宋_GB2312" w:cs="Times New Roman"/>
                <w:kern w:val="0"/>
                <w:szCs w:val="21"/>
              </w:rPr>
              <w:t>　</w:t>
            </w:r>
          </w:p>
        </w:tc>
        <w:tc>
          <w:tcPr>
            <w:tcW w:w="1560" w:type="dxa"/>
            <w:tcBorders>
              <w:top w:val="nil"/>
              <w:left w:val="nil"/>
              <w:bottom w:val="single" w:color="auto" w:sz="4" w:space="0"/>
              <w:right w:val="single" w:color="auto" w:sz="4" w:space="0"/>
            </w:tcBorders>
            <w:shd w:val="clear" w:color="auto" w:fill="auto"/>
            <w:noWrap/>
            <w:vAlign w:val="center"/>
          </w:tcPr>
          <w:p>
            <w:pPr>
              <w:widowControl/>
              <w:ind w:right="315"/>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861.77</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3"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201</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一般公共服务支出</w:t>
            </w:r>
            <w:r>
              <w:rPr>
                <w:rFonts w:ascii="Times New Roman" w:hAnsi="Times New Roman" w:eastAsia="仿宋_GB2312" w:cs="Times New Roman"/>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470.22</w:t>
            </w:r>
            <w:r>
              <w:rPr>
                <w:rFonts w:ascii="Times New Roman" w:hAnsi="Times New Roman" w:eastAsia="仿宋_GB2312" w:cs="Times New Roman"/>
                <w:kern w:val="0"/>
                <w:szCs w:val="21"/>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470.22</w:t>
            </w:r>
            <w:r>
              <w:rPr>
                <w:rFonts w:ascii="Times New Roman" w:hAnsi="Times New Roman" w:eastAsia="仿宋_GB2312" w:cs="Times New Roman"/>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3"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社会保障和就业支出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257.2</w:t>
            </w:r>
            <w:r>
              <w:rPr>
                <w:rFonts w:ascii="Times New Roman" w:hAnsi="Times New Roman" w:eastAsia="仿宋_GB2312" w:cs="Times New Roman"/>
                <w:kern w:val="0"/>
                <w:szCs w:val="21"/>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257.2</w:t>
            </w:r>
            <w:r>
              <w:rPr>
                <w:rFonts w:ascii="Times New Roman" w:hAnsi="Times New Roman" w:eastAsia="仿宋_GB2312" w:cs="Times New Roman"/>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3"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210</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卫生健康支出</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47.64</w:t>
            </w:r>
            <w:r>
              <w:rPr>
                <w:rFonts w:ascii="Times New Roman" w:hAnsi="Times New Roman" w:eastAsia="仿宋_GB2312" w:cs="Times New Roman"/>
                <w:kern w:val="0"/>
                <w:szCs w:val="21"/>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47.64</w:t>
            </w:r>
            <w:r>
              <w:rPr>
                <w:rFonts w:ascii="Times New Roman" w:hAnsi="Times New Roman" w:eastAsia="仿宋_GB2312" w:cs="Times New Roman"/>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3"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212</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城乡社区支出</w:t>
            </w:r>
            <w:r>
              <w:rPr>
                <w:rFonts w:ascii="Times New Roman" w:hAnsi="Times New Roman" w:eastAsia="仿宋_GB2312" w:cs="Times New Roman"/>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54.43</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54.43</w:t>
            </w:r>
            <w:r>
              <w:rPr>
                <w:rFonts w:ascii="Times New Roman" w:hAnsi="Times New Roman" w:eastAsia="仿宋_GB2312" w:cs="Times New Roman"/>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3"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221</w:t>
            </w:r>
          </w:p>
        </w:tc>
        <w:tc>
          <w:tcPr>
            <w:tcW w:w="2126"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住房保障支出</w:t>
            </w:r>
            <w:r>
              <w:rPr>
                <w:rFonts w:ascii="Times New Roman" w:hAnsi="Times New Roman" w:eastAsia="仿宋_GB2312" w:cs="Times New Roman"/>
                <w:kern w:val="0"/>
                <w:szCs w:val="21"/>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30.95</w:t>
            </w:r>
          </w:p>
        </w:tc>
        <w:tc>
          <w:tcPr>
            <w:tcW w:w="1560"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30.95</w:t>
            </w:r>
            <w:r>
              <w:rPr>
                <w:rFonts w:ascii="Times New Roman" w:hAnsi="Times New Roman" w:eastAsia="仿宋_GB2312" w:cs="Times New Roman"/>
                <w:kern w:val="0"/>
                <w:szCs w:val="21"/>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84"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3"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224</w:t>
            </w:r>
          </w:p>
        </w:tc>
        <w:tc>
          <w:tcPr>
            <w:tcW w:w="2126" w:type="dxa"/>
            <w:tcBorders>
              <w:top w:val="nil"/>
              <w:left w:val="nil"/>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灾害防治及应急管理支出</w:t>
            </w:r>
            <w:r>
              <w:rPr>
                <w:rFonts w:ascii="Times New Roman" w:hAnsi="Times New Roman" w:eastAsia="仿宋_GB2312" w:cs="Times New Roman"/>
                <w:kern w:val="0"/>
                <w:szCs w:val="21"/>
              </w:rPr>
              <w:t>　</w:t>
            </w:r>
          </w:p>
        </w:tc>
        <w:tc>
          <w:tcPr>
            <w:tcW w:w="99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1.34</w:t>
            </w:r>
          </w:p>
        </w:tc>
        <w:tc>
          <w:tcPr>
            <w:tcW w:w="1560"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1.34</w:t>
            </w:r>
            <w:r>
              <w:rPr>
                <w:rFonts w:ascii="Times New Roman" w:hAnsi="Times New Roman" w:eastAsia="仿宋_GB2312" w:cs="Times New Roman"/>
                <w:kern w:val="0"/>
                <w:szCs w:val="21"/>
              </w:rPr>
              <w:t>　</w:t>
            </w:r>
          </w:p>
        </w:tc>
        <w:tc>
          <w:tcPr>
            <w:tcW w:w="1559"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84"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部门：</w:t>
      </w:r>
      <w:r>
        <w:rPr>
          <w:rFonts w:hint="eastAsia" w:ascii="Times New Roman" w:hAnsi="Times New Roman" w:eastAsia="仿宋_GB2312" w:cs="Times New Roman"/>
          <w:color w:val="000000"/>
          <w:kern w:val="0"/>
          <w:szCs w:val="21"/>
        </w:rPr>
        <w:t>桥头街道办事处</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6"/>
        <w:tblW w:w="1421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02"/>
        <w:gridCol w:w="2559"/>
        <w:gridCol w:w="1276"/>
        <w:gridCol w:w="1299"/>
        <w:gridCol w:w="1842"/>
        <w:gridCol w:w="1843"/>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66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276"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299"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84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4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2559"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276"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29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55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276"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29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661"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276"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99"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3661"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76"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861.77</w:t>
            </w:r>
            <w:r>
              <w:rPr>
                <w:rFonts w:ascii="Times New Roman" w:hAnsi="Times New Roman" w:eastAsia="仿宋_GB2312" w:cs="Times New Roman"/>
                <w:kern w:val="0"/>
                <w:szCs w:val="21"/>
              </w:rPr>
              <w:t>　</w:t>
            </w:r>
          </w:p>
        </w:tc>
        <w:tc>
          <w:tcPr>
            <w:tcW w:w="1299"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861.77</w:t>
            </w: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201</w:t>
            </w:r>
          </w:p>
        </w:tc>
        <w:tc>
          <w:tcPr>
            <w:tcW w:w="2559"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一般公共服务支出</w:t>
            </w:r>
            <w:r>
              <w:rPr>
                <w:rFonts w:ascii="Times New Roman" w:hAnsi="Times New Roman" w:eastAsia="仿宋_GB2312" w:cs="Times New Roman"/>
                <w:kern w:val="0"/>
                <w:szCs w:val="21"/>
              </w:rPr>
              <w:t>　</w:t>
            </w:r>
          </w:p>
        </w:tc>
        <w:tc>
          <w:tcPr>
            <w:tcW w:w="1276"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470.22</w:t>
            </w:r>
            <w:r>
              <w:rPr>
                <w:rFonts w:ascii="Times New Roman" w:hAnsi="Times New Roman" w:eastAsia="仿宋_GB2312" w:cs="Times New Roman"/>
                <w:kern w:val="0"/>
                <w:szCs w:val="21"/>
              </w:rPr>
              <w:t>　</w:t>
            </w:r>
          </w:p>
        </w:tc>
        <w:tc>
          <w:tcPr>
            <w:tcW w:w="1299"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470.22</w:t>
            </w: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w:t>
            </w:r>
          </w:p>
        </w:tc>
        <w:tc>
          <w:tcPr>
            <w:tcW w:w="2559"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社会保障和就业支出</w:t>
            </w:r>
          </w:p>
        </w:tc>
        <w:tc>
          <w:tcPr>
            <w:tcW w:w="1276"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257.2</w:t>
            </w:r>
            <w:r>
              <w:rPr>
                <w:rFonts w:ascii="Times New Roman" w:hAnsi="Times New Roman" w:eastAsia="仿宋_GB2312" w:cs="Times New Roman"/>
                <w:kern w:val="0"/>
                <w:szCs w:val="21"/>
              </w:rPr>
              <w:t>　</w:t>
            </w:r>
          </w:p>
        </w:tc>
        <w:tc>
          <w:tcPr>
            <w:tcW w:w="1299"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257.2</w:t>
            </w: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210</w:t>
            </w:r>
          </w:p>
        </w:tc>
        <w:tc>
          <w:tcPr>
            <w:tcW w:w="2559"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卫生健康支出</w:t>
            </w:r>
          </w:p>
        </w:tc>
        <w:tc>
          <w:tcPr>
            <w:tcW w:w="1276"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47.64</w:t>
            </w:r>
            <w:r>
              <w:rPr>
                <w:rFonts w:ascii="Times New Roman" w:hAnsi="Times New Roman" w:eastAsia="仿宋_GB2312" w:cs="Times New Roman"/>
                <w:kern w:val="0"/>
                <w:szCs w:val="21"/>
              </w:rPr>
              <w:t>　</w:t>
            </w:r>
          </w:p>
        </w:tc>
        <w:tc>
          <w:tcPr>
            <w:tcW w:w="1299"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47.64</w:t>
            </w: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212</w:t>
            </w:r>
          </w:p>
        </w:tc>
        <w:tc>
          <w:tcPr>
            <w:tcW w:w="2559"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城乡社区支出</w:t>
            </w:r>
            <w:r>
              <w:rPr>
                <w:rFonts w:ascii="Times New Roman" w:hAnsi="Times New Roman" w:eastAsia="仿宋_GB2312" w:cs="Times New Roman"/>
                <w:kern w:val="0"/>
                <w:szCs w:val="21"/>
              </w:rPr>
              <w:t>　</w:t>
            </w:r>
          </w:p>
        </w:tc>
        <w:tc>
          <w:tcPr>
            <w:tcW w:w="1276"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54.43</w:t>
            </w:r>
          </w:p>
        </w:tc>
        <w:tc>
          <w:tcPr>
            <w:tcW w:w="1299"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54.43</w:t>
            </w: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221</w:t>
            </w:r>
          </w:p>
        </w:tc>
        <w:tc>
          <w:tcPr>
            <w:tcW w:w="2559"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住房保障支出</w:t>
            </w:r>
            <w:r>
              <w:rPr>
                <w:rFonts w:ascii="Times New Roman" w:hAnsi="Times New Roman" w:eastAsia="仿宋_GB2312" w:cs="Times New Roman"/>
                <w:kern w:val="0"/>
                <w:szCs w:val="21"/>
              </w:rPr>
              <w:t>　</w:t>
            </w:r>
          </w:p>
        </w:tc>
        <w:tc>
          <w:tcPr>
            <w:tcW w:w="1276"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30.95</w:t>
            </w:r>
          </w:p>
        </w:tc>
        <w:tc>
          <w:tcPr>
            <w:tcW w:w="1299"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30.95</w:t>
            </w: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224</w:t>
            </w:r>
          </w:p>
        </w:tc>
        <w:tc>
          <w:tcPr>
            <w:tcW w:w="2559"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灾害防治及应急管理支出</w:t>
            </w:r>
            <w:r>
              <w:rPr>
                <w:rFonts w:ascii="Times New Roman" w:hAnsi="Times New Roman" w:eastAsia="仿宋_GB2312" w:cs="Times New Roman"/>
                <w:kern w:val="0"/>
                <w:szCs w:val="21"/>
              </w:rPr>
              <w:t>　</w:t>
            </w:r>
          </w:p>
        </w:tc>
        <w:tc>
          <w:tcPr>
            <w:tcW w:w="1276"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1.34</w:t>
            </w:r>
          </w:p>
        </w:tc>
        <w:tc>
          <w:tcPr>
            <w:tcW w:w="1299"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1.34</w:t>
            </w: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桥头街道办事处</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6"/>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spacing w:line="300" w:lineRule="exact"/>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noWrap/>
            <w:vAlign w:val="center"/>
          </w:tcPr>
          <w:p>
            <w:pPr>
              <w:widowControl/>
              <w:spacing w:line="300" w:lineRule="exact"/>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spacing w:line="300" w:lineRule="exact"/>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spacing w:line="300" w:lineRule="exact"/>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noWrap/>
            <w:vAlign w:val="center"/>
          </w:tcPr>
          <w:p>
            <w:pPr>
              <w:widowControl/>
              <w:spacing w:line="300" w:lineRule="exact"/>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spacing w:line="300" w:lineRule="exact"/>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spacing w:line="300" w:lineRule="exact"/>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spacing w:line="300" w:lineRule="exact"/>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861.77</w:t>
            </w:r>
            <w:r>
              <w:rPr>
                <w:rFonts w:ascii="Times New Roman" w:hAnsi="Times New Roman" w:eastAsia="仿宋_GB2312" w:cs="Times New Roman"/>
                <w:kern w:val="0"/>
                <w:szCs w:val="21"/>
              </w:rPr>
              <w:t>　</w:t>
            </w:r>
          </w:p>
        </w:tc>
        <w:tc>
          <w:tcPr>
            <w:tcW w:w="3761" w:type="dxa"/>
            <w:shd w:val="clear" w:color="auto" w:fill="auto"/>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470.22　</w:t>
            </w:r>
          </w:p>
        </w:tc>
        <w:tc>
          <w:tcPr>
            <w:tcW w:w="1660" w:type="dxa"/>
            <w:shd w:val="clear" w:color="auto" w:fill="auto"/>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470.22　</w:t>
            </w:r>
          </w:p>
        </w:tc>
        <w:tc>
          <w:tcPr>
            <w:tcW w:w="1572"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二、灾害防治及应急管理支出</w:t>
            </w:r>
          </w:p>
        </w:tc>
        <w:tc>
          <w:tcPr>
            <w:tcW w:w="430" w:type="dxa"/>
            <w:shd w:val="clear" w:color="auto" w:fill="auto"/>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1.34　</w:t>
            </w:r>
          </w:p>
        </w:tc>
        <w:tc>
          <w:tcPr>
            <w:tcW w:w="1660" w:type="dxa"/>
            <w:shd w:val="clear" w:color="auto" w:fill="auto"/>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1.34　</w:t>
            </w:r>
          </w:p>
        </w:tc>
        <w:tc>
          <w:tcPr>
            <w:tcW w:w="1572"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三、住房保障支出</w:t>
            </w:r>
          </w:p>
        </w:tc>
        <w:tc>
          <w:tcPr>
            <w:tcW w:w="430" w:type="dxa"/>
            <w:shd w:val="clear" w:color="auto" w:fill="auto"/>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30.95　</w:t>
            </w:r>
          </w:p>
        </w:tc>
        <w:tc>
          <w:tcPr>
            <w:tcW w:w="1660" w:type="dxa"/>
            <w:shd w:val="clear" w:color="auto" w:fill="auto"/>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30.95　</w:t>
            </w:r>
          </w:p>
        </w:tc>
        <w:tc>
          <w:tcPr>
            <w:tcW w:w="1572"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四、城乡社区支出</w:t>
            </w:r>
          </w:p>
        </w:tc>
        <w:tc>
          <w:tcPr>
            <w:tcW w:w="430" w:type="dxa"/>
            <w:shd w:val="clear" w:color="auto" w:fill="auto"/>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54.43　</w:t>
            </w:r>
          </w:p>
        </w:tc>
        <w:tc>
          <w:tcPr>
            <w:tcW w:w="1660" w:type="dxa"/>
            <w:shd w:val="clear" w:color="auto" w:fill="auto"/>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54.43　</w:t>
            </w:r>
          </w:p>
        </w:tc>
        <w:tc>
          <w:tcPr>
            <w:tcW w:w="1572"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五、社会保障和就业支出</w:t>
            </w:r>
          </w:p>
        </w:tc>
        <w:tc>
          <w:tcPr>
            <w:tcW w:w="430" w:type="dxa"/>
            <w:shd w:val="clear" w:color="auto" w:fill="auto"/>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257.2　</w:t>
            </w:r>
          </w:p>
        </w:tc>
        <w:tc>
          <w:tcPr>
            <w:tcW w:w="1660" w:type="dxa"/>
            <w:shd w:val="clear" w:color="auto" w:fill="auto"/>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257.2　</w:t>
            </w:r>
          </w:p>
        </w:tc>
        <w:tc>
          <w:tcPr>
            <w:tcW w:w="1572"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六、卫生健康支出</w:t>
            </w:r>
          </w:p>
        </w:tc>
        <w:tc>
          <w:tcPr>
            <w:tcW w:w="430" w:type="dxa"/>
            <w:shd w:val="clear" w:color="auto" w:fill="auto"/>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47.64　</w:t>
            </w:r>
          </w:p>
        </w:tc>
        <w:tc>
          <w:tcPr>
            <w:tcW w:w="1660" w:type="dxa"/>
            <w:shd w:val="clear" w:color="auto" w:fill="auto"/>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47.64　</w:t>
            </w:r>
          </w:p>
        </w:tc>
        <w:tc>
          <w:tcPr>
            <w:tcW w:w="1572"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spacing w:line="400" w:lineRule="exact"/>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ascii="Times New Roman" w:hAnsi="Times New Roman" w:eastAsia="仿宋_GB2312" w:cs="Times New Roman"/>
                <w:kern w:val="0"/>
                <w:szCs w:val="21"/>
              </w:rPr>
              <w:t>……</w:t>
            </w:r>
          </w:p>
        </w:tc>
        <w:tc>
          <w:tcPr>
            <w:tcW w:w="430" w:type="dxa"/>
            <w:shd w:val="clear" w:color="auto" w:fill="auto"/>
            <w:noWrap/>
            <w:vAlign w:val="center"/>
          </w:tcPr>
          <w:p>
            <w:pPr>
              <w:widowControl/>
              <w:spacing w:line="4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vAlign w:val="center"/>
          </w:tcPr>
          <w:p>
            <w:pPr>
              <w:widowControl/>
              <w:spacing w:line="4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6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861.77</w:t>
            </w:r>
            <w:r>
              <w:rPr>
                <w:rFonts w:ascii="Times New Roman" w:hAnsi="Times New Roman" w:eastAsia="仿宋_GB2312" w:cs="Times New Roman"/>
                <w:kern w:val="0"/>
                <w:szCs w:val="21"/>
              </w:rPr>
              <w:t>　</w:t>
            </w:r>
          </w:p>
        </w:tc>
        <w:tc>
          <w:tcPr>
            <w:tcW w:w="3761" w:type="dxa"/>
            <w:shd w:val="clear" w:color="auto" w:fill="auto"/>
            <w:noWrap/>
            <w:vAlign w:val="center"/>
          </w:tcPr>
          <w:p>
            <w:pPr>
              <w:widowControl/>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861.77</w:t>
            </w:r>
            <w:r>
              <w:rPr>
                <w:rFonts w:ascii="Times New Roman" w:hAnsi="Times New Roman" w:eastAsia="仿宋_GB2312" w:cs="Times New Roman"/>
                <w:kern w:val="0"/>
                <w:szCs w:val="21"/>
              </w:rPr>
              <w:t>　</w:t>
            </w:r>
          </w:p>
        </w:tc>
        <w:tc>
          <w:tcPr>
            <w:tcW w:w="166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861.77</w:t>
            </w:r>
            <w:r>
              <w:rPr>
                <w:rFonts w:ascii="Times New Roman" w:hAnsi="Times New Roman" w:eastAsia="仿宋_GB2312" w:cs="Times New Roman"/>
                <w:kern w:val="0"/>
                <w:szCs w:val="21"/>
              </w:rPr>
              <w:t>　</w:t>
            </w:r>
          </w:p>
        </w:tc>
        <w:tc>
          <w:tcPr>
            <w:tcW w:w="1572" w:type="dxa"/>
            <w:shd w:val="clear" w:color="auto" w:fill="auto"/>
            <w:noWrap/>
            <w:vAlign w:val="center"/>
          </w:tcPr>
          <w:p>
            <w:pPr>
              <w:widowControl/>
              <w:spacing w:line="300" w:lineRule="exact"/>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spacing w:line="300" w:lineRule="exact"/>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861.77</w:t>
            </w:r>
            <w:r>
              <w:rPr>
                <w:rFonts w:ascii="Times New Roman" w:hAnsi="Times New Roman" w:eastAsia="仿宋_GB2312" w:cs="Times New Roman"/>
                <w:kern w:val="0"/>
                <w:szCs w:val="21"/>
              </w:rPr>
              <w:t>　</w:t>
            </w:r>
          </w:p>
        </w:tc>
        <w:tc>
          <w:tcPr>
            <w:tcW w:w="3761" w:type="dxa"/>
            <w:shd w:val="clear" w:color="auto" w:fill="auto"/>
            <w:noWrap/>
            <w:vAlign w:val="center"/>
          </w:tcPr>
          <w:p>
            <w:pPr>
              <w:widowControl/>
              <w:spacing w:line="300" w:lineRule="exact"/>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spacing w:line="30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spacing w:line="300" w:lineRule="exact"/>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bl>
    <w:p>
      <w:pPr>
        <w:widowControl/>
        <w:spacing w:line="300" w:lineRule="exac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桥头街道办事处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861.77</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861.77</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一般公共服务支出</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470.22</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470.22</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208</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257.2</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257.2</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210</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47.64</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47.64</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212</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城乡社区支出</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54.43</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54.43</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221</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住房保障支出</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30.95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30.95</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224</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灾害防治及应急管理支出</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1.34</w:t>
            </w:r>
          </w:p>
        </w:tc>
        <w:tc>
          <w:tcPr>
            <w:tcW w:w="3492" w:type="dxa"/>
            <w:tcBorders>
              <w:top w:val="nil"/>
              <w:left w:val="nil"/>
              <w:bottom w:val="single" w:color="auto" w:sz="8"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1.34</w:t>
            </w: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spacing w:line="240" w:lineRule="exact"/>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桥头街道办事处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spacing w:line="24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0" w:type="auto"/>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540.27</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317.43</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153.32</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16.12</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118.22</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20.25</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107.17</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15.77</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0.07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0.48</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52.27</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p>
          <w:p>
            <w:pPr>
              <w:widowControl/>
              <w:rPr>
                <w:rFonts w:ascii="仿宋_GB2312" w:hAnsi="宋体" w:eastAsia="仿宋_GB2312" w:cs="宋体"/>
                <w:color w:val="000000"/>
                <w:kern w:val="0"/>
                <w:sz w:val="18"/>
                <w:szCs w:val="18"/>
              </w:rPr>
            </w:pP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0.88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47.64</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14.93</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1.92</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30.92</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4.03</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6.27</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4.08</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2.19</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4.08</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5.86</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8.29</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0.2</w:t>
            </w: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0.04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250.77</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544.35</w:t>
            </w:r>
          </w:p>
        </w:tc>
        <w:tc>
          <w:tcPr>
            <w:tcW w:w="9733" w:type="dxa"/>
            <w:gridSpan w:val="5"/>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317.43</w:t>
            </w: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此表无数据</w:t>
            </w:r>
            <w:bookmarkStart w:id="2" w:name="_GoBack"/>
            <w:bookmarkEnd w:id="2"/>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05"/>
    <w:rsid w:val="000926B3"/>
    <w:rsid w:val="00564F05"/>
    <w:rsid w:val="00AE4CBE"/>
    <w:rsid w:val="47C1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paragraph" w:customStyle="1" w:styleId="10">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832</Words>
  <Characters>4743</Characters>
  <Lines>39</Lines>
  <Paragraphs>11</Paragraphs>
  <TotalTime>1</TotalTime>
  <ScaleCrop>false</ScaleCrop>
  <LinksUpToDate>false</LinksUpToDate>
  <CharactersWithSpaces>5564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2020-09-17T03:01:00Z</dcterms:created>
  <dc:creator>xb21cn</dc:creator>
  <cp:lastModifiedBy>朱移新 10.105.109.115</cp:lastModifiedBy>
  <dcterms:modified xsi:type="dcterms:W3CDTF">2021-06-21T14:23:57Z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4668DB86B9CE4759987E79DBBE1D436F</vt:lpwstr>
  </property>
</Properties>
</file>