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202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w:t>
      </w:r>
      <w:r>
        <w:rPr>
          <w:rFonts w:hint="eastAsia" w:ascii="黑体" w:hAnsi="黑体" w:eastAsia="黑体" w:cs="黑体"/>
          <w:kern w:val="0"/>
          <w:sz w:val="32"/>
          <w:szCs w:val="32"/>
          <w:lang w:eastAsia="zh-CN"/>
        </w:rPr>
        <w:t>邵阳市双清区工商业联合会</w:t>
      </w:r>
    </w:p>
    <w:p>
      <w:pPr>
        <w:pStyle w:val="13"/>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部门整体支出绩效评价报告</w:t>
      </w:r>
    </w:p>
    <w:p>
      <w:pPr>
        <w:pStyle w:val="13"/>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一、部门概况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line="390" w:lineRule="atLeast"/>
        <w:ind w:left="0" w:right="0" w:firstLine="641"/>
        <w:rPr>
          <w:rFonts w:hint="eastAsia" w:ascii="仿宋" w:hAnsi="仿宋" w:eastAsia="仿宋" w:cs="仿宋"/>
          <w:i w:val="0"/>
          <w:iCs w:val="0"/>
          <w:caps w:val="0"/>
          <w:color w:val="333333"/>
          <w:spacing w:val="0"/>
          <w:sz w:val="32"/>
          <w:szCs w:val="32"/>
        </w:rPr>
      </w:pPr>
      <w:r>
        <w:rPr>
          <w:rFonts w:hint="eastAsia" w:ascii="楷体" w:hAnsi="楷体" w:eastAsia="楷体" w:cs="楷体"/>
          <w:kern w:val="0"/>
          <w:sz w:val="32"/>
          <w:szCs w:val="32"/>
        </w:rPr>
        <w:t>（一）部门基本情况</w:t>
      </w:r>
      <w:r>
        <w:rPr>
          <w:rFonts w:hint="eastAsia" w:ascii="仿宋" w:hAnsi="仿宋" w:eastAsia="仿宋" w:cs="仿宋"/>
          <w:kern w:val="0"/>
          <w:sz w:val="32"/>
          <w:szCs w:val="32"/>
        </w:rPr>
        <w:t>（包括部门的在职人员情况、机构设置、主要职能及重点工作计划等）。</w:t>
      </w:r>
      <w:r>
        <w:rPr>
          <w:rFonts w:hint="eastAsia" w:ascii="仿宋" w:hAnsi="仿宋" w:eastAsia="仿宋" w:cs="仿宋"/>
          <w:kern w:val="0"/>
          <w:sz w:val="32"/>
          <w:szCs w:val="32"/>
          <w:lang w:eastAsia="zh-CN"/>
        </w:rPr>
        <w:t>邵阳</w:t>
      </w:r>
      <w:r>
        <w:rPr>
          <w:rFonts w:hint="eastAsia" w:ascii="宋体" w:hAnsi="宋体" w:eastAsia="宋体" w:cs="宋体"/>
          <w:i w:val="0"/>
          <w:iCs w:val="0"/>
          <w:caps w:val="0"/>
          <w:color w:val="000000"/>
          <w:spacing w:val="0"/>
          <w:sz w:val="32"/>
          <w:szCs w:val="32"/>
          <w:shd w:val="clear" w:fill="FFFFFF"/>
          <w:lang w:eastAsia="zh-CN"/>
        </w:rPr>
        <w:t>市</w:t>
      </w:r>
      <w:r>
        <w:rPr>
          <w:rFonts w:hint="eastAsia" w:ascii="宋体" w:hAnsi="宋体" w:eastAsia="宋体" w:cs="宋体"/>
          <w:i w:val="0"/>
          <w:iCs w:val="0"/>
          <w:caps w:val="0"/>
          <w:color w:val="000000"/>
          <w:spacing w:val="0"/>
          <w:sz w:val="32"/>
          <w:szCs w:val="32"/>
          <w:shd w:val="clear" w:fill="FFFFFF"/>
        </w:rPr>
        <w:t>双清区工商业联合会内设办公室、会员部、商会部</w:t>
      </w:r>
      <w:r>
        <w:rPr>
          <w:rFonts w:hint="eastAsia" w:ascii="宋体" w:hAnsi="宋体" w:eastAsia="宋体" w:cs="宋体"/>
          <w:i w:val="0"/>
          <w:iCs w:val="0"/>
          <w:caps w:val="0"/>
          <w:color w:val="000000"/>
          <w:spacing w:val="0"/>
          <w:sz w:val="32"/>
          <w:szCs w:val="32"/>
          <w:shd w:val="clear" w:fill="FFFFFF"/>
          <w:lang w:eastAsia="zh-CN"/>
        </w:rPr>
        <w:t>。主要职能是：</w:t>
      </w:r>
      <w:r>
        <w:rPr>
          <w:rFonts w:hint="eastAsia" w:ascii="宋体" w:hAnsi="宋体" w:eastAsia="宋体" w:cs="宋体"/>
          <w:i w:val="0"/>
          <w:iCs w:val="0"/>
          <w:caps w:val="0"/>
          <w:color w:val="000000"/>
          <w:spacing w:val="0"/>
          <w:sz w:val="32"/>
          <w:szCs w:val="32"/>
          <w:shd w:val="clear" w:fill="FFFFFF"/>
        </w:rPr>
        <w:t>参政议政，参与政府事务和经济、社会重大决策的政治协商，发挥民主监督作用，做好非公有制经济代表人士政治安排的推荐工作，对本市有关法规、政策的制订提出建议并协助贯彻执行</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宣传国家方针政策，加强和改进思想政治工作，对会员进行团结、引导、服务、教育，引导民营企业家自觉做爱国敬业、守法经营、创业创新、回报社会的典范</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维护会员的合法权益，反映会员的意见、要求和建议，在会员与政府之间发挥桥梁纽带作用，当好政府管理非公有制经济的助手</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为会员在参与社会主义市场经济建设过程中，提供市场、技术、商品等信息服务，为会员企业管理提供法律、会计、审计等咨询服务，帮助会员改善经营管理、提高生产技术和产品质量，改进财务、纳税等工作</w:t>
      </w:r>
      <w:r>
        <w:rPr>
          <w:rFonts w:hint="eastAsia" w:ascii="宋体" w:hAnsi="宋体" w:eastAsia="宋体" w:cs="宋体"/>
          <w:i w:val="0"/>
          <w:iCs w:val="0"/>
          <w:caps w:val="0"/>
          <w:color w:val="000000"/>
          <w:spacing w:val="0"/>
          <w:sz w:val="32"/>
          <w:szCs w:val="32"/>
          <w:shd w:val="clear" w:fill="FFFFFF"/>
          <w:lang w:eastAsia="zh-CN"/>
        </w:rPr>
        <w:t>；</w:t>
      </w:r>
      <w:r>
        <w:rPr>
          <w:rFonts w:hint="default" w:ascii="等线" w:hAnsi="等线" w:eastAsia="等线" w:cs="等线"/>
          <w:i w:val="0"/>
          <w:iCs w:val="0"/>
          <w:caps w:val="0"/>
          <w:color w:val="000000"/>
          <w:spacing w:val="0"/>
          <w:sz w:val="27"/>
          <w:szCs w:val="27"/>
          <w:shd w:val="clear" w:fill="FFFFFF"/>
        </w:rPr>
        <w:t> </w:t>
      </w:r>
      <w:r>
        <w:rPr>
          <w:rFonts w:hint="eastAsia" w:ascii="宋体" w:hAnsi="宋体" w:eastAsia="宋体" w:cs="宋体"/>
          <w:i w:val="0"/>
          <w:iCs w:val="0"/>
          <w:caps w:val="0"/>
          <w:color w:val="000000"/>
          <w:spacing w:val="0"/>
          <w:sz w:val="32"/>
          <w:szCs w:val="32"/>
          <w:shd w:val="clear" w:fill="FFFFFF"/>
        </w:rPr>
        <w:t>组织会员举办和参加各种展览会、交易会，组织会员出国、出省进行商务活动，帮助会员开拓国内、国际市场</w:t>
      </w:r>
      <w:r>
        <w:rPr>
          <w:rFonts w:hint="eastAsia" w:ascii="宋体" w:hAnsi="宋体" w:eastAsia="宋体" w:cs="宋体"/>
          <w:i w:val="0"/>
          <w:iCs w:val="0"/>
          <w:caps w:val="0"/>
          <w:color w:val="000000"/>
          <w:spacing w:val="0"/>
          <w:sz w:val="32"/>
          <w:szCs w:val="32"/>
          <w:shd w:val="clear" w:fill="FFFFFF"/>
          <w:lang w:eastAsia="zh-CN"/>
        </w:rPr>
        <w:t>；</w:t>
      </w:r>
      <w:r>
        <w:rPr>
          <w:rFonts w:hint="default" w:ascii="等线" w:hAnsi="等线" w:eastAsia="等线" w:cs="等线"/>
          <w:i w:val="0"/>
          <w:iCs w:val="0"/>
          <w:caps w:val="0"/>
          <w:color w:val="000000"/>
          <w:spacing w:val="0"/>
          <w:sz w:val="27"/>
          <w:szCs w:val="27"/>
          <w:shd w:val="clear" w:fill="FFFFFF"/>
        </w:rPr>
        <w:t> </w:t>
      </w:r>
      <w:r>
        <w:rPr>
          <w:rFonts w:hint="eastAsia" w:ascii="宋体" w:hAnsi="宋体" w:eastAsia="宋体" w:cs="宋体"/>
          <w:i w:val="0"/>
          <w:iCs w:val="0"/>
          <w:caps w:val="0"/>
          <w:color w:val="000000"/>
          <w:spacing w:val="0"/>
          <w:sz w:val="32"/>
          <w:szCs w:val="32"/>
          <w:shd w:val="clear" w:fill="FFFFFF"/>
        </w:rPr>
        <w:t>为会员提供必要的证明，协调会员与相关部门的联系，为会员和会员企业调解有关经济纠</w:t>
      </w:r>
      <w:r>
        <w:rPr>
          <w:rFonts w:hint="eastAsia" w:ascii="宋体" w:hAnsi="宋体" w:eastAsia="宋体" w:cs="宋体"/>
          <w:i w:val="0"/>
          <w:iCs w:val="0"/>
          <w:caps w:val="0"/>
          <w:color w:val="000000"/>
          <w:spacing w:val="0"/>
          <w:sz w:val="32"/>
          <w:szCs w:val="32"/>
          <w:shd w:val="clear" w:fill="FFFFFF"/>
          <w:lang w:eastAsia="zh-CN"/>
        </w:rPr>
        <w:t>纷；</w:t>
      </w:r>
      <w:r>
        <w:rPr>
          <w:rFonts w:hint="eastAsia" w:ascii="宋体" w:hAnsi="宋体" w:eastAsia="宋体" w:cs="宋体"/>
          <w:i w:val="0"/>
          <w:iCs w:val="0"/>
          <w:caps w:val="0"/>
          <w:color w:val="000000"/>
          <w:spacing w:val="0"/>
          <w:sz w:val="32"/>
          <w:szCs w:val="32"/>
          <w:shd w:val="clear" w:fill="FFFFFF"/>
        </w:rPr>
        <w:t>指导异地商会、行业商协会贯彻执行党的路线、方 针、政策，加强党的建设，加强行业协作和自律</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联络异地商会、行业商协会；为异地商会、行业商协会的发展提供指导、引导、协调和服务；指导下级工商联做好异地商协会的联络工作</w:t>
      </w:r>
      <w:r>
        <w:rPr>
          <w:rFonts w:hint="eastAsia" w:ascii="宋体" w:hAnsi="宋体" w:eastAsia="宋体" w:cs="宋体"/>
          <w:i w:val="0"/>
          <w:iCs w:val="0"/>
          <w:caps w:val="0"/>
          <w:color w:val="000000"/>
          <w:spacing w:val="0"/>
          <w:sz w:val="32"/>
          <w:szCs w:val="32"/>
          <w:shd w:val="clear" w:fill="FFFFFF"/>
          <w:lang w:eastAsia="zh-CN"/>
        </w:rPr>
        <w:t>；</w:t>
      </w:r>
      <w:r>
        <w:rPr>
          <w:rFonts w:hint="default" w:ascii="等线" w:hAnsi="等线" w:eastAsia="等线" w:cs="等线"/>
          <w:i w:val="0"/>
          <w:iCs w:val="0"/>
          <w:caps w:val="0"/>
          <w:color w:val="000000"/>
          <w:spacing w:val="0"/>
          <w:sz w:val="27"/>
          <w:szCs w:val="27"/>
          <w:shd w:val="clear" w:fill="FFFFFF"/>
        </w:rPr>
        <w:t> </w:t>
      </w:r>
      <w:r>
        <w:rPr>
          <w:rFonts w:hint="eastAsia" w:ascii="宋体" w:hAnsi="宋体" w:eastAsia="宋体" w:cs="宋体"/>
          <w:i w:val="0"/>
          <w:iCs w:val="0"/>
          <w:caps w:val="0"/>
          <w:color w:val="000000"/>
          <w:spacing w:val="0"/>
          <w:sz w:val="32"/>
          <w:szCs w:val="32"/>
          <w:shd w:val="clear" w:fill="FFFFFF"/>
        </w:rPr>
        <w:t>增进与台湾、香港、澳门地区和世界工商社团及经济界人士的联系和联谊，促进经济技术、贸易合作的发展，协助引进资金、技术、人才</w:t>
      </w:r>
      <w:r>
        <w:rPr>
          <w:rFonts w:hint="eastAsia" w:ascii="宋体" w:hAnsi="宋体" w:eastAsia="宋体" w:cs="宋体"/>
          <w:i w:val="0"/>
          <w:iCs w:val="0"/>
          <w:caps w:val="0"/>
          <w:color w:val="000000"/>
          <w:spacing w:val="0"/>
          <w:sz w:val="32"/>
          <w:szCs w:val="32"/>
          <w:shd w:val="clear" w:fill="FFFFFF"/>
          <w:lang w:eastAsia="zh-CN"/>
        </w:rPr>
        <w:t>；</w:t>
      </w:r>
      <w:r>
        <w:rPr>
          <w:rFonts w:hint="default" w:ascii="等线" w:hAnsi="等线" w:eastAsia="等线" w:cs="等线"/>
          <w:i w:val="0"/>
          <w:iCs w:val="0"/>
          <w:caps w:val="0"/>
          <w:color w:val="000000"/>
          <w:spacing w:val="0"/>
          <w:sz w:val="27"/>
          <w:szCs w:val="27"/>
          <w:shd w:val="clear" w:fill="FFFFFF"/>
        </w:rPr>
        <w:t> </w:t>
      </w:r>
      <w:r>
        <w:rPr>
          <w:rFonts w:hint="eastAsia" w:ascii="宋体" w:hAnsi="宋体" w:eastAsia="宋体" w:cs="宋体"/>
          <w:i w:val="0"/>
          <w:iCs w:val="0"/>
          <w:caps w:val="0"/>
          <w:color w:val="000000"/>
          <w:spacing w:val="0"/>
          <w:sz w:val="32"/>
          <w:szCs w:val="32"/>
          <w:shd w:val="clear" w:fill="FFFFFF"/>
        </w:rPr>
        <w:t>组织非公有制经济人士积极参与党和政府中心工作，参与同心工程、社会主义新农村建设和社会公益事业，积极做好“光彩事业”及其他社会服务工作</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协助管理非公有制经济方面的专业技术职务评聘、产品质量监督、经济仲裁及其他人事管理等有关工作</w:t>
      </w:r>
      <w:r>
        <w:rPr>
          <w:rFonts w:hint="eastAsia" w:ascii="宋体" w:hAnsi="宋体" w:eastAsia="宋体" w:cs="宋体"/>
          <w:i w:val="0"/>
          <w:iCs w:val="0"/>
          <w:caps w:val="0"/>
          <w:color w:val="000000"/>
          <w:spacing w:val="0"/>
          <w:sz w:val="32"/>
          <w:szCs w:val="32"/>
          <w:shd w:val="clear" w:fill="FFFFFF"/>
          <w:lang w:eastAsia="zh-CN"/>
        </w:rPr>
        <w:t>；</w:t>
      </w:r>
      <w:r>
        <w:rPr>
          <w:rFonts w:hint="default" w:ascii="等线" w:hAnsi="等线" w:eastAsia="等线" w:cs="等线"/>
          <w:i w:val="0"/>
          <w:iCs w:val="0"/>
          <w:caps w:val="0"/>
          <w:color w:val="000000"/>
          <w:spacing w:val="0"/>
          <w:sz w:val="27"/>
          <w:szCs w:val="27"/>
          <w:shd w:val="clear" w:fill="FFFFFF"/>
        </w:rPr>
        <w:t> </w:t>
      </w:r>
      <w:r>
        <w:rPr>
          <w:rFonts w:hint="eastAsia" w:ascii="宋体" w:hAnsi="宋体" w:eastAsia="宋体" w:cs="宋体"/>
          <w:i w:val="0"/>
          <w:iCs w:val="0"/>
          <w:caps w:val="0"/>
          <w:color w:val="000000"/>
          <w:spacing w:val="0"/>
          <w:sz w:val="32"/>
          <w:szCs w:val="32"/>
          <w:shd w:val="clear" w:fill="FFFFFF"/>
        </w:rPr>
        <w:t>承办区委、区人民政府及有关部门其他委托事项。</w:t>
      </w:r>
      <w:r>
        <w:rPr>
          <w:rFonts w:hint="eastAsia" w:ascii="仿宋" w:hAnsi="仿宋" w:eastAsia="仿宋" w:cs="仿宋"/>
          <w:i w:val="0"/>
          <w:iCs w:val="0"/>
          <w:caps w:val="0"/>
          <w:color w:val="000000"/>
          <w:spacing w:val="0"/>
          <w:sz w:val="32"/>
          <w:szCs w:val="32"/>
          <w:shd w:val="clear" w:color="auto" w:fill="FFFFFF"/>
        </w:rPr>
        <w:t> </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楷体" w:hAnsi="楷体" w:eastAsia="楷体" w:cs="楷体"/>
          <w:kern w:val="0"/>
          <w:sz w:val="32"/>
          <w:szCs w:val="32"/>
        </w:rPr>
      </w:pPr>
      <w:r>
        <w:rPr>
          <w:rFonts w:hint="eastAsia" w:ascii="楷体" w:hAnsi="楷体" w:eastAsia="楷体" w:cs="楷体"/>
          <w:kern w:val="0"/>
          <w:sz w:val="32"/>
          <w:szCs w:val="32"/>
        </w:rPr>
        <w:t>（二）部门整体支出规模、使用方向和主要内容、涉及范围等。</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年度部门整体支出分为基本支出和项目支出，基本支出用于保障单位正常运转的日常支出，项目支出用于</w:t>
      </w:r>
      <w:r>
        <w:rPr>
          <w:rFonts w:hint="eastAsia" w:ascii="仿宋" w:hAnsi="仿宋" w:eastAsia="仿宋" w:cs="仿宋"/>
          <w:kern w:val="0"/>
          <w:sz w:val="32"/>
          <w:szCs w:val="32"/>
          <w:lang w:eastAsia="zh-CN"/>
        </w:rPr>
        <w:t>开展工商联工作及相关业务支出</w:t>
      </w:r>
      <w:r>
        <w:rPr>
          <w:rFonts w:hint="eastAsia" w:ascii="仿宋" w:hAnsi="仿宋" w:eastAsia="仿宋" w:cs="仿宋"/>
          <w:kern w:val="0"/>
          <w:sz w:val="32"/>
          <w:szCs w:val="32"/>
        </w:rPr>
        <w:t>。</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二、部门整体支出管理及使用情况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3" w:firstLineChars="200"/>
        <w:jc w:val="both"/>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（一）预算执行情况</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年度预算收入</w:t>
      </w:r>
      <w:r>
        <w:rPr>
          <w:rFonts w:hint="eastAsia" w:ascii="仿宋" w:hAnsi="仿宋" w:eastAsia="仿宋" w:cs="仿宋"/>
          <w:kern w:val="0"/>
          <w:sz w:val="32"/>
          <w:szCs w:val="32"/>
          <w:lang w:val="en-US" w:eastAsia="zh-CN"/>
        </w:rPr>
        <w:t>60.47</w:t>
      </w:r>
      <w:r>
        <w:rPr>
          <w:rFonts w:hint="eastAsia" w:ascii="仿宋" w:hAnsi="仿宋" w:eastAsia="仿宋" w:cs="仿宋"/>
          <w:kern w:val="0"/>
          <w:sz w:val="32"/>
          <w:szCs w:val="32"/>
        </w:rPr>
        <w:t>万元，预算支出</w:t>
      </w:r>
      <w:r>
        <w:rPr>
          <w:rFonts w:hint="eastAsia" w:ascii="仿宋" w:hAnsi="仿宋" w:eastAsia="仿宋" w:cs="仿宋"/>
          <w:kern w:val="0"/>
          <w:sz w:val="32"/>
          <w:szCs w:val="32"/>
          <w:lang w:val="en-US" w:eastAsia="zh-CN"/>
        </w:rPr>
        <w:t>60.47</w:t>
      </w:r>
      <w:r>
        <w:rPr>
          <w:rFonts w:hint="eastAsia" w:ascii="仿宋" w:hAnsi="仿宋" w:eastAsia="仿宋" w:cs="仿宋"/>
          <w:kern w:val="0"/>
          <w:sz w:val="32"/>
          <w:szCs w:val="32"/>
        </w:rPr>
        <w:t>万元。预</w:t>
      </w:r>
      <w:r>
        <w:rPr>
          <w:rFonts w:hint="eastAsia" w:ascii="仿宋" w:hAnsi="仿宋" w:eastAsia="仿宋" w:cs="仿宋"/>
          <w:kern w:val="0"/>
          <w:sz w:val="32"/>
          <w:szCs w:val="32"/>
          <w:lang w:eastAsia="zh-CN"/>
        </w:rPr>
        <w:t>决</w:t>
      </w:r>
      <w:r>
        <w:rPr>
          <w:rFonts w:hint="eastAsia" w:ascii="仿宋" w:hAnsi="仿宋" w:eastAsia="仿宋" w:cs="仿宋"/>
          <w:kern w:val="0"/>
          <w:sz w:val="32"/>
          <w:szCs w:val="32"/>
        </w:rPr>
        <w:t>算信息都在邵阳市人民政府门户网站公开，接受社会公众监督。</w:t>
      </w:r>
    </w:p>
    <w:p>
      <w:pPr>
        <w:keepNext w:val="0"/>
        <w:keepLines w:val="0"/>
        <w:pageBreakBefore w:val="0"/>
        <w:widowControl/>
        <w:numPr>
          <w:ilvl w:val="0"/>
          <w:numId w:val="1"/>
        </w:numPr>
        <w:suppressLineNumbers w:val="0"/>
        <w:kinsoku/>
        <w:wordWrap/>
        <w:overflowPunct/>
        <w:autoSpaceDE/>
        <w:autoSpaceDN/>
        <w:bidi w:val="0"/>
        <w:adjustRightInd w:val="0"/>
        <w:snapToGrid w:val="0"/>
        <w:spacing w:after="0" w:afterAutospacing="0" w:line="560" w:lineRule="exact"/>
        <w:ind w:left="0" w:firstLine="643" w:firstLineChars="200"/>
        <w:jc w:val="both"/>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基本支出</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leftChars="200" w:right="0" w:rightChars="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年基本支出</w:t>
      </w:r>
      <w:r>
        <w:rPr>
          <w:rFonts w:hint="eastAsia" w:ascii="仿宋" w:hAnsi="仿宋" w:eastAsia="仿宋" w:cs="仿宋"/>
          <w:kern w:val="0"/>
          <w:sz w:val="32"/>
          <w:szCs w:val="32"/>
          <w:lang w:val="en-US" w:eastAsia="zh-CN"/>
        </w:rPr>
        <w:t>59.24</w:t>
      </w:r>
      <w:r>
        <w:rPr>
          <w:rFonts w:hint="eastAsia" w:ascii="仿宋" w:hAnsi="仿宋" w:eastAsia="仿宋" w:cs="仿宋"/>
          <w:kern w:val="0"/>
          <w:sz w:val="32"/>
          <w:szCs w:val="32"/>
        </w:rPr>
        <w:t>万元，响应国家相关政策，厉行节约，严格控制“三公”经费支出，2020年“三公”经费共支出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万元，其中：公务用车运行费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万元，公务接待费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元，</w:t>
      </w:r>
      <w:r>
        <w:rPr>
          <w:rFonts w:hint="eastAsia" w:ascii="仿宋" w:hAnsi="仿宋" w:eastAsia="仿宋" w:cs="仿宋"/>
          <w:kern w:val="0"/>
          <w:sz w:val="32"/>
          <w:szCs w:val="32"/>
          <w:lang w:val="en-US" w:eastAsia="zh-CN"/>
        </w:rPr>
        <w:t>与上年度持平。</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jc w:val="both"/>
        <w:textAlignment w:val="auto"/>
        <w:rPr>
          <w:rFonts w:hint="eastAsia" w:ascii="楷体" w:hAnsi="楷体" w:eastAsia="楷体" w:cs="楷体"/>
          <w:b/>
          <w:bCs w:val="0"/>
          <w:kern w:val="0"/>
          <w:sz w:val="32"/>
          <w:szCs w:val="32"/>
        </w:rPr>
      </w:pP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rPr>
      </w:pP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三、资产管理情况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年固定资产年初数</w:t>
      </w:r>
      <w:r>
        <w:rPr>
          <w:rFonts w:hint="eastAsia" w:ascii="仿宋" w:hAnsi="仿宋" w:eastAsia="仿宋" w:cs="仿宋"/>
          <w:kern w:val="0"/>
          <w:sz w:val="32"/>
          <w:szCs w:val="32"/>
          <w:lang w:val="en-US" w:eastAsia="zh-CN"/>
        </w:rPr>
        <w:t>4.74</w:t>
      </w:r>
      <w:r>
        <w:rPr>
          <w:rFonts w:hint="eastAsia" w:ascii="仿宋" w:hAnsi="仿宋" w:eastAsia="仿宋" w:cs="仿宋"/>
          <w:kern w:val="0"/>
          <w:sz w:val="32"/>
          <w:szCs w:val="32"/>
        </w:rPr>
        <w:t>万元，期末数</w:t>
      </w:r>
      <w:r>
        <w:rPr>
          <w:rFonts w:hint="eastAsia" w:ascii="仿宋" w:hAnsi="仿宋" w:eastAsia="仿宋" w:cs="仿宋"/>
          <w:kern w:val="0"/>
          <w:sz w:val="32"/>
          <w:szCs w:val="32"/>
          <w:lang w:val="en-US" w:eastAsia="zh-CN"/>
        </w:rPr>
        <w:t>3.28</w:t>
      </w:r>
      <w:r>
        <w:rPr>
          <w:rFonts w:hint="eastAsia" w:ascii="仿宋" w:hAnsi="仿宋" w:eastAsia="仿宋" w:cs="仿宋"/>
          <w:kern w:val="0"/>
          <w:sz w:val="32"/>
          <w:szCs w:val="32"/>
        </w:rPr>
        <w:t xml:space="preserve"> 万元。</w:t>
      </w:r>
    </w:p>
    <w:p>
      <w:pPr>
        <w:keepNext w:val="0"/>
        <w:keepLines w:val="0"/>
        <w:pageBreakBefore w:val="0"/>
        <w:widowControl/>
        <w:numPr>
          <w:ilvl w:val="0"/>
          <w:numId w:val="2"/>
        </w:numPr>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绩效评价工作</w:t>
      </w:r>
      <w:r>
        <w:rPr>
          <w:rFonts w:hint="eastAsia" w:ascii="黑体" w:hAnsi="黑体" w:eastAsia="黑体" w:cs="黑体"/>
          <w:kern w:val="0"/>
          <w:sz w:val="32"/>
          <w:szCs w:val="32"/>
          <w:lang w:eastAsia="zh-CN"/>
        </w:rPr>
        <w:t>开展</w:t>
      </w:r>
      <w:r>
        <w:rPr>
          <w:rFonts w:hint="eastAsia" w:ascii="黑体" w:hAnsi="黑体" w:eastAsia="黑体" w:cs="黑体"/>
          <w:kern w:val="0"/>
          <w:sz w:val="32"/>
          <w:szCs w:val="32"/>
        </w:rPr>
        <w:t>情况</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leftChars="200" w:right="0" w:rightChars="0"/>
        <w:jc w:val="both"/>
        <w:textAlignment w:val="auto"/>
        <w:rPr>
          <w:rFonts w:hint="eastAsia" w:ascii="楷体" w:hAnsi="楷体" w:eastAsia="楷体" w:cs="楷体"/>
          <w:b/>
          <w:bCs/>
          <w:kern w:val="0"/>
          <w:sz w:val="32"/>
          <w:szCs w:val="32"/>
          <w:lang w:val="en-US" w:eastAsia="zh-CN"/>
        </w:rPr>
      </w:pPr>
      <w:bookmarkStart w:id="0" w:name="_Toc22407"/>
      <w:bookmarkStart w:id="1" w:name="_Toc21446"/>
      <w:bookmarkStart w:id="2" w:name="_Toc32578"/>
      <w:r>
        <w:rPr>
          <w:rFonts w:hint="eastAsia" w:ascii="楷体" w:hAnsi="楷体" w:eastAsia="楷体" w:cs="楷体"/>
          <w:b/>
          <w:bCs/>
          <w:kern w:val="0"/>
          <w:sz w:val="32"/>
          <w:szCs w:val="32"/>
          <w:lang w:val="en-US" w:eastAsia="zh-CN"/>
        </w:rPr>
        <w:t>（一）绩效评价目的</w:t>
      </w:r>
      <w:bookmarkEnd w:id="0"/>
      <w:bookmarkEnd w:id="1"/>
      <w:bookmarkEnd w:id="2"/>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通过对部门整体支出绩效评价，了解部门资金使用情况及取得的成果，及时发现资金管理和部门支出过程中存在的问题，提出相关建议和采取相应的措施，从而为加强预算绩效管理、提高专项资金的使用效益、强化预算约束提供重要的参考依据。</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leftChars="200" w:right="0" w:rightChars="0"/>
        <w:jc w:val="both"/>
        <w:textAlignment w:val="auto"/>
        <w:rPr>
          <w:rFonts w:hint="eastAsia" w:ascii="楷体" w:hAnsi="楷体" w:eastAsia="楷体" w:cs="楷体"/>
          <w:b/>
          <w:bCs/>
          <w:kern w:val="0"/>
          <w:sz w:val="32"/>
          <w:szCs w:val="32"/>
          <w:lang w:val="en-US" w:eastAsia="zh-CN"/>
        </w:rPr>
      </w:pPr>
      <w:bookmarkStart w:id="3" w:name="_Toc11842"/>
      <w:bookmarkStart w:id="4" w:name="_Toc22165"/>
      <w:bookmarkStart w:id="5" w:name="_Toc23600"/>
      <w:bookmarkStart w:id="6" w:name="_Toc27511"/>
      <w:bookmarkStart w:id="7" w:name="_Toc5938"/>
      <w:bookmarkStart w:id="8" w:name="_Toc6076"/>
      <w:bookmarkStart w:id="9" w:name="_Toc22531"/>
      <w:bookmarkStart w:id="10" w:name="_Toc22734"/>
      <w:bookmarkStart w:id="11" w:name="_Toc22978"/>
      <w:bookmarkStart w:id="12" w:name="_Toc29745"/>
      <w:bookmarkStart w:id="13" w:name="_Toc2315"/>
      <w:bookmarkStart w:id="14" w:name="_Toc12780"/>
      <w:bookmarkStart w:id="15" w:name="_Toc6376"/>
      <w:r>
        <w:rPr>
          <w:rFonts w:hint="eastAsia" w:ascii="楷体" w:hAnsi="楷体" w:eastAsia="楷体" w:cs="楷体"/>
          <w:b/>
          <w:bCs/>
          <w:kern w:val="0"/>
          <w:sz w:val="32"/>
          <w:szCs w:val="32"/>
          <w:lang w:val="en-US" w:eastAsia="zh-CN"/>
        </w:rPr>
        <w:t>（二）绩效评价的基本原则</w:t>
      </w:r>
      <w:bookmarkEnd w:id="3"/>
      <w:bookmarkEnd w:id="4"/>
      <w:bookmarkEnd w:id="5"/>
      <w:bookmarkEnd w:id="6"/>
      <w:bookmarkEnd w:id="7"/>
      <w:bookmarkEnd w:id="8"/>
      <w:bookmarkEnd w:id="9"/>
      <w:bookmarkEnd w:id="10"/>
      <w:bookmarkEnd w:id="11"/>
      <w:bookmarkEnd w:id="12"/>
      <w:bookmarkEnd w:id="13"/>
      <w:bookmarkEnd w:id="14"/>
      <w:bookmarkEnd w:id="15"/>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1.科学规范：注重专项资金的经济性、效率性和有效性，运用科学合理的方法，按照规范的程序，对财政运行绩效进行客观、公正的反映。</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2.统筹兼顾：绩效评价应职责明确，各有侧重，相互衔接。在单位自评的基础上，对专项资金进行绩效评价。</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3.激励约束：绩效评价结果应与预算安排、政策调整、改进管理实质性挂钩，体现奖优罚劣和激励相容导向。即：有效要保障、低效要压减、无效要问责。</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4.公开透明：绩效评价结果应依法依规公开，并自觉接受社会监督。</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五、综合评价情况及评价结论</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b/>
          <w:bCs w:val="0"/>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我单位积极履职，强化管理，较好地完成了年度工作目标。通过加强预算收支管理，不断建立健全内部管理制度，梳理内部管理流程，部门整体支出管理水平得到提升。根据部门整体支出绩效评价指标体系，我单位2020年度评价得分为96分。</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六、部门整体支出主要绩效</w:t>
      </w:r>
    </w:p>
    <w:p>
      <w:pPr>
        <w:snapToGrid w:val="0"/>
        <w:spacing w:line="640" w:lineRule="exact"/>
        <w:ind w:firstLine="640" w:firstLineChars="200"/>
        <w:rPr>
          <w:rFonts w:hint="eastAsia" w:ascii="仿宋_GB2312" w:eastAsia="仿宋_GB2312"/>
          <w:bCs/>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 xml:space="preserve"> 年主要</w:t>
      </w:r>
      <w:r>
        <w:rPr>
          <w:rFonts w:hint="eastAsia" w:ascii="仿宋" w:hAnsi="仿宋" w:eastAsia="仿宋" w:cs="仿宋"/>
          <w:kern w:val="0"/>
          <w:sz w:val="32"/>
          <w:szCs w:val="32"/>
          <w:lang w:eastAsia="zh-CN"/>
        </w:rPr>
        <w:t>完成工作任务</w:t>
      </w:r>
      <w:r>
        <w:rPr>
          <w:rFonts w:hint="eastAsia" w:ascii="仿宋" w:hAnsi="仿宋" w:eastAsia="仿宋" w:cs="仿宋"/>
          <w:kern w:val="0"/>
          <w:sz w:val="32"/>
          <w:szCs w:val="32"/>
        </w:rPr>
        <w:t>：</w:t>
      </w:r>
      <w:r>
        <w:rPr>
          <w:rFonts w:hint="eastAsia" w:eastAsia="仿宋_GB2312"/>
          <w:bCs/>
          <w:sz w:val="32"/>
          <w:szCs w:val="32"/>
        </w:rPr>
        <w:t>一是</w:t>
      </w:r>
      <w:r>
        <w:rPr>
          <w:rFonts w:hint="eastAsia" w:ascii="仿宋_GB2312" w:eastAsia="仿宋_GB2312"/>
          <w:sz w:val="32"/>
          <w:szCs w:val="32"/>
        </w:rPr>
        <w:t>在区工商联的常执委会中认真组织会员学习十九大会议精神和习近平总书记在民营企业座谈会上的讲话精神</w:t>
      </w:r>
      <w:r>
        <w:rPr>
          <w:rFonts w:hint="eastAsia" w:ascii="仿宋_GB2312" w:eastAsia="仿宋_GB2312"/>
          <w:sz w:val="32"/>
          <w:szCs w:val="32"/>
          <w:lang w:val="en-US" w:eastAsia="zh-CN"/>
        </w:rPr>
        <w:t>,召开工商联第六届代表大会，讨论并通过工商联第五届执委工作报告，选举产生第六届工商联执委常委主席副主席。</w:t>
      </w:r>
      <w:r>
        <w:rPr>
          <w:rFonts w:hint="eastAsia" w:ascii="仿宋_GB2312" w:eastAsia="仿宋_GB2312"/>
          <w:sz w:val="32"/>
          <w:szCs w:val="32"/>
        </w:rPr>
        <w:t>二是在走访企业中，大力宣传习近平总书记在民营企业座谈会上的讲话精神，把讲话精神带进企业，增强企业的发展信心。</w:t>
      </w:r>
      <w:r>
        <w:rPr>
          <w:rFonts w:hint="eastAsia" w:ascii="仿宋_GB2312" w:eastAsia="仿宋_GB2312"/>
          <w:bCs/>
          <w:sz w:val="32"/>
          <w:szCs w:val="32"/>
          <w:lang w:val="en-US" w:eastAsia="zh-CN"/>
        </w:rPr>
        <w:t>三是</w:t>
      </w:r>
      <w:r>
        <w:rPr>
          <w:rFonts w:hint="eastAsia" w:ascii="仿宋_GB2312" w:eastAsia="仿宋_GB2312"/>
          <w:bCs/>
          <w:sz w:val="32"/>
          <w:szCs w:val="32"/>
        </w:rPr>
        <w:t>做好经济服务工作。</w:t>
      </w:r>
      <w:r>
        <w:rPr>
          <w:rFonts w:hint="eastAsia" w:ascii="仿宋_GB2312" w:eastAsia="仿宋_GB2312"/>
          <w:sz w:val="32"/>
          <w:szCs w:val="32"/>
        </w:rPr>
        <w:t>进一步走访调研企业</w:t>
      </w:r>
      <w:r>
        <w:rPr>
          <w:rFonts w:hint="eastAsia" w:ascii="仿宋_GB2312" w:eastAsia="仿宋_GB2312"/>
          <w:sz w:val="32"/>
          <w:szCs w:val="32"/>
          <w:lang w:eastAsia="zh-CN"/>
        </w:rPr>
        <w:t>，</w:t>
      </w:r>
      <w:r>
        <w:rPr>
          <w:rFonts w:hint="eastAsia" w:ascii="仿宋_GB2312" w:eastAsia="仿宋_GB2312"/>
          <w:sz w:val="32"/>
          <w:szCs w:val="32"/>
        </w:rPr>
        <w:t>撰写调研报告，</w:t>
      </w:r>
      <w:r>
        <w:rPr>
          <w:rFonts w:hint="eastAsia" w:ascii="仿宋_GB2312" w:eastAsia="仿宋_GB2312"/>
          <w:sz w:val="32"/>
          <w:szCs w:val="32"/>
          <w:lang w:eastAsia="zh-CN"/>
        </w:rPr>
        <w:t>学习贯彻</w:t>
      </w:r>
      <w:r>
        <w:rPr>
          <w:rFonts w:hint="eastAsia" w:ascii="仿宋_GB2312" w:eastAsia="仿宋_GB2312"/>
          <w:sz w:val="32"/>
          <w:szCs w:val="32"/>
        </w:rPr>
        <w:t>习近平总书记在民营企业</w:t>
      </w:r>
      <w:r>
        <w:rPr>
          <w:rFonts w:hint="eastAsia" w:ascii="仿宋_GB2312" w:eastAsia="仿宋_GB2312"/>
          <w:sz w:val="32"/>
          <w:szCs w:val="32"/>
          <w:lang w:eastAsia="zh-CN"/>
        </w:rPr>
        <w:t>座谈会上</w:t>
      </w:r>
      <w:r>
        <w:rPr>
          <w:rFonts w:hint="eastAsia" w:ascii="仿宋_GB2312" w:eastAsia="仿宋_GB2312"/>
          <w:sz w:val="32"/>
          <w:szCs w:val="32"/>
        </w:rPr>
        <w:t>的讲话精神，同时帮助落实相关优惠政策进企业，切实推动企业高质量发展。</w:t>
      </w:r>
      <w:r>
        <w:rPr>
          <w:rFonts w:hint="eastAsia" w:ascii="仿宋_GB2312" w:eastAsia="仿宋_GB2312"/>
          <w:bCs/>
          <w:sz w:val="32"/>
          <w:szCs w:val="32"/>
          <w:lang w:eastAsia="zh-CN"/>
        </w:rPr>
        <w:t>四是</w:t>
      </w:r>
      <w:r>
        <w:rPr>
          <w:rFonts w:hint="eastAsia" w:ascii="仿宋_GB2312" w:eastAsia="仿宋_GB2312"/>
          <w:bCs/>
          <w:sz w:val="32"/>
          <w:szCs w:val="32"/>
        </w:rPr>
        <w:t>打造亲清政商关系。加强与检察院、法院之间的工作衔接，推进非公经济人士参与庭审座谈会活动，推进会员企业与检察院联络员的对接，提高检察院为民企服务的频次，加大个案维权力度。</w:t>
      </w:r>
    </w:p>
    <w:p>
      <w:pPr>
        <w:spacing w:line="640" w:lineRule="exact"/>
        <w:rPr>
          <w:rFonts w:hint="eastAsia" w:ascii="仿宋_GB2312" w:eastAsia="仿宋_GB2312"/>
          <w:sz w:val="32"/>
          <w:szCs w:val="32"/>
        </w:rPr>
      </w:pPr>
      <w:r>
        <w:rPr>
          <w:rFonts w:hint="eastAsia" w:ascii="仿宋_GB2312" w:eastAsia="仿宋_GB2312"/>
          <w:bCs/>
          <w:sz w:val="32"/>
          <w:szCs w:val="32"/>
          <w:lang w:val="en-US" w:eastAsia="zh-CN"/>
        </w:rPr>
        <w:t>五是</w:t>
      </w:r>
      <w:r>
        <w:rPr>
          <w:rFonts w:hint="eastAsia" w:ascii="仿宋_GB2312" w:eastAsia="仿宋_GB2312"/>
          <w:bCs/>
          <w:sz w:val="32"/>
          <w:szCs w:val="32"/>
        </w:rPr>
        <w:t>积极引导非公经济人士发挥参政议政主渠道作用，给区委、区政府建言献策，议政发言，引导工商联界别的人大代表、政协委员围绕我区中心工作积极发声，多提人大代表建议和政协委员提案。</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七、存在的问题</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1.对项目资金的帐务处理不太规范，预算批复中的项目资金虽已按照批复专款专用，但在帐务处理时没有区分项目支出和基本支出，统一核算。</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2.预算编制工作有待细化，在年初预算时，项目资金的经济分类科目没有按支出分配好。</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八、改进措施和有关建议</w:t>
      </w:r>
    </w:p>
    <w:p>
      <w:pPr>
        <w:ind w:firstLine="640" w:firstLineChars="200"/>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1.细化预算编制工作，认真做好预算的编制。进一步加强我委内部机构各办的预算管理意识，严格按照预算编制的相关制度和要求进行预算编制 </w:t>
      </w:r>
    </w:p>
    <w:p>
      <w:pPr>
        <w:ind w:firstLine="640" w:firstLineChars="200"/>
        <w:rPr>
          <w:rFonts w:hint="eastAsia" w:ascii="宋体" w:hAnsi="宋体" w:eastAsia="宋体" w:cs="宋体"/>
          <w:spacing w:val="0"/>
          <w:kern w:val="0"/>
          <w:sz w:val="30"/>
          <w:szCs w:val="30"/>
        </w:rPr>
      </w:pPr>
      <w:r>
        <w:rPr>
          <w:rFonts w:hint="eastAsia" w:ascii="仿宋" w:hAnsi="仿宋" w:eastAsia="仿宋" w:cs="仿宋"/>
          <w:spacing w:val="0"/>
          <w:kern w:val="0"/>
          <w:sz w:val="32"/>
          <w:szCs w:val="32"/>
        </w:rPr>
        <w:t>2.加强财务管理，严格财务审核。在费用报账支付时，按照预算规定的费用项目和用途进行财务核算，分门别类做支出。</w:t>
      </w:r>
      <w:r>
        <w:rPr>
          <w:rFonts w:hint="eastAsia" w:ascii="宋体" w:hAnsi="宋体" w:eastAsia="宋体" w:cs="宋体"/>
          <w:spacing w:val="0"/>
          <w:kern w:val="0"/>
          <w:sz w:val="30"/>
          <w:szCs w:val="30"/>
        </w:rPr>
        <w:br w:type="page"/>
      </w: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spacing w:line="600" w:lineRule="exact"/>
        <w:rPr>
          <w:rFonts w:ascii="宋体" w:hAnsi="宋体" w:cs="宋体"/>
          <w:kern w:val="0"/>
          <w:sz w:val="32"/>
          <w:szCs w:val="32"/>
        </w:rPr>
      </w:pPr>
      <w:bookmarkStart w:id="16" w:name="RANGE!A1:H22"/>
      <w:r>
        <w:rPr>
          <w:rFonts w:hint="eastAsia" w:ascii="黑体" w:hAnsi="宋体" w:eastAsia="黑体" w:cs="宋体"/>
          <w:kern w:val="0"/>
          <w:sz w:val="32"/>
          <w:szCs w:val="32"/>
        </w:rPr>
        <w:t>附件</w:t>
      </w:r>
      <w:bookmarkEnd w:id="16"/>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9"/>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20年度非税收入预算数）×100%，有减免因素的，以非税局确定的为准。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cs="宋体"/>
                <w:kern w:val="0"/>
                <w:sz w:val="24"/>
                <w:highlight w:val="yellow"/>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w:t>
            </w:r>
            <w:r>
              <w:rPr>
                <w:rFonts w:hint="eastAsia" w:ascii="仿宋_GB2312" w:eastAsia="仿宋_GB2312" w:cs="宋体"/>
                <w:kern w:val="0"/>
                <w:sz w:val="20"/>
                <w:szCs w:val="20"/>
                <w:lang w:val="en-US" w:eastAsia="zh-CN"/>
              </w:rPr>
              <w:t xml:space="preserve">21          </w:t>
            </w:r>
            <w:r>
              <w:rPr>
                <w:rFonts w:hint="eastAsia" w:ascii="仿宋_GB2312" w:hAnsi="宋体" w:eastAsia="仿宋_GB2312" w:cs="宋体"/>
                <w:kern w:val="0"/>
                <w:sz w:val="20"/>
                <w:szCs w:val="20"/>
              </w:rPr>
              <w:t>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w:t>
            </w:r>
            <w:r>
              <w:rPr>
                <w:rFonts w:hint="eastAsia" w:ascii="仿宋_GB2312" w:eastAsia="仿宋_GB2312" w:cs="宋体"/>
                <w:kern w:val="0"/>
                <w:sz w:val="20"/>
                <w:szCs w:val="20"/>
                <w:lang w:val="en-US" w:eastAsia="zh-CN"/>
              </w:rPr>
              <w:t>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eastAsia="仿宋_GB2312" w:cs="宋体"/>
                <w:kern w:val="0"/>
                <w:sz w:val="20"/>
                <w:szCs w:val="20"/>
                <w:lang w:val="en-US" w:eastAsia="zh-CN"/>
              </w:rPr>
              <w:t>21</w:t>
            </w:r>
            <w:bookmarkStart w:id="17" w:name="_GoBack"/>
            <w:bookmarkEnd w:id="17"/>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noWrap w:val="0"/>
            <w:vAlign w:val="center"/>
          </w:tcPr>
          <w:p>
            <w:pPr>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此三项指标可根据部门实际并结合2020年度部门整体支出绩效目标设立情况有选择的进行评价。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96</w:t>
            </w:r>
          </w:p>
        </w:tc>
      </w:tr>
    </w:tbl>
    <w:p>
      <w:pPr>
        <w:spacing w:line="600" w:lineRule="exact"/>
        <w:rPr>
          <w:rFonts w:ascii="宋体" w:hAnsi="宋体" w:cs="宋体"/>
          <w:kern w:val="0"/>
          <w:sz w:val="32"/>
          <w:szCs w:val="32"/>
        </w:rPr>
      </w:pPr>
    </w:p>
    <w:p>
      <w:pPr>
        <w:adjustRightInd w:val="0"/>
        <w:spacing w:line="600" w:lineRule="exact"/>
        <w:ind w:right="641"/>
      </w:pPr>
    </w:p>
    <w:p>
      <w:pPr>
        <w:rPr>
          <w:rFonts w:hint="eastAsia" w:ascii="宋体" w:hAnsi="宋体" w:eastAsia="宋体" w:cs="宋体"/>
          <w:spacing w:val="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74D54"/>
    <w:multiLevelType w:val="singleLevel"/>
    <w:tmpl w:val="5F374D54"/>
    <w:lvl w:ilvl="0" w:tentative="0">
      <w:start w:val="4"/>
      <w:numFmt w:val="chineseCounting"/>
      <w:suff w:val="nothing"/>
      <w:lvlText w:val="%1、"/>
      <w:lvlJc w:val="left"/>
      <w:rPr>
        <w:rFonts w:hint="eastAsia"/>
      </w:rPr>
    </w:lvl>
  </w:abstractNum>
  <w:abstractNum w:abstractNumId="1">
    <w:nsid w:val="61558137"/>
    <w:multiLevelType w:val="singleLevel"/>
    <w:tmpl w:val="6155813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MjA0NDdjYjAxNDY3NjM4ZjI0NjQ5YWM3MDc2M2UifQ=="/>
  </w:docVars>
  <w:rsids>
    <w:rsidRoot w:val="00000000"/>
    <w:rsid w:val="10087ECC"/>
    <w:rsid w:val="131D49A7"/>
    <w:rsid w:val="19257396"/>
    <w:rsid w:val="1CBD4177"/>
    <w:rsid w:val="26C27C44"/>
    <w:rsid w:val="331932AB"/>
    <w:rsid w:val="33416C20"/>
    <w:rsid w:val="37DB4F67"/>
    <w:rsid w:val="4CB7318A"/>
    <w:rsid w:val="4E4140B7"/>
    <w:rsid w:val="517631D8"/>
    <w:rsid w:val="54257143"/>
    <w:rsid w:val="57D22455"/>
    <w:rsid w:val="5B7C1C76"/>
    <w:rsid w:val="6AC72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4">
    <w:name w:val="heading 1"/>
    <w:basedOn w:val="1"/>
    <w:next w:val="1"/>
    <w:qFormat/>
    <w:uiPriority w:val="0"/>
    <w:pPr>
      <w:keepNext/>
      <w:keepLines/>
      <w:spacing w:line="560" w:lineRule="exact"/>
      <w:outlineLvl w:val="0"/>
    </w:pPr>
    <w:rPr>
      <w:rFonts w:eastAsia="黑体"/>
      <w:b/>
      <w:bCs/>
      <w:kern w:val="44"/>
      <w:szCs w:val="44"/>
    </w:rPr>
  </w:style>
  <w:style w:type="paragraph" w:styleId="5">
    <w:name w:val="heading 2"/>
    <w:basedOn w:val="1"/>
    <w:next w:val="1"/>
    <w:unhideWhenUsed/>
    <w:qFormat/>
    <w:uiPriority w:val="0"/>
    <w:pPr>
      <w:keepNext/>
      <w:keepLines/>
      <w:spacing w:beforeLines="0" w:beforeAutospacing="0" w:afterLines="0" w:afterAutospacing="0" w:line="560" w:lineRule="exact"/>
      <w:ind w:firstLine="640" w:firstLineChars="200"/>
      <w:outlineLvl w:val="1"/>
    </w:pPr>
    <w:rPr>
      <w:rFonts w:ascii="Arial" w:hAnsi="Arial" w:eastAsia="楷体"/>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styleId="11">
    <w:name w:val="page number"/>
    <w:basedOn w:val="10"/>
    <w:qFormat/>
    <w:uiPriority w:val="0"/>
  </w:style>
  <w:style w:type="paragraph" w:customStyle="1" w:styleId="12">
    <w:name w:val="首行缩进"/>
    <w:basedOn w:val="1"/>
    <w:qFormat/>
    <w:uiPriority w:val="0"/>
    <w:pPr>
      <w:ind w:firstLine="480" w:firstLineChars="200"/>
    </w:pPr>
    <w:rPr>
      <w:lang w:val="zh-CN"/>
    </w:rPr>
  </w:style>
  <w:style w:type="paragraph" w:customStyle="1" w:styleId="13">
    <w:name w:val="普通(网站) Char"/>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4">
    <w:name w:val="15"/>
    <w:basedOn w:val="10"/>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5163</Words>
  <Characters>5384</Characters>
  <Lines>0</Lines>
  <Paragraphs>0</Paragraphs>
  <TotalTime>16</TotalTime>
  <ScaleCrop>false</ScaleCrop>
  <LinksUpToDate>false</LinksUpToDate>
  <CharactersWithSpaces>5544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2022-07-19T06:59:00Z</dcterms:created>
  <dc:creator>Administrator</dc:creator>
  <cp:lastModifiedBy>Administrator</cp:lastModifiedBy>
  <dcterms:modified xsi:type="dcterms:W3CDTF">2022-09-27T02:17:18Z</dcterms:modified>
  <dc:title>2020年度邵阳市交通建设质量安全监督站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270FA09360BB4DF287148F01E6BE3EAF</vt:lpwstr>
  </property>
</Properties>
</file>