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202</w:t>
      </w: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年度部门整体支出绩效评价报告</w:t>
      </w:r>
    </w:p>
    <w:p>
      <w:pPr>
        <w:shd w:val="clear" w:color="auto" w:fill="FFFFFF"/>
        <w:spacing w:line="410" w:lineRule="atLeast"/>
        <w:rPr>
          <w:rFonts w:cs="宋体" w:asciiTheme="minorEastAsia" w:hAnsiTheme="minorEastAsia"/>
          <w:b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color w:val="333333"/>
          <w:kern w:val="0"/>
          <w:sz w:val="32"/>
          <w:szCs w:val="32"/>
        </w:rPr>
        <w:t>一、部门概况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双清区疾病预防控制中心核定编制人数1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8</w:t>
      </w:r>
      <w:r>
        <w:rPr>
          <w:rFonts w:ascii="Arial" w:hAnsi="Arial" w:cs="Arial"/>
          <w:color w:val="333333"/>
          <w:sz w:val="30"/>
          <w:szCs w:val="30"/>
        </w:rPr>
        <w:t>人（其中行政编制0人、政法编制0人、事业编制1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3</w:t>
      </w:r>
      <w:r>
        <w:rPr>
          <w:rFonts w:ascii="Arial" w:hAnsi="Arial" w:cs="Arial"/>
          <w:color w:val="333333"/>
          <w:sz w:val="30"/>
          <w:szCs w:val="30"/>
        </w:rPr>
        <w:t>人、工勤编制0人），实有人数1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8</w:t>
      </w:r>
      <w:r>
        <w:rPr>
          <w:rFonts w:ascii="Arial" w:hAnsi="Arial" w:cs="Arial"/>
          <w:color w:val="333333"/>
          <w:sz w:val="30"/>
          <w:szCs w:val="30"/>
        </w:rPr>
        <w:t>人，其中在职人员13人，离休人员0人，退休人员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5</w:t>
      </w:r>
      <w:r>
        <w:rPr>
          <w:rFonts w:ascii="Arial" w:hAnsi="Arial" w:cs="Arial"/>
          <w:color w:val="333333"/>
          <w:sz w:val="30"/>
          <w:szCs w:val="30"/>
        </w:rPr>
        <w:t>人。现有车辆1辆。主要职责：负责传染病、寄生虫病、地方病、非传染病等预防与控制，突发公共卫生事件应急处置，扩大免疫规划，食品、环境等健康危害因素监测和卫生检验，健康教育与健康促进行动，基本公共卫生服务管理、指导等工作。内设全部用于办公室、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财务室、</w:t>
      </w:r>
      <w:r>
        <w:rPr>
          <w:rFonts w:ascii="Arial" w:hAnsi="Arial" w:cs="Arial"/>
          <w:color w:val="333333"/>
          <w:sz w:val="30"/>
          <w:szCs w:val="30"/>
        </w:rPr>
        <w:t>免疫规划科、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精神病防治科、学校卫生科、疫情管理与地方病防治股、卫生应急股、结核股、艾防股、检验室、流病股</w:t>
      </w:r>
      <w:r>
        <w:rPr>
          <w:rFonts w:ascii="Arial" w:hAnsi="Arial" w:cs="Arial"/>
          <w:color w:val="333333"/>
          <w:sz w:val="30"/>
          <w:szCs w:val="30"/>
        </w:rPr>
        <w:t>，全部纳入202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2</w:t>
      </w:r>
      <w:r>
        <w:rPr>
          <w:rFonts w:ascii="Arial" w:hAnsi="Arial" w:cs="Arial"/>
          <w:color w:val="333333"/>
          <w:sz w:val="30"/>
          <w:szCs w:val="30"/>
        </w:rPr>
        <w:t>年部门预算编制范围。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202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2</w:t>
      </w:r>
      <w:r>
        <w:rPr>
          <w:rFonts w:ascii="Arial" w:hAnsi="Arial" w:cs="Arial"/>
          <w:color w:val="333333"/>
          <w:sz w:val="30"/>
          <w:szCs w:val="30"/>
        </w:rPr>
        <w:t>年支出决算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1911.89</w:t>
      </w:r>
      <w:r>
        <w:rPr>
          <w:rFonts w:ascii="Arial" w:hAnsi="Arial" w:cs="Arial"/>
          <w:color w:val="333333"/>
          <w:sz w:val="30"/>
          <w:szCs w:val="30"/>
        </w:rPr>
        <w:t>万元，其中：基本支出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1911.89</w:t>
      </w:r>
      <w:r>
        <w:rPr>
          <w:rFonts w:ascii="Arial" w:hAnsi="Arial" w:cs="Arial"/>
          <w:color w:val="333333"/>
          <w:sz w:val="30"/>
          <w:szCs w:val="30"/>
        </w:rPr>
        <w:t>万元。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二、部门整体支出管理及使用情况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color w:val="333333"/>
          <w:sz w:val="30"/>
          <w:szCs w:val="30"/>
        </w:rPr>
      </w:pPr>
      <w:r>
        <w:rPr>
          <w:rFonts w:hint="eastAsia" w:ascii="Arial" w:hAnsi="Arial" w:cs="Arial"/>
          <w:color w:val="333333"/>
          <w:sz w:val="30"/>
          <w:szCs w:val="30"/>
        </w:rPr>
        <w:t>财政拨款</w:t>
      </w:r>
      <w:r>
        <w:rPr>
          <w:rFonts w:ascii="Arial" w:hAnsi="Arial" w:cs="Arial"/>
          <w:color w:val="333333"/>
          <w:sz w:val="30"/>
          <w:szCs w:val="30"/>
        </w:rPr>
        <w:t>支出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313.35</w:t>
      </w:r>
      <w:r>
        <w:rPr>
          <w:rFonts w:ascii="Arial" w:hAnsi="Arial" w:cs="Arial"/>
          <w:color w:val="333333"/>
          <w:sz w:val="30"/>
          <w:szCs w:val="30"/>
        </w:rPr>
        <w:t>万元，其中工资福利支出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214.03</w:t>
      </w:r>
      <w:r>
        <w:rPr>
          <w:rFonts w:ascii="Arial" w:hAnsi="Arial" w:cs="Arial"/>
          <w:color w:val="333333"/>
          <w:sz w:val="30"/>
          <w:szCs w:val="30"/>
        </w:rPr>
        <w:t>万元，公用经费支出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99.32</w:t>
      </w:r>
      <w:r>
        <w:rPr>
          <w:rFonts w:ascii="Arial" w:hAnsi="Arial" w:cs="Arial"/>
          <w:color w:val="333333"/>
          <w:sz w:val="30"/>
          <w:szCs w:val="30"/>
        </w:rPr>
        <w:t>万元，主要含办公费、水电费、差旅费、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公务用车运行费</w:t>
      </w:r>
      <w:r>
        <w:rPr>
          <w:rFonts w:ascii="Arial" w:hAnsi="Arial" w:cs="Arial"/>
          <w:color w:val="333333"/>
          <w:sz w:val="30"/>
          <w:szCs w:val="30"/>
        </w:rPr>
        <w:t>、办公设备购置费等机关运行经费，是为保障单位正常运转、完成日常工作任务而发生的各项支出。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202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2</w:t>
      </w:r>
      <w:r>
        <w:rPr>
          <w:rFonts w:ascii="Arial" w:hAnsi="Arial" w:cs="Arial"/>
          <w:color w:val="333333"/>
          <w:sz w:val="30"/>
          <w:szCs w:val="30"/>
        </w:rPr>
        <w:t>年三公经费支出为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0.73</w:t>
      </w:r>
      <w:r>
        <w:rPr>
          <w:rFonts w:ascii="Arial" w:hAnsi="Arial" w:cs="Arial"/>
          <w:color w:val="333333"/>
          <w:sz w:val="30"/>
          <w:szCs w:val="30"/>
        </w:rPr>
        <w:t>万元，其中：因公出国（境）费0.00万元，公务用车购置及运行费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0.73</w:t>
      </w:r>
      <w:r>
        <w:rPr>
          <w:rFonts w:ascii="Arial" w:hAnsi="Arial" w:cs="Arial"/>
          <w:color w:val="333333"/>
          <w:sz w:val="30"/>
          <w:szCs w:val="30"/>
        </w:rPr>
        <w:t>万元（其中：购置费0.00万元、运行费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0.73</w:t>
      </w:r>
      <w:r>
        <w:rPr>
          <w:rFonts w:ascii="Arial" w:hAnsi="Arial" w:cs="Arial"/>
          <w:color w:val="333333"/>
          <w:sz w:val="30"/>
          <w:szCs w:val="30"/>
        </w:rPr>
        <w:t>万元），公务接待费</w:t>
      </w:r>
      <w:r>
        <w:rPr>
          <w:rFonts w:hint="eastAsia" w:ascii="Arial" w:hAnsi="Arial" w:cs="Arial"/>
          <w:color w:val="333333"/>
          <w:sz w:val="30"/>
          <w:szCs w:val="30"/>
        </w:rPr>
        <w:t>0.00</w:t>
      </w:r>
      <w:r>
        <w:rPr>
          <w:rFonts w:ascii="Arial" w:hAnsi="Arial" w:cs="Arial"/>
          <w:color w:val="333333"/>
          <w:sz w:val="30"/>
          <w:szCs w:val="30"/>
        </w:rPr>
        <w:t>万元。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三、资产管理情况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hint="default" w:ascii="Arial" w:hAnsi="Arial" w:eastAsia="宋体" w:cs="Arial"/>
          <w:color w:val="333333"/>
          <w:sz w:val="30"/>
          <w:szCs w:val="30"/>
          <w:lang w:val="en-US" w:eastAsia="zh-CN"/>
        </w:rPr>
      </w:pPr>
      <w:r>
        <w:rPr>
          <w:rFonts w:ascii="Arial" w:hAnsi="Arial" w:cs="Arial"/>
          <w:color w:val="333333"/>
          <w:sz w:val="30"/>
          <w:szCs w:val="30"/>
        </w:rPr>
        <w:t>截至202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2</w:t>
      </w:r>
      <w:r>
        <w:rPr>
          <w:rFonts w:ascii="Arial" w:hAnsi="Arial" w:cs="Arial"/>
          <w:color w:val="333333"/>
          <w:sz w:val="30"/>
          <w:szCs w:val="30"/>
        </w:rPr>
        <w:t>年12月31日，有公务车辆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1</w:t>
      </w:r>
      <w:r>
        <w:rPr>
          <w:rFonts w:ascii="Arial" w:hAnsi="Arial" w:cs="Arial"/>
          <w:color w:val="333333"/>
          <w:sz w:val="30"/>
          <w:szCs w:val="30"/>
        </w:rPr>
        <w:t>辆。单位价值50万元以上通用设备0台,单位价值100万元以上专用设备0台。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决算报表上是2台，其中1台已经交至区公车办。</w:t>
      </w: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四、部门整体支出绩效情况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202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2</w:t>
      </w:r>
      <w:r>
        <w:rPr>
          <w:rFonts w:ascii="Arial" w:hAnsi="Arial" w:cs="Arial"/>
          <w:color w:val="333333"/>
          <w:sz w:val="30"/>
          <w:szCs w:val="30"/>
        </w:rPr>
        <w:t>年我中心所有财政性资金、专项资金都纳入绩效管理的范围。为加强财政资金支出绩效管理，提高财政资金使用效益，我中心在使用各项资金时严格按照有关规章制度和工作流程，按照事前设定目标，事中跟踪监控目标实现过程，事后评价目标完成情况的科学可行的原则，保证各项财政资金使用安全、高效。年终时对本单位202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2</w:t>
      </w:r>
      <w:r>
        <w:rPr>
          <w:rFonts w:ascii="Arial" w:hAnsi="Arial" w:cs="Arial"/>
          <w:color w:val="333333"/>
          <w:sz w:val="30"/>
          <w:szCs w:val="30"/>
        </w:rPr>
        <w:t>年财政资金的拨付、分配、使用和管理情况、建设进度以及资金使用效率等情况进行了全面综合评价，形成了部门整体支出绩效和专项资金绩效自评报告，接受社会监督。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五、主要困难和问题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（一）对于绩效评价的认识不够深入，把预算绩效简单等同于工作目标、工作考核和业务管理。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（二）绩效目标和指标往往根据项目实际完成情况制定，对项目执行过程有效约束不够，存在一定的偏差。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（三）在绩效考评指标的设计上，部分特色指标缺乏数据支持和可行的分析测评，绩效指标体系有待完善。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六、改进措施和有关建议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加强绩效评价管理制度和流程的建设，进一步深化、完善绩效管理体系，建立全过程的预算绩效管理机制，促进绩效管理工作向广度和深度延伸。规范绩效评价管理资料的收集整理，确保相关信息完整、可靠，客观公正地反映项目资金实际使用和产生的绩效状况，为今后该项目实施方向及管理方式的改进提供指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NmNmZDQxOTljMzU2NTRlMWYwZmU3NGJjODY2NmEifQ=="/>
  </w:docVars>
  <w:rsids>
    <w:rsidRoot w:val="00000000"/>
    <w:rsid w:val="021C6E31"/>
    <w:rsid w:val="07530565"/>
    <w:rsid w:val="078A5516"/>
    <w:rsid w:val="2548591A"/>
    <w:rsid w:val="29C617F5"/>
    <w:rsid w:val="2B53126B"/>
    <w:rsid w:val="451A6680"/>
    <w:rsid w:val="520A4CE3"/>
    <w:rsid w:val="5D5E5998"/>
    <w:rsid w:val="6527164D"/>
    <w:rsid w:val="71C652CD"/>
    <w:rsid w:val="73A7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1078</Words>
  <Characters>1152</Characters>
  <Lines>0</Lines>
  <Paragraphs>0</Paragraphs>
  <TotalTime>19</TotalTime>
  <ScaleCrop>false</ScaleCrop>
  <LinksUpToDate>false</LinksUpToDate>
  <CharactersWithSpaces>1152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2022-06-28T07:10:00Z</dcterms:created>
  <dc:creator>Administrator</dc:creator>
  <cp:lastModifiedBy>Administrator</cp:lastModifiedBy>
  <dcterms:modified xsi:type="dcterms:W3CDTF">2023-09-21T01:50:34Z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D10DBAFABB754271B535743E614ADC2C</vt:lpwstr>
  </property>
</Properties>
</file>