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ind w:firstLine="640"/>
        <w:jc w:val="center"/>
        <w:rPr>
          <w:rFonts w:ascii="Arial" w:hAnsi="Arial" w:cs="Arial"/>
          <w:color w:val="333333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shd w:val="clear" w:color="auto" w:fill="FFFFFF"/>
        </w:rPr>
        <w:t>2021年度部门整体支出绩效评价报告</w:t>
      </w:r>
    </w:p>
    <w:bookmarkEnd w:id="0"/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一、部门整体支出绩效目标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1.20</w:t>
      </w:r>
      <w:r>
        <w:rPr>
          <w:rFonts w:ascii="Calibri" w:hAnsi="Calibri" w:eastAsia="宋体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ascii="Calibri" w:hAnsi="Calibri" w:eastAsia="宋体" w:cs="Calibri"/>
          <w:color w:val="333333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年重点工作计划。一是担责尽责，进一步压实意识形态工作责任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;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二是扩大宣传，进一步展示双清良好外部形象；三是锐意创新，进一步做好文明实践试点工作；四是持续发力，进一步践行社会主义主流价值；五是增强“四力”，进一步打造高素质宣传思想工作队伍。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预决算公开：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ascii="Calibri" w:hAnsi="Calibri" w:eastAsia="宋体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ascii="Calibri" w:hAnsi="Calibri" w:eastAsia="宋体" w:cs="Calibri"/>
          <w:color w:val="333333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年，按照区委、区政府和区财政局的要求，我单位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ascii="Calibri" w:hAnsi="Calibri" w:eastAsia="宋体"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年预决算在双清政务网进行了预决算公开。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3.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资产管理：严格执行《固定资产管理制度》，实行固定资产统一管理，专人负责固定资产的分类，统一编号，建立固定资产档案，登记账卡，负责审批并办理验收、调拨、报废、封存、启用等事项，保证账、卡、物三相符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4.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“三公经费”控制情况：我部在认真贯彻落实厉行节约、严控“三公”经费、降低一般运行经费、加强项目支出管理等方面取得了一定的成绩。实行“三公”经费预算和公示制度，有效地控制了“三公”经费支出。实际支出没有超出预算规模、范围和标准，没有挤占、摊派、乱收费和转移“三公”经费支出的行为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二、部门整体支出实施情况。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（一）狠抓理论学习，不断推进理论武装入脑入心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扎实开展党委理论中心组学习。党委理论中心组学习严格按照“六个环节”的学习要求，规范学习程序和环节。按照“一月一专题、上下同题”要求，结合“不忘初心、牢记使命”主题教育，开展区委中心组专题学习5次，确保了习近平新时代中国特色社会主义思想、十九届四中全会精神等内容的学习得到有效落实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着力推进基层理论宣传宣讲。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ascii="Calibri" w:hAnsi="Calibri" w:eastAsia="宋体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ascii="Calibri" w:hAnsi="Calibri" w:eastAsia="宋体" w:cs="Calibri"/>
          <w:color w:val="333333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年，双清区围绕学习宣传贯彻习近平新时代中国特色社会主义思想、党的十九大精神，党史学习。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（二））突出工作重点，不断深化全国文明城市创建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抓重点统筹推进促落实。多次召开创文工作领导小组会议和七大环境建设组工作调度会议，听取工作汇报，研究解决工作中的具体困难和问题10余个。为了打造全区文明“大创建”格局，我区进一步建立健全区级领导和区直部门联社区（村）共建机制，实施网格化管理，帮助社区（村）解决工作中遇到的困难和民生问题40多个。为了整治城市管理顽疾，区创文办还联合各相关职能部门，对市容环境、交通秩序、生态环境、建筑工地、市场秩序、校园周边环境等多项综合整治，取得了较好的治理效果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抓宣传全民动员造氛围。新增公益广告景观小品10余个，宣传牌30余块，小区院落的小型宣传牌200余块，创新建立了创文“红黑榜”引领良好道德风尚的形成。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三、绩效评价工作情况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（一）绩效评价目的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贯彻落实《预算法》，严格执行省、市、区绩效管理工作有关规定，进一步规范财政资金管理，强化财政支出绩效理念，提升部门责任意识，提高资金使用效益。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（二）绩效评价的主要过程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、前期准备。按照绩效自评工作要求，成立绩效评价工作小组，对相关的国家法律法规进行了认真学习，掌握政策，根据部门整体收支情况制定了部门整体支出绩效评价实施方案。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、组织实施。采用核查法核查2020年同级财政预算批复执行及部门整体支出情况，着重核查了“三公”经费及资产管理、内部控制制度等情况。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3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、分析评价。对评价过程中收集资料进行归纳，汇总分析，依据设定的部门整体支出绩效评价指标体系进行了评分，形成了综合性书面报告。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四、主要绩效及评价结论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（一）经济性评价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ind w:firstLine="4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本年预算安排控制较好，编制内在职人员控制率小于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100%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，控制在预算编制以内；“三公”经费预算总额未突破上年。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ind w:firstLine="420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预算执行方面，支出总额控制在预算总额以内；本年无转移资金支付，不存在截留或滞留专项资金情况。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（二）行政效能评价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机关支部制定了严格的机关管理制度，通过完善各项规章制度、开展支部活动来增强班子凝聚力，加强党性修养，提升工作执行力。组织召开了党内民主生活会，开展了批评与自我批评，党员干部当面提出问题、机关支部及时解决问题，达到了统一思想，增强团结，互相监督、共同提高的目的。尤其是针对反“四风”要求和作风建设一系列要求，对餐饮、公车、出差等公用经费制定了严格的规定。通过进一步加强部机关作风建设和效能建设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使部机关上下服务理念得到了进一步加强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执行能力得到了进一步提升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行政效率得到了进一步提高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行政行为得到了进一步规范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工作成效得到了进一步突出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作风、效能建设长效机制得到了进一步完善。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（三）社会效益评价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20</w:t>
      </w:r>
      <w:r>
        <w:rPr>
          <w:rFonts w:ascii="Calibri" w:hAnsi="Calibri" w:eastAsia="宋体" w:cs="Calibri"/>
          <w:color w:val="333333"/>
          <w:sz w:val="21"/>
          <w:szCs w:val="21"/>
          <w:shd w:val="clear" w:color="auto" w:fill="FFFFFF"/>
        </w:rPr>
        <w:t>2</w:t>
      </w:r>
      <w:r>
        <w:rPr>
          <w:rFonts w:hint="eastAsia" w:ascii="Calibri" w:hAnsi="Calibri" w:eastAsia="宋体" w:cs="Calibri"/>
          <w:color w:val="333333"/>
          <w:sz w:val="21"/>
          <w:szCs w:val="21"/>
          <w:shd w:val="clear" w:color="auto" w:fill="FFFFFF"/>
        </w:rPr>
        <w:t>1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年，我部干部职工认真贯彻落实党的十九大精神和区委区政府决策部署，努力工作，创先争优，不仅按照年初工作安排较好地完成各项工作任务，而且取得较好的成绩。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（四）评价结论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一是预算执行到位。严格执行《预算法》和各项财经纪律，机关管理制度健全，财务管理规范，预算编制合理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;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二是资金监管到位。经费开支按用途使用合理，做到专账专管</w:t>
      </w: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,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专款专用。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四、存在的问题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1.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绩效管理保障机制、绩效评价指标体系、绩效管理运行监控有待进一步完善。</w:t>
      </w:r>
    </w:p>
    <w:p>
      <w:pPr>
        <w:pStyle w:val="5"/>
        <w:widowControl/>
        <w:shd w:val="clear" w:color="auto" w:fill="FFFFFF"/>
        <w:spacing w:beforeAutospacing="0" w:afterAutospacing="0" w:line="390" w:lineRule="atLeast"/>
        <w:jc w:val="both"/>
        <w:rPr>
          <w:rFonts w:ascii="Arial" w:hAnsi="Arial" w:cs="Arial"/>
          <w:color w:val="333333"/>
          <w:sz w:val="21"/>
          <w:szCs w:val="21"/>
        </w:rPr>
      </w:pPr>
      <w:r>
        <w:rPr>
          <w:rFonts w:ascii="Calibri" w:hAnsi="Calibri" w:cs="Calibri"/>
          <w:color w:val="333333"/>
          <w:sz w:val="21"/>
          <w:szCs w:val="21"/>
          <w:shd w:val="clear" w:color="auto" w:fill="FFFFFF"/>
        </w:rPr>
        <w:t>2.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人员力量不足，导致一些业务工作难以高质高效有效完成。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lNmQ3NmZlMjZmZDJmMjkwZGJjOTdhMGFiNzQxZjgifQ=="/>
  </w:docVars>
  <w:rsids>
    <w:rsidRoot w:val="00172A27"/>
    <w:rsid w:val="200668BF"/>
    <w:rsid w:val="6DC609C5"/>
    <w:rsid w:val="6F41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link w:val="9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Body Text First Indent 2"/>
    <w:basedOn w:val="4"/>
    <w:qFormat/>
    <w:uiPriority w:val="0"/>
    <w:pPr>
      <w:ind w:firstLine="420" w:firstLineChars="200"/>
    </w:pPr>
  </w:style>
  <w:style w:type="character" w:customStyle="1" w:styleId="9">
    <w:name w:val="标题 3 Char"/>
    <w:link w:val="3"/>
    <w:uiPriority w:val="0"/>
    <w:rPr>
      <w:rFonts w:asciiTheme="minorAscii" w:hAnsiTheme="minorAscii" w:eastAsiaTheme="minorEastAsia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刘小艳18397644372</cp:lastModifiedBy>
  <dcterms:modified xsi:type="dcterms:W3CDTF">2022-09-28T01:27:48Z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0831E4A022B2440CBF287994CA29EE2F</vt:lpwstr>
  </property>
</Properties>
</file>