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bookmarkStart w:id="2" w:name="_GoBack"/>
      <w:bookmarkEnd w:id="2"/>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部门：双清区信访局金额单位：万元                                                           </w:t>
      </w:r>
    </w:p>
    <w:tbl>
      <w:tblPr>
        <w:tblStyle w:val="6"/>
        <w:tblW w:w="9299" w:type="dxa"/>
        <w:jc w:val="center"/>
        <w:tblLayout w:type="fixed"/>
        <w:tblCellMar>
          <w:top w:w="0" w:type="dxa"/>
          <w:left w:w="0" w:type="dxa"/>
          <w:bottom w:w="0" w:type="dxa"/>
          <w:right w:w="0" w:type="dxa"/>
        </w:tblCellMar>
      </w:tblPr>
      <w:tblGrid>
        <w:gridCol w:w="3330"/>
        <w:gridCol w:w="470"/>
        <w:gridCol w:w="709"/>
        <w:gridCol w:w="3311"/>
        <w:gridCol w:w="470"/>
        <w:gridCol w:w="1009"/>
      </w:tblGrid>
      <w:tr>
        <w:tblPrEx>
          <w:tblCellMar>
            <w:top w:w="0" w:type="dxa"/>
            <w:left w:w="0" w:type="dxa"/>
            <w:bottom w:w="0" w:type="dxa"/>
            <w:right w:w="0" w:type="dxa"/>
          </w:tblCellMar>
        </w:tblPrEx>
        <w:trPr>
          <w:trHeight w:val="212" w:hRule="atLeast"/>
          <w:jc w:val="center"/>
        </w:trPr>
        <w:tc>
          <w:tcPr>
            <w:tcW w:w="450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790"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793.88</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60.08</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74"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809.32</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809.32</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212" w:hRule="atLeast"/>
          <w:jc w:val="center"/>
        </w:trPr>
        <w:tc>
          <w:tcPr>
            <w:tcW w:w="33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809.32</w:t>
            </w:r>
          </w:p>
        </w:tc>
        <w:tc>
          <w:tcPr>
            <w:tcW w:w="33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809.32</w:t>
            </w:r>
          </w:p>
        </w:tc>
      </w:tr>
      <w:tr>
        <w:tblPrEx>
          <w:tblCellMar>
            <w:top w:w="0" w:type="dxa"/>
            <w:left w:w="0" w:type="dxa"/>
            <w:bottom w:w="0" w:type="dxa"/>
            <w:right w:w="0" w:type="dxa"/>
          </w:tblCellMar>
        </w:tblPrEx>
        <w:trPr>
          <w:trHeight w:val="212" w:hRule="atLeast"/>
          <w:jc w:val="center"/>
        </w:trPr>
        <w:tc>
          <w:tcPr>
            <w:tcW w:w="9299"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jc w:val="left"/>
              <w:textAlignment w:val="center"/>
              <w:rPr>
                <w:rFonts w:ascii="宋体" w:hAnsi="宋体" w:eastAsia="宋体" w:cs="宋体"/>
                <w:color w:val="000000"/>
                <w:kern w:val="0"/>
                <w:sz w:val="22"/>
              </w:rPr>
            </w:pPr>
          </w:p>
        </w:tc>
      </w:tr>
    </w:tbl>
    <w:p>
      <w:pPr>
        <w:widowControl/>
        <w:jc w:val="center"/>
        <w:rPr>
          <w:rFonts w:ascii="黑体" w:hAnsi="黑体" w:eastAsia="黑体" w:cs="黑体"/>
          <w:color w:val="000000"/>
          <w:kern w:val="0"/>
          <w:sz w:val="36"/>
          <w:szCs w:val="36"/>
        </w:rPr>
      </w:pPr>
    </w:p>
    <w:p>
      <w:pPr>
        <w:widowControl/>
        <w:jc w:val="center"/>
        <w:rPr>
          <w:rFonts w:ascii="黑体" w:hAnsi="黑体" w:eastAsia="黑体" w:cs="黑体"/>
          <w:color w:val="000000"/>
          <w:kern w:val="0"/>
          <w:sz w:val="36"/>
          <w:szCs w:val="36"/>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公开02表</w:t>
      </w:r>
    </w:p>
    <w:p>
      <w:pPr>
        <w:widowControl/>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收入决算表</w:t>
      </w:r>
    </w:p>
    <w:tbl>
      <w:tblPr>
        <w:tblStyle w:val="6"/>
        <w:tblW w:w="9757" w:type="dxa"/>
        <w:tblInd w:w="0" w:type="dxa"/>
        <w:tblLayout w:type="fixed"/>
        <w:tblCellMar>
          <w:top w:w="0" w:type="dxa"/>
          <w:left w:w="0" w:type="dxa"/>
          <w:bottom w:w="0" w:type="dxa"/>
          <w:right w:w="0" w:type="dxa"/>
        </w:tblCellMar>
      </w:tblPr>
      <w:tblGrid>
        <w:gridCol w:w="1623"/>
        <w:gridCol w:w="1983"/>
        <w:gridCol w:w="871"/>
        <w:gridCol w:w="212"/>
        <w:gridCol w:w="659"/>
        <w:gridCol w:w="191"/>
        <w:gridCol w:w="680"/>
        <w:gridCol w:w="534"/>
        <w:gridCol w:w="337"/>
        <w:gridCol w:w="92"/>
        <w:gridCol w:w="429"/>
        <w:gridCol w:w="350"/>
        <w:gridCol w:w="79"/>
        <w:gridCol w:w="240"/>
        <w:gridCol w:w="552"/>
        <w:gridCol w:w="871"/>
        <w:gridCol w:w="54"/>
      </w:tblGrid>
      <w:tr>
        <w:tblPrEx>
          <w:tblCellMar>
            <w:top w:w="0" w:type="dxa"/>
            <w:left w:w="0" w:type="dxa"/>
            <w:bottom w:w="0" w:type="dxa"/>
            <w:right w:w="0" w:type="dxa"/>
          </w:tblCellMar>
        </w:tblPrEx>
        <w:trPr>
          <w:trHeight w:val="255" w:hRule="atLeast"/>
        </w:trPr>
        <w:tc>
          <w:tcPr>
            <w:tcW w:w="4689"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部门：双清区信访局</w:t>
            </w:r>
          </w:p>
        </w:tc>
        <w:tc>
          <w:tcPr>
            <w:tcW w:w="8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1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54" w:type="dxa"/>
          <w:trHeight w:val="624" w:hRule="atLeast"/>
        </w:trPr>
        <w:tc>
          <w:tcPr>
            <w:tcW w:w="360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871"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71"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71"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71"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71"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gridAfter w:val="1"/>
          <w:wAfter w:w="54" w:type="dxa"/>
          <w:trHeight w:val="624" w:hRule="atLeast"/>
        </w:trPr>
        <w:tc>
          <w:tcPr>
            <w:tcW w:w="162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8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54" w:type="dxa"/>
          <w:trHeight w:val="624" w:hRule="atLeast"/>
        </w:trPr>
        <w:tc>
          <w:tcPr>
            <w:tcW w:w="162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98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54" w:type="dxa"/>
          <w:trHeight w:val="312" w:hRule="atLeast"/>
        </w:trPr>
        <w:tc>
          <w:tcPr>
            <w:tcW w:w="162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98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54" w:type="dxa"/>
          <w:trHeight w:val="624" w:hRule="atLeast"/>
        </w:trPr>
        <w:tc>
          <w:tcPr>
            <w:tcW w:w="360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7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7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7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7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7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gridAfter w:val="1"/>
          <w:wAfter w:w="54" w:type="dxa"/>
          <w:trHeight w:val="624" w:hRule="atLeast"/>
        </w:trPr>
        <w:tc>
          <w:tcPr>
            <w:tcW w:w="360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809.32</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749.24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60.08</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793.88</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60.08</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793.88</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60.08</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2010301</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2010302</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一般行政管理事务</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信访事务</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788.43</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728.35</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60.08</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2010399</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其他政府办公厅（室）及相关机构事务支出</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1"/>
          <w:wAfter w:w="54" w:type="dxa"/>
          <w:trHeight w:val="624" w:hRule="atLeast"/>
        </w:trPr>
        <w:tc>
          <w:tcPr>
            <w:tcW w:w="1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54" w:type="dxa"/>
          <w:trHeight w:val="308" w:hRule="atLeast"/>
        </w:trPr>
        <w:tc>
          <w:tcPr>
            <w:tcW w:w="9703"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jc w:val="left"/>
        <w:rPr>
          <w:rFonts w:ascii="Times New Roman" w:hAnsi="Times New Roman" w:eastAsia="黑体" w:cs="Times New Roman"/>
          <w:bCs/>
          <w:kern w:val="0"/>
          <w:sz w:val="32"/>
          <w:szCs w:val="32"/>
        </w:rPr>
      </w:pPr>
    </w:p>
    <w:p>
      <w:pPr>
        <w:widowControl/>
        <w:jc w:val="center"/>
        <w:rPr>
          <w:rFonts w:ascii="黑体" w:hAnsi="黑体" w:eastAsia="黑体" w:cs="黑体"/>
          <w:color w:val="000000"/>
          <w:kern w:val="0"/>
          <w:sz w:val="36"/>
          <w:szCs w:val="36"/>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公开02表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3</w:t>
      </w:r>
      <w:r>
        <w:rPr>
          <w:rFonts w:ascii="Times New Roman" w:hAnsi="Times New Roman" w:eastAsia="仿宋_GB2312" w:cs="Times New Roman"/>
          <w:color w:val="000000"/>
          <w:kern w:val="0"/>
          <w:szCs w:val="21"/>
        </w:rPr>
        <w:t>表</w:t>
      </w:r>
    </w:p>
    <w:p>
      <w:pPr>
        <w:widowControl/>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支出决算表</w:t>
      </w:r>
    </w:p>
    <w:tbl>
      <w:tblPr>
        <w:tblStyle w:val="6"/>
        <w:tblW w:w="11121" w:type="dxa"/>
        <w:tblInd w:w="0" w:type="dxa"/>
        <w:tblLayout w:type="fixed"/>
        <w:tblCellMar>
          <w:top w:w="0" w:type="dxa"/>
          <w:left w:w="0" w:type="dxa"/>
          <w:bottom w:w="0" w:type="dxa"/>
          <w:right w:w="0" w:type="dxa"/>
        </w:tblCellMar>
      </w:tblPr>
      <w:tblGrid>
        <w:gridCol w:w="917"/>
        <w:gridCol w:w="3772"/>
        <w:gridCol w:w="250"/>
        <w:gridCol w:w="600"/>
        <w:gridCol w:w="334"/>
        <w:gridCol w:w="766"/>
        <w:gridCol w:w="784"/>
        <w:gridCol w:w="721"/>
        <w:gridCol w:w="662"/>
        <w:gridCol w:w="767"/>
        <w:gridCol w:w="184"/>
        <w:gridCol w:w="1364"/>
      </w:tblGrid>
      <w:tr>
        <w:tblPrEx>
          <w:tblCellMar>
            <w:top w:w="0" w:type="dxa"/>
            <w:left w:w="0" w:type="dxa"/>
            <w:bottom w:w="0" w:type="dxa"/>
            <w:right w:w="0" w:type="dxa"/>
          </w:tblCellMar>
        </w:tblPrEx>
        <w:trPr>
          <w:trHeight w:val="255" w:hRule="atLeast"/>
        </w:trPr>
        <w:tc>
          <w:tcPr>
            <w:tcW w:w="468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部门：双清区信访局</w:t>
            </w:r>
          </w:p>
        </w:tc>
        <w:tc>
          <w:tcPr>
            <w:tcW w:w="8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18" w:type="dxa"/>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c>
          <w:tcPr>
            <w:tcW w:w="1364"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p>
        </w:tc>
      </w:tr>
      <w:tr>
        <w:tblPrEx>
          <w:tblCellMar>
            <w:top w:w="0" w:type="dxa"/>
            <w:left w:w="0" w:type="dxa"/>
            <w:bottom w:w="0" w:type="dxa"/>
            <w:right w:w="0" w:type="dxa"/>
          </w:tblCellMar>
        </w:tblPrEx>
        <w:trPr>
          <w:gridAfter w:val="2"/>
          <w:wAfter w:w="1548" w:type="dxa"/>
          <w:trHeight w:val="624" w:hRule="atLeast"/>
        </w:trPr>
        <w:tc>
          <w:tcPr>
            <w:tcW w:w="493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34"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76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2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66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7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2"/>
          <w:wAfter w:w="1548" w:type="dxa"/>
          <w:trHeight w:val="624" w:hRule="atLeast"/>
        </w:trPr>
        <w:tc>
          <w:tcPr>
            <w:tcW w:w="91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022"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3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1548" w:type="dxa"/>
          <w:trHeight w:val="624" w:hRule="atLeast"/>
        </w:trPr>
        <w:tc>
          <w:tcPr>
            <w:tcW w:w="9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022"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93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1548" w:type="dxa"/>
          <w:trHeight w:val="312" w:hRule="atLeast"/>
        </w:trPr>
        <w:tc>
          <w:tcPr>
            <w:tcW w:w="91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022"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93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1548" w:type="dxa"/>
          <w:trHeight w:val="624" w:hRule="atLeast"/>
        </w:trPr>
        <w:tc>
          <w:tcPr>
            <w:tcW w:w="4939"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3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After w:val="2"/>
          <w:wAfter w:w="1548" w:type="dxa"/>
          <w:trHeight w:val="624" w:hRule="atLeast"/>
        </w:trPr>
        <w:tc>
          <w:tcPr>
            <w:tcW w:w="4939"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809.32</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287.65</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521.68</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793.88</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272.21</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521.68</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793.88</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272.21</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521.68</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2010301</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2010302</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一般行政管理事务</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信访事务</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788.43</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266.76</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521.68</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2010399</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其他政府办公厅（室）及相关机构事务支出</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2"/>
          <w:wAfter w:w="1548" w:type="dxa"/>
          <w:trHeight w:val="624" w:hRule="atLeast"/>
        </w:trPr>
        <w:tc>
          <w:tcPr>
            <w:tcW w:w="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9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1548" w:type="dxa"/>
          <w:trHeight w:val="308" w:hRule="atLeast"/>
        </w:trPr>
        <w:tc>
          <w:tcPr>
            <w:tcW w:w="957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pPr>
        <w:widowControl/>
        <w:spacing w:line="400" w:lineRule="exact"/>
        <w:ind w:firstLine="600" w:firstLineChars="300"/>
        <w:jc w:val="left"/>
        <w:rPr>
          <w:rFonts w:ascii="Times New Roman" w:hAnsi="Times New Roman" w:eastAsia="仿宋_GB2312" w:cs="Times New Roman"/>
          <w:color w:val="000000"/>
          <w:kern w:val="0"/>
          <w:sz w:val="20"/>
          <w:szCs w:val="20"/>
        </w:rPr>
      </w:pPr>
    </w:p>
    <w:p>
      <w:pPr>
        <w:widowControl/>
        <w:spacing w:line="400" w:lineRule="exact"/>
        <w:ind w:firstLine="600" w:firstLineChars="300"/>
        <w:jc w:val="left"/>
        <w:rPr>
          <w:rFonts w:ascii="Times New Roman" w:hAnsi="Times New Roman" w:eastAsia="仿宋_GB2312" w:cs="Times New Roman"/>
          <w:color w:val="000000"/>
          <w:kern w:val="0"/>
          <w:sz w:val="20"/>
          <w:szCs w:val="20"/>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rPr>
        <w:t>4</w:t>
      </w:r>
      <w:r>
        <w:rPr>
          <w:rFonts w:ascii="Times New Roman" w:hAnsi="Times New Roman" w:eastAsia="仿宋_GB2312" w:cs="Times New Roman"/>
          <w:color w:val="000000"/>
          <w:kern w:val="0"/>
          <w:sz w:val="20"/>
          <w:szCs w:val="20"/>
        </w:rPr>
        <w:t>表</w:t>
      </w:r>
    </w:p>
    <w:p>
      <w:pPr>
        <w:widowControl/>
        <w:ind w:left="93"/>
        <w:jc w:val="center"/>
        <w:rPr>
          <w:rFonts w:ascii="黑体" w:hAnsi="黑体" w:eastAsia="黑体" w:cs="黑体"/>
          <w:color w:val="000000"/>
          <w:kern w:val="0"/>
          <w:sz w:val="32"/>
          <w:szCs w:val="32"/>
        </w:rPr>
      </w:pPr>
      <w:r>
        <w:rPr>
          <w:rFonts w:hint="eastAsia" w:ascii="黑体" w:hAnsi="黑体" w:eastAsia="黑体" w:cs="黑体"/>
          <w:color w:val="000000"/>
          <w:kern w:val="0"/>
          <w:sz w:val="36"/>
          <w:szCs w:val="21"/>
        </w:rPr>
        <w:t>财政拨款收入支出决算总表</w:t>
      </w:r>
    </w:p>
    <w:p>
      <w:pPr>
        <w:widowControl/>
        <w:ind w:left="93"/>
        <w:jc w:val="left"/>
        <w:rPr>
          <w:rFonts w:ascii="宋体" w:hAnsi="宋体" w:eastAsia="宋体" w:cs="宋体"/>
          <w:color w:val="000000"/>
          <w:kern w:val="0"/>
          <w:sz w:val="20"/>
          <w:szCs w:val="20"/>
        </w:rPr>
      </w:pPr>
    </w:p>
    <w:p>
      <w:pPr>
        <w:widowControl/>
        <w:ind w:left="93"/>
        <w:jc w:val="left"/>
        <w:rPr>
          <w:rFonts w:ascii="Times New Roman" w:hAnsi="Times New Roman" w:eastAsia="仿宋_GB2312" w:cs="Times New Roman"/>
          <w:color w:val="000000"/>
          <w:kern w:val="0"/>
          <w:sz w:val="20"/>
          <w:szCs w:val="20"/>
        </w:rPr>
      </w:pPr>
      <w:r>
        <w:rPr>
          <w:rFonts w:hint="eastAsia" w:ascii="宋体" w:hAnsi="宋体" w:eastAsia="宋体" w:cs="宋体"/>
          <w:color w:val="000000"/>
          <w:kern w:val="0"/>
          <w:sz w:val="20"/>
          <w:szCs w:val="20"/>
        </w:rPr>
        <w:t>部门：双清区信访局金额单位：万元</w:t>
      </w:r>
    </w:p>
    <w:tbl>
      <w:tblPr>
        <w:tblStyle w:val="6"/>
        <w:tblW w:w="10833" w:type="dxa"/>
        <w:jc w:val="center"/>
        <w:tblLayout w:type="fixed"/>
        <w:tblCellMar>
          <w:top w:w="0" w:type="dxa"/>
          <w:left w:w="0" w:type="dxa"/>
          <w:bottom w:w="0" w:type="dxa"/>
          <w:right w:w="0" w:type="dxa"/>
        </w:tblCellMar>
      </w:tblPr>
      <w:tblGrid>
        <w:gridCol w:w="2898"/>
        <w:gridCol w:w="250"/>
        <w:gridCol w:w="692"/>
        <w:gridCol w:w="3022"/>
        <w:gridCol w:w="567"/>
        <w:gridCol w:w="692"/>
        <w:gridCol w:w="1287"/>
        <w:gridCol w:w="1425"/>
      </w:tblGrid>
      <w:tr>
        <w:tblPrEx>
          <w:tblCellMar>
            <w:top w:w="0" w:type="dxa"/>
            <w:left w:w="0" w:type="dxa"/>
            <w:bottom w:w="0" w:type="dxa"/>
            <w:right w:w="0" w:type="dxa"/>
          </w:tblCellMar>
        </w:tblPrEx>
        <w:trPr>
          <w:trHeight w:val="103" w:hRule="atLeast"/>
          <w:jc w:val="center"/>
        </w:trPr>
        <w:tc>
          <w:tcPr>
            <w:tcW w:w="384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6993"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89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0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14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r>
      <w:tr>
        <w:tblPrEx>
          <w:tblCellMar>
            <w:top w:w="0" w:type="dxa"/>
            <w:left w:w="0" w:type="dxa"/>
            <w:bottom w:w="0" w:type="dxa"/>
            <w:right w:w="0" w:type="dxa"/>
          </w:tblCellMar>
        </w:tblPrEx>
        <w:trPr>
          <w:trHeight w:val="312" w:hRule="atLeast"/>
          <w:jc w:val="center"/>
        </w:trPr>
        <w:tc>
          <w:tcPr>
            <w:tcW w:w="289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6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0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69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2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6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6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98"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252"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103" w:hRule="atLeast"/>
          <w:jc w:val="center"/>
        </w:trPr>
        <w:tc>
          <w:tcPr>
            <w:tcW w:w="289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3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1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749.24</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103" w:hRule="atLeast"/>
          <w:jc w:val="center"/>
        </w:trPr>
        <w:tc>
          <w:tcPr>
            <w:tcW w:w="10833"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pPr>
        <w:widowControl/>
        <w:tabs>
          <w:tab w:val="left" w:pos="4453"/>
          <w:tab w:val="left" w:pos="4933"/>
          <w:tab w:val="left" w:pos="6813"/>
          <w:tab w:val="left" w:pos="11113"/>
          <w:tab w:val="left" w:pos="11549"/>
          <w:tab w:val="left" w:pos="13429"/>
          <w:tab w:val="left" w:pos="15089"/>
        </w:tabs>
        <w:spacing w:line="240" w:lineRule="exact"/>
        <w:ind w:left="91" w:right="630"/>
        <w:jc w:val="left"/>
        <w:rPr>
          <w:rFonts w:ascii="Times New Roman" w:hAnsi="Times New Roman" w:eastAsia="宋体" w:cs="Times New Roman"/>
          <w:color w:val="000000"/>
          <w:kern w:val="0"/>
          <w:szCs w:val="21"/>
        </w:rPr>
      </w:pPr>
    </w:p>
    <w:p>
      <w:pPr>
        <w:widowControl/>
        <w:tabs>
          <w:tab w:val="left" w:pos="4453"/>
          <w:tab w:val="left" w:pos="4933"/>
          <w:tab w:val="left" w:pos="6813"/>
          <w:tab w:val="left" w:pos="11113"/>
          <w:tab w:val="left" w:pos="11549"/>
          <w:tab w:val="left" w:pos="13429"/>
          <w:tab w:val="left" w:pos="15089"/>
        </w:tabs>
        <w:spacing w:line="240" w:lineRule="exact"/>
        <w:ind w:left="91" w:right="630"/>
        <w:jc w:val="left"/>
        <w:rPr>
          <w:rFonts w:ascii="Times New Roman" w:hAnsi="Times New Roman" w:eastAsia="宋体" w:cs="Times New Roman"/>
          <w:color w:val="000000"/>
          <w:kern w:val="0"/>
          <w:szCs w:val="21"/>
        </w:rPr>
      </w:pPr>
    </w:p>
    <w:p>
      <w:pPr>
        <w:widowControl/>
        <w:tabs>
          <w:tab w:val="left" w:pos="4453"/>
          <w:tab w:val="left" w:pos="4933"/>
          <w:tab w:val="left" w:pos="6813"/>
          <w:tab w:val="left" w:pos="11113"/>
          <w:tab w:val="left" w:pos="11549"/>
          <w:tab w:val="left" w:pos="13429"/>
          <w:tab w:val="left" w:pos="15089"/>
        </w:tabs>
        <w:spacing w:line="240" w:lineRule="exact"/>
        <w:ind w:left="91" w:right="630"/>
        <w:jc w:val="left"/>
        <w:rPr>
          <w:rFonts w:ascii="Times New Roman" w:hAnsi="Times New Roman" w:eastAsia="宋体" w:cs="Times New Roman"/>
          <w:color w:val="000000"/>
          <w:kern w:val="0"/>
          <w:szCs w:val="21"/>
        </w:rPr>
      </w:pPr>
    </w:p>
    <w:p>
      <w:pPr>
        <w:widowControl/>
        <w:tabs>
          <w:tab w:val="left" w:pos="4453"/>
          <w:tab w:val="left" w:pos="4933"/>
          <w:tab w:val="left" w:pos="6813"/>
          <w:tab w:val="left" w:pos="11113"/>
          <w:tab w:val="left" w:pos="11549"/>
          <w:tab w:val="left" w:pos="13429"/>
          <w:tab w:val="left" w:pos="15089"/>
        </w:tabs>
        <w:spacing w:line="240" w:lineRule="exact"/>
        <w:ind w:left="91" w:right="630"/>
        <w:jc w:val="left"/>
        <w:rPr>
          <w:rFonts w:ascii="Times New Roman" w:hAnsi="Times New Roman" w:eastAsia="宋体" w:cs="Times New Roman"/>
          <w:color w:val="000000"/>
          <w:kern w:val="0"/>
          <w:szCs w:val="21"/>
        </w:rPr>
      </w:pPr>
    </w:p>
    <w:p>
      <w:pPr>
        <w:widowControl/>
        <w:tabs>
          <w:tab w:val="left" w:pos="4453"/>
          <w:tab w:val="left" w:pos="4933"/>
          <w:tab w:val="left" w:pos="6813"/>
          <w:tab w:val="left" w:pos="11113"/>
          <w:tab w:val="left" w:pos="11549"/>
          <w:tab w:val="left" w:pos="13429"/>
          <w:tab w:val="left" w:pos="15089"/>
        </w:tabs>
        <w:spacing w:line="240" w:lineRule="exact"/>
        <w:ind w:left="91" w:right="63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表</w:t>
      </w:r>
    </w:p>
    <w:p>
      <w:pPr>
        <w:widowControl/>
        <w:jc w:val="left"/>
        <w:rPr>
          <w:rFonts w:ascii="Times New Roman" w:hAnsi="Times New Roman" w:eastAsia="仿宋_GB2312" w:cs="Times New Roman"/>
          <w:kern w:val="0"/>
          <w:szCs w:val="21"/>
        </w:rPr>
      </w:pPr>
    </w:p>
    <w:p>
      <w:pPr>
        <w:widowControl/>
        <w:ind w:firstLine="2160" w:firstLineChars="600"/>
        <w:rPr>
          <w:rFonts w:ascii="黑体" w:hAnsi="黑体" w:eastAsia="黑体" w:cs="黑体"/>
          <w:kern w:val="0"/>
          <w:sz w:val="36"/>
          <w:szCs w:val="36"/>
        </w:rPr>
      </w:pPr>
      <w:bookmarkStart w:id="0" w:name="RANGE!A1:F16"/>
      <w:r>
        <w:rPr>
          <w:rFonts w:hint="eastAsia" w:ascii="黑体" w:hAnsi="黑体" w:eastAsia="黑体" w:cs="黑体"/>
          <w:kern w:val="0"/>
          <w:sz w:val="36"/>
          <w:szCs w:val="36"/>
        </w:rPr>
        <w:t>一般公共预算财政拨款支出决算表</w:t>
      </w:r>
      <w:bookmarkEnd w:id="0"/>
    </w:p>
    <w:tbl>
      <w:tblPr>
        <w:tblStyle w:val="6"/>
        <w:tblW w:w="0" w:type="auto"/>
        <w:tblInd w:w="0" w:type="dxa"/>
        <w:tblLayout w:type="autofit"/>
        <w:tblCellMar>
          <w:top w:w="0" w:type="dxa"/>
          <w:left w:w="0" w:type="dxa"/>
          <w:bottom w:w="0" w:type="dxa"/>
          <w:right w:w="0" w:type="dxa"/>
        </w:tblCellMar>
      </w:tblPr>
      <w:tblGrid>
        <w:gridCol w:w="1830"/>
        <w:gridCol w:w="36"/>
        <w:gridCol w:w="36"/>
        <w:gridCol w:w="4430"/>
        <w:gridCol w:w="696"/>
        <w:gridCol w:w="870"/>
        <w:gridCol w:w="1430"/>
      </w:tblGrid>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部门：双清区信访局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749.24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287.65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461.59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461.59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461.59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728.35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461.59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left"/>
        <w:rPr>
          <w:rFonts w:ascii="黑体" w:hAnsi="黑体" w:eastAsia="黑体" w:cs="黑体"/>
          <w:color w:val="000000"/>
          <w:kern w:val="0"/>
          <w:sz w:val="28"/>
          <w:szCs w:val="36"/>
        </w:rPr>
      </w:pPr>
      <w:bookmarkStart w:id="1" w:name="RANGE!A1:I39"/>
      <w:r>
        <w:rPr>
          <w:rFonts w:hint="eastAsia" w:ascii="宋体" w:hAnsi="宋体" w:eastAsia="宋体" w:cs="宋体"/>
          <w:color w:val="000000"/>
          <w:kern w:val="0"/>
          <w:sz w:val="20"/>
          <w:szCs w:val="20"/>
        </w:rPr>
        <w:t>公开06表</w:t>
      </w:r>
    </w:p>
    <w:p>
      <w:pPr>
        <w:widowControl/>
        <w:jc w:val="center"/>
        <w:rPr>
          <w:rFonts w:ascii="黑体" w:hAnsi="黑体" w:eastAsia="黑体" w:cs="黑体"/>
          <w:color w:val="000000"/>
          <w:kern w:val="0"/>
          <w:sz w:val="28"/>
          <w:szCs w:val="36"/>
        </w:rPr>
      </w:pPr>
      <w:r>
        <w:rPr>
          <w:rFonts w:hint="eastAsia" w:ascii="黑体" w:hAnsi="黑体" w:eastAsia="黑体" w:cs="黑体"/>
          <w:color w:val="000000"/>
          <w:kern w:val="0"/>
          <w:sz w:val="28"/>
          <w:szCs w:val="36"/>
        </w:rPr>
        <w:t>一般公共预算财政拨款基本支出决算表</w:t>
      </w:r>
      <w:bookmarkEnd w:id="1"/>
    </w:p>
    <w:tbl>
      <w:tblPr>
        <w:tblStyle w:val="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0"/>
        <w:gridCol w:w="2500"/>
        <w:gridCol w:w="847"/>
        <w:gridCol w:w="653"/>
        <w:gridCol w:w="1645"/>
        <w:gridCol w:w="616"/>
        <w:gridCol w:w="816"/>
        <w:gridCol w:w="205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784" w:type="dxa"/>
            <w:gridSpan w:val="9"/>
            <w:tcBorders>
              <w:top w:val="nil"/>
              <w:left w:val="nil"/>
              <w:bottom w:val="single" w:color="auto" w:sz="4" w:space="0"/>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20"/>
                <w:szCs w:val="20"/>
              </w:rPr>
              <w:t>部门：双清区信访局金额单位：万元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4137" w:type="dxa"/>
            <w:gridSpan w:val="3"/>
            <w:tcBorders>
              <w:top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647" w:type="dxa"/>
            <w:gridSpan w:val="6"/>
            <w:tcBorders>
              <w:top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90"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500"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47"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3"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645"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16"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816"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050"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67" w:type="dxa"/>
            <w:vMerge w:val="restart"/>
            <w:shd w:val="clear" w:color="FFFFFF" w:fill="C0C0C0"/>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90"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500"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47"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653"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1645"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616"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16"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050"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67" w:type="dxa"/>
            <w:vMerge w:val="continue"/>
            <w:shd w:val="clear" w:color="FFFFFF" w:fill="C0C0C0"/>
            <w:tcMar>
              <w:top w:w="15" w:type="dxa"/>
              <w:left w:w="15" w:type="dxa"/>
              <w:right w:w="15" w:type="dxa"/>
            </w:tcMar>
            <w:vAlign w:val="center"/>
          </w:tcPr>
          <w:p>
            <w:pPr>
              <w:spacing w:line="240" w:lineRule="exact"/>
              <w:jc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9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250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847"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182.39</w:t>
            </w:r>
          </w:p>
        </w:tc>
        <w:tc>
          <w:tcPr>
            <w:tcW w:w="653"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1645"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616"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98.33</w:t>
            </w:r>
          </w:p>
        </w:tc>
        <w:tc>
          <w:tcPr>
            <w:tcW w:w="816"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205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867"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250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基本工资</w:t>
            </w:r>
          </w:p>
        </w:tc>
        <w:tc>
          <w:tcPr>
            <w:tcW w:w="847"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45.09</w:t>
            </w:r>
          </w:p>
        </w:tc>
        <w:tc>
          <w:tcPr>
            <w:tcW w:w="653"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1645"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办公费</w:t>
            </w:r>
          </w:p>
        </w:tc>
        <w:tc>
          <w:tcPr>
            <w:tcW w:w="616"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19.64</w:t>
            </w:r>
          </w:p>
        </w:tc>
        <w:tc>
          <w:tcPr>
            <w:tcW w:w="816"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2050" w:type="dxa"/>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国内债务付息</w:t>
            </w:r>
          </w:p>
        </w:tc>
        <w:tc>
          <w:tcPr>
            <w:tcW w:w="867" w:type="dxa"/>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津贴补贴</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36.80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印刷费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国外债务付息</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奖金</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56.02</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咨询费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伙食补助费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手续费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房屋建筑物购建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绩效工资</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水费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办公设备购置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12.76</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电费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0.32</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专用设备购置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职业年金缴费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邮电费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14.67</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基础设施建设</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职工基本医疗保险缴费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6.47</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取暖费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大型修缮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公务员医疗补助缴费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3.66</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物业管理费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信息网络及软件购置更新</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其他社会保障缴费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0.62</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差旅费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8.10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物资储备</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15.44</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因公出国（境）费用</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土地补偿</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医疗费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维修（护）费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安置补助</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其他工资福利支出</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5.52</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租赁费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6.89</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地上附着物和青苗补偿</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6.93</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会议费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8.26</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拆迁补偿</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离休费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培训费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1.15</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退休费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0.89</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其他交通工具购置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退职（役）费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专用材料费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文物和陈列品购置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抚恤金</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被装购置费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无形资产购置</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生活补助</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0.36</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专用燃料费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其他资本性支出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救济费</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0.36</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劳务费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13.91</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医疗费补助</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委托业务费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赠与</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助学金</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工会经费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国家赔偿费用支出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奖励金</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福利费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5.79</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对民间非营利组织和群众性自治组织补贴</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个人农业生产补贴</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205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2500"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其他对个人和家庭的补助</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6.21</w:t>
            </w: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其他交通费用</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6.73</w:t>
            </w:r>
          </w:p>
        </w:tc>
        <w:tc>
          <w:tcPr>
            <w:tcW w:w="816"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050" w:type="dxa"/>
            <w:tcBorders>
              <w:tl2br w:val="nil"/>
              <w:tr2bl w:val="nil"/>
            </w:tcBorders>
            <w:shd w:val="clear" w:color="FFFFFF" w:fill="C0C0C0"/>
            <w:noWrap/>
            <w:tcMar>
              <w:top w:w="15" w:type="dxa"/>
              <w:left w:w="15" w:type="dxa"/>
              <w:right w:w="15" w:type="dxa"/>
            </w:tcMar>
            <w:vAlign w:val="center"/>
          </w:tcPr>
          <w:p>
            <w:pPr>
              <w:spacing w:line="200" w:lineRule="exact"/>
              <w:jc w:val="center"/>
              <w:rPr>
                <w:rFonts w:ascii="宋体" w:hAnsi="宋体" w:eastAsia="宋体" w:cs="宋体"/>
                <w:color w:val="000000"/>
                <w:sz w:val="22"/>
              </w:rPr>
            </w:pPr>
          </w:p>
        </w:tc>
        <w:tc>
          <w:tcPr>
            <w:tcW w:w="867" w:type="dxa"/>
            <w:tcBorders>
              <w:tl2br w:val="nil"/>
              <w:tr2bl w:val="nil"/>
            </w:tcBorders>
            <w:shd w:val="clear" w:color="auto" w:fill="auto"/>
            <w:noWrap/>
            <w:tcMar>
              <w:top w:w="15" w:type="dxa"/>
              <w:left w:w="15" w:type="dxa"/>
              <w:right w:w="15" w:type="dxa"/>
            </w:tcMar>
            <w:vAlign w:val="center"/>
          </w:tcPr>
          <w:p>
            <w:pPr>
              <w:spacing w:line="240" w:lineRule="exact"/>
              <w:jc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50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47" w:type="dxa"/>
            <w:tcBorders>
              <w:tl2br w:val="nil"/>
              <w:tr2bl w:val="nil"/>
            </w:tcBorders>
            <w:shd w:val="clear" w:color="auto" w:fill="auto"/>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税金及附加费用</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816"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05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67" w:type="dxa"/>
            <w:tcBorders>
              <w:tl2br w:val="nil"/>
              <w:tr2bl w:val="nil"/>
            </w:tcBorders>
            <w:shd w:val="clear" w:color="auto" w:fill="auto"/>
            <w:noWrap/>
            <w:tcMar>
              <w:top w:w="15" w:type="dxa"/>
              <w:left w:w="15" w:type="dxa"/>
              <w:right w:w="15" w:type="dxa"/>
            </w:tcMar>
            <w:vAlign w:val="center"/>
          </w:tcPr>
          <w:p>
            <w:pPr>
              <w:spacing w:line="240" w:lineRule="exact"/>
              <w:jc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79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50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47" w:type="dxa"/>
            <w:tcBorders>
              <w:tl2br w:val="nil"/>
              <w:tr2bl w:val="nil"/>
            </w:tcBorders>
            <w:shd w:val="clear" w:color="auto" w:fill="auto"/>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653"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1645" w:type="dxa"/>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其他商品和服务支出</w:t>
            </w:r>
          </w:p>
        </w:tc>
        <w:tc>
          <w:tcPr>
            <w:tcW w:w="616"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6.98</w:t>
            </w:r>
          </w:p>
        </w:tc>
        <w:tc>
          <w:tcPr>
            <w:tcW w:w="816"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2050" w:type="dxa"/>
            <w:tcBorders>
              <w:tl2br w:val="nil"/>
              <w:tr2bl w:val="nil"/>
            </w:tcBorders>
            <w:shd w:val="clear" w:color="FFFFFF" w:fill="C0C0C0"/>
            <w:noWrap/>
            <w:tcMar>
              <w:top w:w="15" w:type="dxa"/>
              <w:left w:w="15" w:type="dxa"/>
              <w:right w:w="15" w:type="dxa"/>
            </w:tcMar>
            <w:vAlign w:val="center"/>
          </w:tcPr>
          <w:p>
            <w:pPr>
              <w:spacing w:line="240" w:lineRule="exact"/>
              <w:jc w:val="center"/>
              <w:rPr>
                <w:rFonts w:ascii="宋体" w:hAnsi="宋体" w:eastAsia="宋体" w:cs="宋体"/>
                <w:color w:val="000000"/>
                <w:sz w:val="22"/>
              </w:rPr>
            </w:pPr>
          </w:p>
        </w:tc>
        <w:tc>
          <w:tcPr>
            <w:tcW w:w="867" w:type="dxa"/>
            <w:tcBorders>
              <w:tl2br w:val="nil"/>
              <w:tr2bl w:val="nil"/>
            </w:tcBorders>
            <w:shd w:val="clear" w:color="auto" w:fill="auto"/>
            <w:noWrap/>
            <w:tcMar>
              <w:top w:w="15" w:type="dxa"/>
              <w:left w:w="15" w:type="dxa"/>
              <w:right w:w="15" w:type="dxa"/>
            </w:tcMar>
            <w:vAlign w:val="center"/>
          </w:tcPr>
          <w:p>
            <w:pPr>
              <w:spacing w:line="240" w:lineRule="exact"/>
              <w:jc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3290" w:type="dxa"/>
            <w:gridSpan w:val="2"/>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84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189.32</w:t>
            </w:r>
          </w:p>
        </w:tc>
        <w:tc>
          <w:tcPr>
            <w:tcW w:w="5780" w:type="dxa"/>
            <w:gridSpan w:val="5"/>
            <w:tcBorders>
              <w:tl2br w:val="nil"/>
              <w:tr2bl w:val="nil"/>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867" w:type="dxa"/>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10784" w:type="dxa"/>
            <w:gridSpan w:val="9"/>
            <w:tcBorders>
              <w:tl2br w:val="nil"/>
              <w:tr2bl w:val="nil"/>
            </w:tcBorders>
            <w:shd w:val="clear" w:color="auto" w:fill="auto"/>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pPr>
        <w:widowControl/>
        <w:jc w:val="left"/>
        <w:rPr>
          <w:rFonts w:ascii="黑体" w:hAnsi="黑体" w:eastAsia="黑体"/>
          <w:szCs w:val="21"/>
        </w:rPr>
        <w:sectPr>
          <w:pgSz w:w="11906" w:h="16838"/>
          <w:pgMar w:top="1417" w:right="1304" w:bottom="1417" w:left="1304" w:header="851" w:footer="992" w:gutter="0"/>
          <w:cols w:space="0" w:num="1"/>
          <w:docGrid w:type="lines" w:linePitch="312" w:charSpace="0"/>
        </w:sectPr>
      </w:pPr>
      <w:r>
        <w:rPr>
          <w:rFonts w:ascii="黑体" w:hAnsi="黑体" w:eastAsia="黑体"/>
          <w:szCs w:val="21"/>
        </w:rPr>
        <w:br w:type="page"/>
      </w:r>
    </w:p>
    <w:p>
      <w:pPr>
        <w:widowControl/>
        <w:jc w:val="left"/>
        <w:rPr>
          <w:rFonts w:ascii="黑体" w:hAnsi="黑体" w:eastAsia="黑体"/>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一般公共预算财政拨款“三公”经费支出决算表</w:t>
      </w:r>
    </w:p>
    <w:p>
      <w:pPr>
        <w:widowControl/>
        <w:ind w:right="42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双清区信访局</w:t>
      </w:r>
      <w:r>
        <w:rPr>
          <w:rFonts w:ascii="Times New Roman" w:hAnsi="Times New Roman" w:eastAsia="仿宋_GB2312" w:cs="Times New Roman"/>
          <w:color w:val="000000"/>
          <w:kern w:val="0"/>
          <w:szCs w:val="21"/>
        </w:rPr>
        <w:t>单位：万元</w:t>
      </w:r>
    </w:p>
    <w:p>
      <w:pPr>
        <w:widowControl/>
        <w:jc w:val="left"/>
        <w:rPr>
          <w:rFonts w:ascii="Times New Roman" w:hAnsi="Times New Roman" w:eastAsia="仿宋_GB2312" w:cs="Times New Roman"/>
          <w:color w:val="000000"/>
          <w:kern w:val="0"/>
          <w:szCs w:val="21"/>
        </w:r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0.89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jc w:val="left"/>
        <w:rPr>
          <w:rFonts w:ascii="宋体" w:eastAsia="宋体" w:cs="宋体"/>
          <w:b/>
          <w:bCs/>
          <w:kern w:val="0"/>
          <w:sz w:val="24"/>
          <w:szCs w:val="24"/>
        </w:rPr>
      </w:pPr>
      <w:r>
        <w:rPr>
          <w:rFonts w:ascii="Times New Roman" w:hAnsi="Times New Roman" w:eastAsia="仿宋_GB2312" w:cs="Times New Roman"/>
          <w:color w:val="000000"/>
          <w:kern w:val="0"/>
          <w:szCs w:val="21"/>
        </w:rPr>
        <w:t>公开08表</w:t>
      </w:r>
    </w:p>
    <w:p>
      <w:pPr>
        <w:widowControl/>
        <w:jc w:val="center"/>
        <w:rPr>
          <w:rFonts w:ascii="黑体" w:hAnsi="黑体" w:eastAsia="黑体" w:cs="黑体"/>
          <w:kern w:val="0"/>
          <w:sz w:val="36"/>
          <w:szCs w:val="36"/>
        </w:rPr>
      </w:pPr>
      <w:r>
        <w:rPr>
          <w:rFonts w:hint="eastAsia" w:ascii="黑体" w:hAnsi="黑体" w:eastAsia="黑体" w:cs="黑体"/>
          <w:kern w:val="0"/>
          <w:sz w:val="36"/>
          <w:szCs w:val="36"/>
        </w:rPr>
        <w:t>政府性基金预算财政拨款收入支出决算表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双清区信访局</w:t>
      </w:r>
      <w:r>
        <w:rPr>
          <w:rFonts w:ascii="Times New Roman" w:hAnsi="Times New Roman" w:eastAsia="仿宋_GB2312" w:cs="Times New Roman"/>
          <w:color w:val="000000"/>
          <w:kern w:val="0"/>
          <w:szCs w:val="21"/>
        </w:rPr>
        <w:t xml:space="preserve"> 单位：万元</w:t>
      </w:r>
    </w:p>
    <w:p>
      <w:pPr>
        <w:widowControl/>
        <w:wordWrap w:val="0"/>
        <w:jc w:val="left"/>
        <w:rPr>
          <w:rFonts w:ascii="Times New Roman" w:hAnsi="Times New Roman" w:eastAsia="仿宋_GB2312" w:cs="Times New Roman"/>
          <w:color w:val="000000"/>
          <w:kern w:val="0"/>
          <w:szCs w:val="21"/>
        </w:r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1304" w:right="1417" w:bottom="1304" w:left="1417" w:header="851" w:footer="992" w:gutter="0"/>
          <w:cols w:space="0" w:num="1"/>
          <w:docGrid w:type="lines" w:linePitch="320"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E3"/>
    <w:rsid w:val="00026A05"/>
    <w:rsid w:val="001E6BE3"/>
    <w:rsid w:val="00334A7E"/>
    <w:rsid w:val="00490DCF"/>
    <w:rsid w:val="005838D8"/>
    <w:rsid w:val="00873291"/>
    <w:rsid w:val="42B23F39"/>
    <w:rsid w:val="68CB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936</Words>
  <Characters>5341</Characters>
  <Lines>44</Lines>
  <Paragraphs>12</Paragraphs>
  <TotalTime>1</TotalTime>
  <ScaleCrop>false</ScaleCrop>
  <LinksUpToDate>false</LinksUpToDate>
  <CharactersWithSpaces>6265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2021-06-11T01:11:00Z</dcterms:created>
  <dc:creator>xb21cn</dc:creator>
  <cp:lastModifiedBy>柳叶梅</cp:lastModifiedBy>
  <dcterms:modified xsi:type="dcterms:W3CDTF">2021-06-20T10:38:07Z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50C3493AC2A24AAD9942E1ED9FE7FA63</vt:lpwstr>
  </property>
</Properties>
</file>