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autoSpaceDE/>
        <w:autoSpaceDN/>
        <w:bidi w:val="0"/>
        <w:spacing w:beforeAutospacing="0" w:after="0" w:afterAutospacing="0" w:line="560" w:lineRule="exact"/>
        <w:ind w:left="0" w:firstLine="880" w:firstLineChars="200"/>
        <w:jc w:val="center"/>
        <w:textAlignment w:val="auto"/>
        <w:rPr>
          <w:rFonts w:hint="eastAsia" w:ascii="黑体" w:hAnsi="黑体" w:eastAsia="黑体" w:cs="黑体"/>
          <w:kern w:val="0"/>
          <w:sz w:val="44"/>
          <w:szCs w:val="44"/>
          <w:lang w:eastAsia="zh-CN"/>
        </w:rPr>
      </w:pPr>
      <w:r>
        <w:rPr>
          <w:rFonts w:hint="eastAsia" w:ascii="黑体" w:hAnsi="黑体" w:eastAsia="黑体" w:cs="黑体"/>
          <w:kern w:val="0"/>
          <w:sz w:val="44"/>
          <w:szCs w:val="44"/>
        </w:rPr>
        <w:t>2020年度</w:t>
      </w:r>
      <w:r>
        <w:rPr>
          <w:rFonts w:hint="eastAsia" w:ascii="黑体" w:hAnsi="黑体" w:eastAsia="黑体" w:cs="黑体"/>
          <w:kern w:val="0"/>
          <w:sz w:val="44"/>
          <w:szCs w:val="44"/>
          <w:lang w:eastAsia="zh-CN"/>
        </w:rPr>
        <w:t>中共邵阳市双清区信访局</w:t>
      </w:r>
    </w:p>
    <w:p>
      <w:pPr>
        <w:pStyle w:val="9"/>
        <w:keepNext w:val="0"/>
        <w:keepLines w:val="0"/>
        <w:pageBreakBefore w:val="0"/>
        <w:widowControl/>
        <w:suppressLineNumbers w:val="0"/>
        <w:kinsoku/>
        <w:wordWrap/>
        <w:overflowPunct/>
        <w:autoSpaceDE/>
        <w:autoSpaceDN/>
        <w:bidi w:val="0"/>
        <w:spacing w:beforeAutospacing="0" w:after="0" w:afterAutospacing="0" w:line="560" w:lineRule="exact"/>
        <w:ind w:left="0" w:firstLine="880" w:firstLineChars="200"/>
        <w:jc w:val="center"/>
        <w:textAlignment w:val="auto"/>
        <w:rPr>
          <w:rFonts w:hint="eastAsia" w:ascii="黑体" w:hAnsi="黑体" w:eastAsia="黑体" w:cs="黑体"/>
          <w:kern w:val="0"/>
          <w:sz w:val="44"/>
          <w:szCs w:val="44"/>
        </w:rPr>
      </w:pPr>
      <w:r>
        <w:rPr>
          <w:rFonts w:hint="eastAsia" w:ascii="黑体" w:hAnsi="黑体" w:eastAsia="黑体" w:cs="黑体"/>
          <w:kern w:val="0"/>
          <w:sz w:val="44"/>
          <w:szCs w:val="44"/>
        </w:rPr>
        <w:t>部门整体支出绩效评价报告</w:t>
      </w:r>
    </w:p>
    <w:p>
      <w:pPr>
        <w:pStyle w:val="9"/>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仿宋" w:hAnsi="仿宋" w:eastAsia="仿宋" w:cs="仿宋"/>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pPr>
        <w:pStyle w:val="9"/>
        <w:keepNext w:val="0"/>
        <w:keepLines w:val="0"/>
        <w:pageBreakBefore w:val="0"/>
        <w:widowControl/>
        <w:numPr>
          <w:ilvl w:val="0"/>
          <w:numId w:val="0"/>
        </w:numPr>
        <w:suppressLineNumbers w:val="0"/>
        <w:tabs>
          <w:tab w:val="left" w:pos="0"/>
        </w:tabs>
        <w:kinsoku/>
        <w:wordWrap/>
        <w:overflowPunct/>
        <w:autoSpaceDE/>
        <w:autoSpaceDN/>
        <w:bidi w:val="0"/>
        <w:spacing w:beforeAutospacing="0" w:after="0" w:afterAutospacing="0" w:line="560" w:lineRule="exact"/>
        <w:ind w:leftChars="0" w:right="0" w:rightChars="0" w:firstLine="643" w:firstLineChars="200"/>
        <w:jc w:val="both"/>
        <w:textAlignment w:val="auto"/>
        <w:rPr>
          <w:rFonts w:hint="eastAsia" w:ascii="仿宋" w:hAnsi="仿宋" w:eastAsia="仿宋" w:cs="仿宋"/>
          <w:kern w:val="0"/>
          <w:sz w:val="32"/>
          <w:szCs w:val="32"/>
        </w:rPr>
      </w:pPr>
      <w:r>
        <w:rPr>
          <w:rFonts w:hint="eastAsia" w:ascii="楷体" w:hAnsi="楷体" w:eastAsia="楷体" w:cs="楷体"/>
          <w:b/>
          <w:bCs/>
          <w:kern w:val="0"/>
          <w:sz w:val="32"/>
          <w:szCs w:val="32"/>
        </w:rPr>
        <w:t>（一）部门基本情况</w:t>
      </w:r>
      <w:r>
        <w:rPr>
          <w:rFonts w:hint="eastAsia" w:ascii="仿宋" w:hAnsi="仿宋" w:eastAsia="仿宋" w:cs="仿宋"/>
          <w:kern w:val="0"/>
          <w:sz w:val="32"/>
          <w:szCs w:val="32"/>
        </w:rPr>
        <w:t>（包括部门的在职人员情况、机构设置、主要职能及重点工作计划等）。2020年度我站现有在职职工</w:t>
      </w:r>
      <w:r>
        <w:rPr>
          <w:rFonts w:hint="eastAsia" w:ascii="仿宋" w:hAnsi="仿宋" w:eastAsia="仿宋" w:cs="仿宋"/>
          <w:kern w:val="0"/>
          <w:sz w:val="32"/>
          <w:szCs w:val="32"/>
          <w:lang w:val="en-US" w:eastAsia="zh-CN"/>
        </w:rPr>
        <w:t>13</w:t>
      </w:r>
      <w:r>
        <w:rPr>
          <w:rFonts w:hint="eastAsia" w:ascii="仿宋" w:hAnsi="仿宋" w:eastAsia="仿宋" w:cs="仿宋"/>
          <w:kern w:val="0"/>
          <w:sz w:val="32"/>
          <w:szCs w:val="32"/>
        </w:rPr>
        <w:t>人，内设</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个职能科(室)，即：</w:t>
      </w:r>
      <w:r>
        <w:rPr>
          <w:rFonts w:hint="eastAsia" w:ascii="仿宋" w:hAnsi="仿宋" w:eastAsia="仿宋" w:cs="仿宋"/>
          <w:i w:val="0"/>
          <w:iCs w:val="0"/>
          <w:caps w:val="0"/>
          <w:color w:val="000000"/>
          <w:spacing w:val="0"/>
          <w:sz w:val="32"/>
          <w:szCs w:val="32"/>
          <w:shd w:val="clear" w:fill="FFFFFF"/>
        </w:rPr>
        <w:t>信访局机关、驻京维稳劝返工作站、驻长维稳劝返工作站和群众信访接待办理中心</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kern w:val="0"/>
          <w:sz w:val="32"/>
          <w:szCs w:val="32"/>
        </w:rPr>
        <w:t>主要职能是：</w:t>
      </w:r>
      <w:r>
        <w:rPr>
          <w:rFonts w:hint="eastAsia" w:ascii="仿宋" w:hAnsi="仿宋" w:eastAsia="仿宋" w:cs="仿宋"/>
          <w:i w:val="0"/>
          <w:iCs w:val="0"/>
          <w:caps w:val="0"/>
          <w:color w:val="000000"/>
          <w:spacing w:val="0"/>
          <w:sz w:val="32"/>
          <w:szCs w:val="32"/>
          <w:shd w:val="clear" w:color="auto" w:fill="FFFFFF"/>
        </w:rPr>
        <w:t>负责处理人民群众给区委、区政府及其领导同志的来信，接待群众来访，为领导同志接待上访群众做好组织服务工作</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承办国家、省、市各级信访机构、区委和区人民政府交办的信访事项，督促检查领导批示件的落实情况</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综合、反映群众来信来访中提出的重要意见、建议、和问题，开展调查研究，为区委、区人民政府提供信访信息</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协同有关部门处理跨地区、跨部门的重大信访问题；协调处理群众来区、到市、赴省进京上访和异常、突发性信访事项；协调全区各级党政机关的信访工作</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研究、起草有关信访工作的政策规定和法规草案；开展信访工作宣传和理论研讨；指导全区信访业务，总结推广信访工作经验，提出加强和改进信访工作的意见</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掌握全区信访工作队伍建设情况，提出加强信访队伍建设措施；对信访工作中失职、渎职行为提出处理建议；组织信访干部培训；指导乡镇、街道信访机构办公自动化建设</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承办区委、区人民政府及区委办公室、区人民政府办公室交办的其他事项。</w:t>
      </w:r>
      <w:r>
        <w:rPr>
          <w:rFonts w:hint="eastAsia" w:ascii="仿宋" w:hAnsi="仿宋" w:eastAsia="仿宋" w:cs="仿宋"/>
          <w:i w:val="0"/>
          <w:iCs w:val="0"/>
          <w:caps w:val="0"/>
          <w:color w:val="000000"/>
          <w:spacing w:val="0"/>
          <w:sz w:val="32"/>
          <w:szCs w:val="32"/>
          <w:shd w:val="clear" w:color="auto" w:fill="FFFFFF"/>
        </w:rPr>
        <w:t> </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2020年度部门整体支出分为基本支出和项目支出，基本支出用于保障单位正常运转的日常支出，项目支出用于</w:t>
      </w:r>
      <w:r>
        <w:rPr>
          <w:rFonts w:hint="eastAsia" w:ascii="仿宋" w:hAnsi="仿宋" w:eastAsia="仿宋" w:cs="仿宋"/>
          <w:kern w:val="0"/>
          <w:sz w:val="32"/>
          <w:szCs w:val="32"/>
          <w:lang w:eastAsia="zh-CN"/>
        </w:rPr>
        <w:t>区信访业务管理</w:t>
      </w:r>
      <w:r>
        <w:rPr>
          <w:rFonts w:hint="eastAsia" w:ascii="仿宋" w:hAnsi="仿宋" w:eastAsia="仿宋" w:cs="仿宋"/>
          <w:kern w:val="0"/>
          <w:sz w:val="32"/>
          <w:szCs w:val="32"/>
        </w:rPr>
        <w:t>发生的支出等。</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2020年度预算收入</w:t>
      </w:r>
      <w:r>
        <w:rPr>
          <w:rFonts w:hint="eastAsia" w:ascii="仿宋" w:hAnsi="仿宋" w:eastAsia="仿宋" w:cs="仿宋"/>
          <w:i w:val="0"/>
          <w:iCs w:val="0"/>
          <w:caps w:val="0"/>
          <w:color w:val="000000"/>
          <w:spacing w:val="0"/>
          <w:sz w:val="32"/>
          <w:szCs w:val="32"/>
          <w:shd w:val="clear" w:color="auto" w:fill="FFFFFF"/>
        </w:rPr>
        <w:t>463.9</w:t>
      </w:r>
      <w:r>
        <w:rPr>
          <w:rFonts w:hint="eastAsia" w:ascii="仿宋" w:hAnsi="仿宋" w:eastAsia="仿宋" w:cs="仿宋"/>
          <w:kern w:val="0"/>
          <w:sz w:val="32"/>
          <w:szCs w:val="32"/>
        </w:rPr>
        <w:t>万元，预算支出</w:t>
      </w:r>
      <w:r>
        <w:rPr>
          <w:rFonts w:hint="eastAsia" w:ascii="仿宋" w:hAnsi="仿宋" w:eastAsia="仿宋" w:cs="仿宋"/>
          <w:i w:val="0"/>
          <w:iCs w:val="0"/>
          <w:caps w:val="0"/>
          <w:color w:val="000000"/>
          <w:spacing w:val="0"/>
          <w:sz w:val="32"/>
          <w:szCs w:val="32"/>
          <w:shd w:val="clear" w:color="auto" w:fill="FFFFFF"/>
        </w:rPr>
        <w:t>463.9</w:t>
      </w:r>
      <w:r>
        <w:rPr>
          <w:rFonts w:hint="eastAsia" w:ascii="仿宋" w:hAnsi="仿宋" w:eastAsia="仿宋" w:cs="仿宋"/>
          <w:kern w:val="0"/>
          <w:sz w:val="32"/>
          <w:szCs w:val="32"/>
        </w:rPr>
        <w:t>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（二）基本支出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2020年基本支出</w:t>
      </w:r>
      <w:r>
        <w:rPr>
          <w:rFonts w:hint="eastAsia" w:ascii="仿宋" w:hAnsi="仿宋" w:eastAsia="仿宋" w:cs="仿宋"/>
          <w:i w:val="0"/>
          <w:iCs w:val="0"/>
          <w:caps w:val="0"/>
          <w:color w:val="000000"/>
          <w:spacing w:val="0"/>
          <w:sz w:val="32"/>
          <w:szCs w:val="32"/>
          <w:shd w:val="clear" w:color="auto" w:fill="FFFFFF"/>
        </w:rPr>
        <w:t>193.12</w:t>
      </w:r>
      <w:r>
        <w:rPr>
          <w:rFonts w:hint="eastAsia" w:ascii="仿宋" w:hAnsi="仿宋" w:eastAsia="仿宋" w:cs="仿宋"/>
          <w:kern w:val="0"/>
          <w:sz w:val="32"/>
          <w:szCs w:val="32"/>
        </w:rPr>
        <w:t>万元，其中：工资福利支出</w:t>
      </w:r>
      <w:r>
        <w:rPr>
          <w:rFonts w:hint="eastAsia" w:ascii="仿宋" w:hAnsi="仿宋" w:eastAsia="仿宋" w:cs="仿宋"/>
          <w:kern w:val="0"/>
          <w:sz w:val="32"/>
          <w:szCs w:val="32"/>
          <w:lang w:val="en-US" w:eastAsia="zh-CN"/>
        </w:rPr>
        <w:t>143.02</w:t>
      </w:r>
      <w:r>
        <w:rPr>
          <w:rFonts w:hint="eastAsia" w:ascii="仿宋" w:hAnsi="仿宋" w:eastAsia="仿宋" w:cs="仿宋"/>
          <w:kern w:val="0"/>
          <w:sz w:val="32"/>
          <w:szCs w:val="32"/>
        </w:rPr>
        <w:t>万元，商品和服务支出</w:t>
      </w:r>
      <w:r>
        <w:rPr>
          <w:rFonts w:hint="eastAsia" w:ascii="仿宋" w:hAnsi="仿宋" w:eastAsia="仿宋" w:cs="仿宋"/>
          <w:kern w:val="0"/>
          <w:sz w:val="32"/>
          <w:szCs w:val="32"/>
          <w:lang w:val="en-US" w:eastAsia="zh-CN"/>
        </w:rPr>
        <w:t>48.78</w:t>
      </w:r>
      <w:r>
        <w:rPr>
          <w:rFonts w:hint="eastAsia" w:ascii="仿宋" w:hAnsi="仿宋" w:eastAsia="仿宋" w:cs="仿宋"/>
          <w:kern w:val="0"/>
          <w:sz w:val="32"/>
          <w:szCs w:val="32"/>
        </w:rPr>
        <w:t>万元，对个人和家庭补助支出</w:t>
      </w:r>
      <w:r>
        <w:rPr>
          <w:rFonts w:hint="eastAsia" w:ascii="仿宋" w:hAnsi="仿宋" w:eastAsia="仿宋" w:cs="仿宋"/>
          <w:kern w:val="0"/>
          <w:sz w:val="32"/>
          <w:szCs w:val="32"/>
          <w:lang w:val="en-US" w:eastAsia="zh-CN"/>
        </w:rPr>
        <w:t>1.32</w:t>
      </w:r>
      <w:r>
        <w:rPr>
          <w:rFonts w:hint="eastAsia" w:ascii="仿宋" w:hAnsi="仿宋" w:eastAsia="仿宋" w:cs="仿宋"/>
          <w:kern w:val="0"/>
          <w:sz w:val="32"/>
          <w:szCs w:val="32"/>
        </w:rPr>
        <w:t>万元。响应国家相关政策，厉行节约，严格控制“三公”经费支出，2020年“三公”经费共支出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元，比2019年度减少了</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（三）专项支出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1、2020年度用于</w:t>
      </w:r>
      <w:r>
        <w:rPr>
          <w:rFonts w:hint="eastAsia" w:ascii="仿宋" w:hAnsi="仿宋" w:eastAsia="仿宋" w:cs="仿宋"/>
          <w:kern w:val="0"/>
          <w:sz w:val="32"/>
          <w:szCs w:val="32"/>
          <w:lang w:eastAsia="zh-CN"/>
        </w:rPr>
        <w:t>接访开支</w:t>
      </w:r>
      <w:r>
        <w:rPr>
          <w:rFonts w:hint="eastAsia" w:ascii="仿宋" w:hAnsi="仿宋" w:eastAsia="仿宋" w:cs="仿宋"/>
          <w:kern w:val="0"/>
          <w:sz w:val="32"/>
          <w:szCs w:val="32"/>
          <w:lang w:val="en-US" w:eastAsia="zh-CN"/>
        </w:rPr>
        <w:t>270.78</w:t>
      </w:r>
      <w:r>
        <w:rPr>
          <w:rFonts w:hint="eastAsia" w:ascii="仿宋" w:hAnsi="仿宋" w:eastAsia="仿宋" w:cs="仿宋"/>
          <w:kern w:val="0"/>
          <w:sz w:val="32"/>
          <w:szCs w:val="32"/>
        </w:rPr>
        <w:t>万元，结余</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三、资产管理情况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2020年固定资产年初数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万元，期末数 </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万元。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四、绩效评价工作情况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21446"/>
      <w:bookmarkStart w:id="1" w:name="_Toc22407"/>
      <w:bookmarkStart w:id="2" w:name="_Toc32578"/>
      <w:r>
        <w:rPr>
          <w:rFonts w:hint="eastAsia" w:ascii="楷体" w:hAnsi="楷体" w:eastAsia="楷体" w:cs="楷体"/>
          <w:b/>
          <w:bCs/>
          <w:kern w:val="0"/>
          <w:sz w:val="32"/>
          <w:szCs w:val="32"/>
          <w:lang w:val="en-US" w:eastAsia="zh-CN"/>
        </w:rPr>
        <w:t>（一）绩效评价目的</w:t>
      </w:r>
      <w:bookmarkEnd w:id="0"/>
      <w:bookmarkEnd w:id="1"/>
      <w:bookmarkEnd w:id="2"/>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22531"/>
      <w:bookmarkStart w:id="4" w:name="_Toc6376"/>
      <w:bookmarkStart w:id="5" w:name="_Toc2315"/>
      <w:bookmarkStart w:id="6" w:name="_Toc6076"/>
      <w:bookmarkStart w:id="7" w:name="_Toc11842"/>
      <w:bookmarkStart w:id="8" w:name="_Toc5938"/>
      <w:bookmarkStart w:id="9" w:name="_Toc27511"/>
      <w:bookmarkStart w:id="10" w:name="_Toc22978"/>
      <w:bookmarkStart w:id="11" w:name="_Toc23600"/>
      <w:bookmarkStart w:id="12" w:name="_Toc22734"/>
      <w:bookmarkStart w:id="13" w:name="_Toc12780"/>
      <w:bookmarkStart w:id="14" w:name="_Toc29745"/>
      <w:bookmarkStart w:id="15" w:name="_Toc22165"/>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1.科学规范：注重资金的经济性、效率性和有效性，运用科学合理的方法，按照规范的程序，对财政运行绩效进行客观、公正的反映。</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3.激励约束：绩效评价结果应与预算安排、政策调整、改进管理实质性挂钩，体现奖优罚劣和激励相容导向。即：有效要保障、低效要压减、无效要问责。</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4.公开透明：绩效评价结果应依法依规公开，并自觉接受社会监督。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2020年，我单位积极履职，强化管理，较好地完成了年度工作目标。通过加强预算收支管理，不断建立健全内部管理制度，梳理内部管理流程，部门整体支出管理水平得到提升。根据部门整体支出绩效评价指标体系，我单位2020年度评价得分为9</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六、部门整体支出主要绩效</w:t>
      </w:r>
    </w:p>
    <w:p>
      <w:pPr>
        <w:pStyle w:val="5"/>
        <w:shd w:val="clear" w:color="auto" w:fill="FFFFFF"/>
        <w:spacing w:before="0" w:beforeAutospacing="0" w:after="0" w:afterAutospacing="0"/>
        <w:ind w:firstLine="420"/>
        <w:rPr>
          <w:rFonts w:hint="eastAsia" w:ascii="仿宋" w:hAnsi="仿宋" w:eastAsia="仿宋" w:cs="仿宋"/>
          <w:color w:val="333333"/>
          <w:sz w:val="32"/>
          <w:szCs w:val="32"/>
        </w:rPr>
      </w:pPr>
      <w:r>
        <w:rPr>
          <w:rFonts w:hint="eastAsia" w:ascii="仿宋" w:hAnsi="仿宋" w:eastAsia="仿宋" w:cs="仿宋"/>
          <w:color w:val="333333"/>
          <w:sz w:val="32"/>
          <w:szCs w:val="32"/>
        </w:rPr>
        <w:t>2020年，基本完成市、区绩效评估指标任务，全年无因信访问题处置不当、引发规模集访和恶性事件的发生等情况；无因信访工作责任落实不力，被国家、省、市通报批评的情况；无中央、省、市交（督）办件到期未办结的情况；无对规模集访，迟报、误报、漏报、瞒报信息等的情况。主要从以下几个方面开展了工作：</w:t>
      </w:r>
    </w:p>
    <w:p>
      <w:pPr>
        <w:pStyle w:val="5"/>
        <w:shd w:val="clear" w:color="auto" w:fill="FFFFFF"/>
        <w:spacing w:before="0" w:beforeAutospacing="0" w:after="0" w:afterAutospacing="0"/>
        <w:ind w:firstLine="420"/>
        <w:rPr>
          <w:rFonts w:hint="eastAsia" w:ascii="仿宋" w:hAnsi="仿宋" w:eastAsia="仿宋" w:cs="仿宋"/>
          <w:color w:val="333333"/>
          <w:sz w:val="32"/>
          <w:szCs w:val="32"/>
        </w:rPr>
      </w:pPr>
      <w:r>
        <w:rPr>
          <w:rFonts w:hint="eastAsia" w:ascii="仿宋" w:hAnsi="仿宋" w:eastAsia="仿宋" w:cs="仿宋"/>
          <w:color w:val="333333"/>
          <w:sz w:val="32"/>
          <w:szCs w:val="32"/>
        </w:rPr>
        <w:t>1．开展矛盾纠纷排查，做好群众的日常接待工作，圆满完成各类特护期的信访维稳劝返工作。坚持领导轮流带班接访制度，实行信访矛盾排查化解机制，建立重点对象台账，按“五包一”责任层层落实包保责任；全力做好群众到区到市、赴省、进京的接待、调度和劝返等工作。</w:t>
      </w:r>
    </w:p>
    <w:p>
      <w:pPr>
        <w:pStyle w:val="5"/>
        <w:shd w:val="clear" w:color="auto" w:fill="FFFFFF"/>
        <w:spacing w:before="0" w:beforeAutospacing="0" w:after="0" w:afterAutospacing="0"/>
        <w:ind w:firstLine="420"/>
        <w:rPr>
          <w:rFonts w:hint="eastAsia" w:ascii="仿宋" w:hAnsi="仿宋" w:eastAsia="仿宋" w:cs="仿宋"/>
          <w:color w:val="333333"/>
          <w:sz w:val="32"/>
          <w:szCs w:val="32"/>
        </w:rPr>
      </w:pPr>
      <w:r>
        <w:rPr>
          <w:rFonts w:hint="eastAsia" w:ascii="仿宋" w:hAnsi="仿宋" w:eastAsia="仿宋" w:cs="仿宋"/>
          <w:color w:val="333333"/>
          <w:sz w:val="32"/>
          <w:szCs w:val="32"/>
        </w:rPr>
        <w:t>2.夯实基层基础，建立完善“以村为主”的群众信访工作机制。进一步压实乡镇（街道）、村（社区）信访第一道“防线”责任，全区72个村（社区）按照“一村一信访员、一村一调解委员会、一村一群众来访接待中心”完善信访平台建设。建立完善乡（镇、街道）、村（社区）领导班子接访下访、矛盾纠纷排查化解、信访事项代理代办、情报信息预警等长效工作机制，做到“小矛盾不出社区，大矛盾不出街道”。</w:t>
      </w:r>
    </w:p>
    <w:p>
      <w:pPr>
        <w:pStyle w:val="5"/>
        <w:shd w:val="clear" w:color="auto" w:fill="FFFFFF"/>
        <w:spacing w:before="0" w:beforeAutospacing="0" w:after="0" w:afterAutospacing="0"/>
        <w:ind w:firstLine="420"/>
        <w:rPr>
          <w:rFonts w:hint="eastAsia" w:ascii="仿宋" w:hAnsi="仿宋" w:eastAsia="仿宋" w:cs="仿宋"/>
          <w:color w:val="333333"/>
          <w:sz w:val="32"/>
          <w:szCs w:val="32"/>
        </w:rPr>
      </w:pPr>
      <w:r>
        <w:rPr>
          <w:rFonts w:hint="eastAsia" w:ascii="仿宋" w:hAnsi="仿宋" w:eastAsia="仿宋" w:cs="仿宋"/>
          <w:color w:val="333333"/>
          <w:sz w:val="32"/>
          <w:szCs w:val="32"/>
        </w:rPr>
        <w:t>3.加强业务培训，规范网上信访办理流程。2020年，双清区信访局对11个乡镇街道和34个区直部门开展过信访业务培训，主要学习《湖南省信访条例》、《信访事项网上办理工作规程（试行）》、《依法分类处理信访诉求工作规则》等业务知识，进一步规范信访业务办理流程，提升业务能力和工作水平。2020年，所有的上级交办件均按要求办结，信访件的及时受理率、按期办结率、群众满意率均达到100%，网信占比率达到了全市平均水平。</w:t>
      </w:r>
    </w:p>
    <w:p>
      <w:pPr>
        <w:pStyle w:val="5"/>
        <w:shd w:val="clear" w:color="auto" w:fill="FFFFFF"/>
        <w:spacing w:before="0" w:beforeAutospacing="0" w:after="0" w:afterAutospacing="0"/>
        <w:ind w:firstLine="420"/>
        <w:rPr>
          <w:rFonts w:hint="eastAsia" w:ascii="仿宋" w:hAnsi="仿宋" w:eastAsia="仿宋" w:cs="仿宋"/>
          <w:color w:val="333333"/>
          <w:sz w:val="32"/>
          <w:szCs w:val="32"/>
        </w:rPr>
      </w:pPr>
      <w:r>
        <w:rPr>
          <w:rFonts w:hint="eastAsia" w:ascii="仿宋" w:hAnsi="仿宋" w:eastAsia="仿宋" w:cs="仿宋"/>
          <w:color w:val="333333"/>
          <w:sz w:val="32"/>
          <w:szCs w:val="32"/>
        </w:rPr>
        <w:t>4.打造“互联网+信访”工作模式。2020年，完成“一网一微”网络信息化建设。湖南省信访信息系统联通运行顺畅，双清信访微信公众号全面开通，群众可以通过微信平台反映诉求、跟踪查询、解决问题等。同时，双清区信访局牵头建成区、乡两级远程视频会议系统，实现上级会议可接收、下级会议能传达、领导坐班可督查等目标。</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大力开展越级访重复访专项整治。2020年上半年，双清区进京越级访、越级重复访总量较大，形势严峻。结合工作实际，双清区通过推行“最多访一次”、领导接访下访、包案化解、“一月一通报”和依法打击等工作措施，严格按照习近平总书记关于“三到位一处理”原则，全力调处化解信访矛盾。通过半年的专项整治行动，群众到非接待场所上访实现“零登记”，全区群众进京越级访、越级重复访总量较上半年显著下降。</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七、存在的问题</w:t>
      </w:r>
    </w:p>
    <w:p>
      <w:pPr>
        <w:pStyle w:val="5"/>
        <w:shd w:val="clear" w:color="auto" w:fill="FFFFFF"/>
        <w:spacing w:before="0" w:beforeAutospacing="0" w:after="0" w:afterAutospacing="0"/>
        <w:ind w:firstLine="420"/>
        <w:rPr>
          <w:rFonts w:hint="eastAsia" w:ascii="仿宋" w:hAnsi="仿宋" w:eastAsia="仿宋" w:cs="仿宋"/>
          <w:color w:val="333333"/>
          <w:sz w:val="32"/>
          <w:szCs w:val="32"/>
        </w:rPr>
      </w:pPr>
      <w:r>
        <w:rPr>
          <w:rFonts w:hint="eastAsia" w:ascii="仿宋" w:hAnsi="仿宋" w:eastAsia="仿宋" w:cs="仿宋"/>
          <w:color w:val="333333"/>
          <w:sz w:val="32"/>
          <w:szCs w:val="32"/>
        </w:rPr>
        <w:t>预算编制工作有待细化，预算调整过大，资金预算额不够准确。</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八、改进措施和有关建议</w:t>
      </w:r>
    </w:p>
    <w:p>
      <w:pPr>
        <w:pStyle w:val="5"/>
        <w:shd w:val="clear" w:color="auto" w:fill="FFFFFF"/>
        <w:spacing w:before="0" w:beforeAutospacing="0" w:after="0" w:afterAutospacing="0"/>
        <w:ind w:firstLine="420"/>
        <w:rPr>
          <w:rFonts w:hint="eastAsia" w:ascii="仿宋" w:hAnsi="仿宋" w:eastAsia="仿宋" w:cs="仿宋"/>
          <w:color w:val="333333"/>
          <w:sz w:val="32"/>
          <w:szCs w:val="32"/>
        </w:rPr>
      </w:pPr>
      <w:bookmarkStart w:id="16" w:name="RANGE!A1:H22"/>
      <w:r>
        <w:rPr>
          <w:rFonts w:hint="eastAsia" w:ascii="仿宋" w:hAnsi="仿宋" w:eastAsia="仿宋" w:cs="仿宋"/>
          <w:color w:val="333333"/>
          <w:sz w:val="32"/>
          <w:szCs w:val="32"/>
        </w:rPr>
        <w:t>针对上述存在的问题及我局整体支出管理工作的需要，拟实施的改进措施如下：</w:t>
      </w:r>
    </w:p>
    <w:p>
      <w:pPr>
        <w:pStyle w:val="5"/>
        <w:shd w:val="clear" w:color="auto" w:fill="FFFFFF"/>
        <w:spacing w:before="0" w:beforeAutospacing="0" w:after="0" w:afterAutospacing="0"/>
        <w:ind w:firstLine="420"/>
        <w:rPr>
          <w:rFonts w:hint="eastAsia" w:ascii="仿宋" w:hAnsi="仿宋" w:eastAsia="仿宋" w:cs="仿宋"/>
          <w:color w:val="333333"/>
          <w:sz w:val="32"/>
          <w:szCs w:val="32"/>
        </w:rPr>
      </w:pPr>
      <w:r>
        <w:rPr>
          <w:rFonts w:hint="eastAsia" w:ascii="楷体" w:hAnsi="楷体" w:eastAsia="楷体" w:cs="楷体"/>
          <w:b/>
          <w:bCs/>
          <w:color w:val="333333"/>
          <w:sz w:val="32"/>
          <w:szCs w:val="32"/>
        </w:rPr>
        <w:t>1、科学合理编制预算，严格执行预算。</w:t>
      </w:r>
      <w:r>
        <w:rPr>
          <w:rFonts w:hint="eastAsia" w:ascii="仿宋" w:hAnsi="仿宋" w:eastAsia="仿宋" w:cs="仿宋"/>
          <w:color w:val="333333"/>
          <w:sz w:val="32"/>
          <w:szCs w:val="32"/>
        </w:rPr>
        <w:t>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pPr>
        <w:pStyle w:val="5"/>
        <w:shd w:val="clear" w:color="auto" w:fill="FFFFFF"/>
        <w:spacing w:before="0" w:beforeAutospacing="0" w:after="0" w:afterAutospacing="0"/>
        <w:ind w:firstLine="420"/>
        <w:rPr>
          <w:rFonts w:hint="eastAsia" w:ascii="仿宋" w:hAnsi="仿宋" w:eastAsia="仿宋" w:cs="仿宋"/>
          <w:color w:val="333333"/>
          <w:sz w:val="32"/>
          <w:szCs w:val="32"/>
        </w:rPr>
      </w:pPr>
      <w:r>
        <w:rPr>
          <w:rFonts w:hint="eastAsia" w:ascii="楷体" w:hAnsi="楷体" w:eastAsia="楷体" w:cs="楷体"/>
          <w:b/>
          <w:bCs/>
          <w:color w:val="333333"/>
          <w:sz w:val="32"/>
          <w:szCs w:val="32"/>
        </w:rPr>
        <w:t>2、规范账务处理，提高财务信息质量。</w:t>
      </w:r>
      <w:r>
        <w:rPr>
          <w:rFonts w:hint="eastAsia" w:ascii="仿宋" w:hAnsi="仿宋" w:eastAsia="仿宋" w:cs="仿宋"/>
          <w:color w:val="333333"/>
          <w:sz w:val="32"/>
          <w:szCs w:val="32"/>
        </w:rPr>
        <w:t>严格按照《会计法》、《行政单位会计制度》、《行政单位财务规则》等规定，结合实际情况，科学设置支出科目，规范财务核算，完整披露相关信息。</w:t>
      </w:r>
    </w:p>
    <w:p>
      <w:pPr>
        <w:pStyle w:val="5"/>
        <w:shd w:val="clear" w:color="auto" w:fill="FFFFFF"/>
        <w:spacing w:before="0" w:beforeAutospacing="0" w:after="0" w:afterAutospacing="0"/>
        <w:ind w:firstLine="420"/>
        <w:rPr>
          <w:rFonts w:hint="eastAsia" w:ascii="仿宋" w:hAnsi="仿宋" w:eastAsia="仿宋" w:cs="仿宋"/>
          <w:color w:val="333333"/>
          <w:sz w:val="32"/>
          <w:szCs w:val="32"/>
        </w:rPr>
      </w:pPr>
      <w:r>
        <w:rPr>
          <w:rFonts w:hint="eastAsia" w:ascii="楷体" w:hAnsi="楷体" w:eastAsia="楷体" w:cs="楷体"/>
          <w:b/>
          <w:bCs/>
          <w:color w:val="333333"/>
          <w:sz w:val="32"/>
          <w:szCs w:val="32"/>
        </w:rPr>
        <w:t>3、持续抓好“三公”经费控制管理。</w:t>
      </w:r>
      <w:r>
        <w:rPr>
          <w:rFonts w:hint="eastAsia" w:ascii="仿宋" w:hAnsi="仿宋" w:eastAsia="仿宋" w:cs="仿宋"/>
          <w:color w:val="333333"/>
          <w:sz w:val="32"/>
          <w:szCs w:val="32"/>
        </w:rPr>
        <w:t>严格控制“三公”经费的规模和比例，把关“三公”经费支出的审核、审批，杜绝挪用和挤占其他预算资金行为；进一步细化“三公”经费的管理，合理压缩“三公”经费支出。 </w:t>
      </w:r>
    </w:p>
    <w:p>
      <w:pPr>
        <w:spacing w:line="600" w:lineRule="exact"/>
        <w:rPr>
          <w:rFonts w:hint="eastAsia" w:ascii="仿宋" w:hAnsi="仿宋" w:eastAsia="仿宋" w:cs="仿宋"/>
          <w:kern w:val="0"/>
          <w:sz w:val="32"/>
          <w:szCs w:val="32"/>
        </w:rPr>
      </w:pPr>
    </w:p>
    <w:p>
      <w:pPr>
        <w:spacing w:line="600" w:lineRule="exact"/>
        <w:rPr>
          <w:rFonts w:hint="eastAsia" w:ascii="仿宋" w:hAnsi="仿宋" w:eastAsia="仿宋" w:cs="仿宋"/>
          <w:kern w:val="0"/>
          <w:sz w:val="32"/>
          <w:szCs w:val="32"/>
        </w:rPr>
      </w:pPr>
    </w:p>
    <w:p>
      <w:pPr>
        <w:spacing w:line="600" w:lineRule="exact"/>
        <w:rPr>
          <w:rFonts w:hint="eastAsia" w:ascii="仿宋" w:hAnsi="仿宋" w:eastAsia="仿宋" w:cs="仿宋"/>
          <w:kern w:val="0"/>
          <w:sz w:val="32"/>
          <w:szCs w:val="32"/>
        </w:rPr>
      </w:pPr>
    </w:p>
    <w:p>
      <w:pPr>
        <w:spacing w:line="600" w:lineRule="exact"/>
        <w:rPr>
          <w:rFonts w:hint="eastAsia" w:ascii="仿宋" w:hAnsi="仿宋" w:eastAsia="仿宋" w:cs="仿宋"/>
          <w:kern w:val="0"/>
          <w:sz w:val="32"/>
          <w:szCs w:val="32"/>
        </w:rPr>
      </w:pPr>
    </w:p>
    <w:p>
      <w:pPr>
        <w:spacing w:line="600" w:lineRule="exact"/>
        <w:rPr>
          <w:rFonts w:hint="eastAsia" w:ascii="仿宋" w:hAnsi="仿宋" w:eastAsia="仿宋" w:cs="仿宋"/>
          <w:kern w:val="0"/>
          <w:sz w:val="32"/>
          <w:szCs w:val="32"/>
        </w:rPr>
      </w:pPr>
    </w:p>
    <w:p>
      <w:pPr>
        <w:spacing w:line="600" w:lineRule="exact"/>
        <w:rPr>
          <w:rFonts w:hint="eastAsia" w:ascii="仿宋" w:hAnsi="仿宋" w:eastAsia="仿宋" w:cs="仿宋"/>
          <w:kern w:val="0"/>
          <w:sz w:val="32"/>
          <w:szCs w:val="32"/>
        </w:rPr>
      </w:pPr>
    </w:p>
    <w:p>
      <w:pPr>
        <w:spacing w:line="600" w:lineRule="exact"/>
        <w:rPr>
          <w:rFonts w:hint="eastAsia" w:ascii="仿宋" w:hAnsi="仿宋" w:eastAsia="仿宋" w:cs="仿宋"/>
          <w:kern w:val="0"/>
          <w:sz w:val="32"/>
          <w:szCs w:val="32"/>
        </w:rPr>
      </w:pPr>
      <w:bookmarkStart w:id="17" w:name="_GoBack"/>
      <w:bookmarkEnd w:id="17"/>
    </w:p>
    <w:p>
      <w:pPr>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附件</w:t>
      </w:r>
      <w:bookmarkEnd w:id="16"/>
      <w:r>
        <w:rPr>
          <w:rFonts w:hint="eastAsia" w:ascii="仿宋" w:hAnsi="仿宋" w:eastAsia="仿宋" w:cs="仿宋"/>
          <w:kern w:val="0"/>
          <w:sz w:val="32"/>
          <w:szCs w:val="32"/>
        </w:rPr>
        <w:t>1</w:t>
      </w:r>
      <w:r>
        <w:rPr>
          <w:rFonts w:hint="eastAsia" w:ascii="仿宋" w:hAnsi="仿宋" w:eastAsia="仿宋" w:cs="仿宋"/>
          <w:kern w:val="0"/>
          <w:sz w:val="32"/>
          <w:szCs w:val="32"/>
        </w:rPr>
        <w:tab/>
      </w:r>
      <w:r>
        <w:rPr>
          <w:rFonts w:hint="eastAsia" w:ascii="仿宋" w:hAnsi="仿宋" w:eastAsia="仿宋" w:cs="仿宋"/>
          <w:kern w:val="0"/>
          <w:sz w:val="32"/>
          <w:szCs w:val="32"/>
        </w:rPr>
        <w:tab/>
      </w:r>
      <w:r>
        <w:rPr>
          <w:rFonts w:hint="eastAsia" w:ascii="仿宋" w:hAnsi="仿宋" w:eastAsia="仿宋" w:cs="仿宋"/>
          <w:kern w:val="0"/>
          <w:sz w:val="32"/>
          <w:szCs w:val="32"/>
        </w:rPr>
        <w:tab/>
      </w:r>
      <w:r>
        <w:rPr>
          <w:rFonts w:hint="eastAsia" w:ascii="仿宋" w:hAnsi="仿宋" w:eastAsia="仿宋" w:cs="仿宋"/>
          <w:kern w:val="0"/>
          <w:sz w:val="32"/>
          <w:szCs w:val="32"/>
        </w:rPr>
        <w:tab/>
      </w:r>
      <w:r>
        <w:rPr>
          <w:rFonts w:hint="eastAsia" w:ascii="仿宋" w:hAnsi="仿宋" w:eastAsia="仿宋" w:cs="仿宋"/>
          <w:kern w:val="0"/>
          <w:sz w:val="32"/>
          <w:szCs w:val="32"/>
        </w:rPr>
        <w:tab/>
      </w:r>
      <w:r>
        <w:rPr>
          <w:rFonts w:hint="eastAsia" w:ascii="仿宋" w:hAnsi="仿宋" w:eastAsia="仿宋" w:cs="仿宋"/>
          <w:kern w:val="0"/>
          <w:sz w:val="32"/>
          <w:szCs w:val="32"/>
        </w:rPr>
        <w:tab/>
      </w:r>
      <w:r>
        <w:rPr>
          <w:rFonts w:hint="eastAsia" w:ascii="仿宋" w:hAnsi="仿宋" w:eastAsia="仿宋" w:cs="仿宋"/>
          <w:kern w:val="0"/>
          <w:sz w:val="32"/>
          <w:szCs w:val="32"/>
        </w:rPr>
        <w:tab/>
      </w:r>
    </w:p>
    <w:p>
      <w:pPr>
        <w:widowControl/>
        <w:ind w:left="93"/>
        <w:jc w:val="center"/>
        <w:rPr>
          <w:rFonts w:hint="eastAsia" w:ascii="仿宋" w:hAnsi="仿宋" w:eastAsia="仿宋" w:cs="仿宋"/>
          <w:bCs/>
          <w:kern w:val="0"/>
          <w:sz w:val="32"/>
          <w:szCs w:val="32"/>
        </w:rPr>
      </w:pPr>
      <w:r>
        <w:rPr>
          <w:rFonts w:hint="eastAsia" w:ascii="仿宋" w:hAnsi="仿宋" w:eastAsia="仿宋" w:cs="仿宋"/>
          <w:bCs/>
          <w:kern w:val="0"/>
          <w:sz w:val="32"/>
          <w:szCs w:val="32"/>
        </w:rPr>
        <w:t>部门整体支出绩效评价指标评分表</w:t>
      </w:r>
    </w:p>
    <w:tbl>
      <w:tblPr>
        <w:tblStyle w:val="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一级指标</w:t>
            </w:r>
          </w:p>
        </w:tc>
        <w:tc>
          <w:tcPr>
            <w:tcW w:w="429" w:type="dxa"/>
            <w:noWrap w:val="0"/>
            <w:vAlign w:val="center"/>
          </w:tcPr>
          <w:p>
            <w:pPr>
              <w:widowControl/>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二级指标</w:t>
            </w:r>
          </w:p>
        </w:tc>
        <w:tc>
          <w:tcPr>
            <w:tcW w:w="567" w:type="dxa"/>
            <w:noWrap w:val="0"/>
            <w:vAlign w:val="center"/>
          </w:tcPr>
          <w:p>
            <w:pPr>
              <w:widowControl/>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分值</w:t>
            </w:r>
          </w:p>
        </w:tc>
        <w:tc>
          <w:tcPr>
            <w:tcW w:w="851" w:type="dxa"/>
            <w:noWrap w:val="0"/>
            <w:vAlign w:val="center"/>
          </w:tcPr>
          <w:p>
            <w:pPr>
              <w:widowControl/>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三级   指标</w:t>
            </w:r>
          </w:p>
        </w:tc>
        <w:tc>
          <w:tcPr>
            <w:tcW w:w="567" w:type="dxa"/>
            <w:noWrap w:val="0"/>
            <w:vAlign w:val="center"/>
          </w:tcPr>
          <w:p>
            <w:pPr>
              <w:widowControl/>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分值</w:t>
            </w:r>
          </w:p>
        </w:tc>
        <w:tc>
          <w:tcPr>
            <w:tcW w:w="3118" w:type="dxa"/>
            <w:noWrap w:val="0"/>
            <w:vAlign w:val="center"/>
          </w:tcPr>
          <w:p>
            <w:pPr>
              <w:widowControl/>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评价标准</w:t>
            </w:r>
          </w:p>
        </w:tc>
        <w:tc>
          <w:tcPr>
            <w:tcW w:w="3472" w:type="dxa"/>
            <w:noWrap w:val="0"/>
            <w:vAlign w:val="center"/>
          </w:tcPr>
          <w:p>
            <w:pPr>
              <w:widowControl/>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备注</w:t>
            </w:r>
          </w:p>
        </w:tc>
        <w:tc>
          <w:tcPr>
            <w:tcW w:w="617" w:type="dxa"/>
            <w:noWrap w:val="0"/>
            <w:vAlign w:val="center"/>
          </w:tcPr>
          <w:p>
            <w:pPr>
              <w:widowControl/>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投    入</w:t>
            </w:r>
          </w:p>
        </w:tc>
        <w:tc>
          <w:tcPr>
            <w:tcW w:w="429" w:type="dxa"/>
            <w:vMerge w:val="restart"/>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预算配置</w:t>
            </w:r>
          </w:p>
        </w:tc>
        <w:tc>
          <w:tcPr>
            <w:tcW w:w="567" w:type="dxa"/>
            <w:vMerge w:val="restart"/>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18</w:t>
            </w: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“三公经费”</w:t>
            </w:r>
            <w:r>
              <w:rPr>
                <w:rFonts w:hint="eastAsia" w:ascii="仿宋" w:hAnsi="仿宋" w:eastAsia="仿宋" w:cs="仿宋"/>
                <w:kern w:val="0"/>
                <w:sz w:val="32"/>
                <w:szCs w:val="32"/>
              </w:rPr>
              <w:br w:type="textWrapping"/>
            </w:r>
            <w:r>
              <w:rPr>
                <w:rFonts w:hint="eastAsia" w:ascii="仿宋" w:hAnsi="仿宋" w:eastAsia="仿宋" w:cs="仿宋"/>
                <w:kern w:val="0"/>
                <w:sz w:val="32"/>
                <w:szCs w:val="32"/>
              </w:rPr>
              <w:t>变动率</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3</w:t>
            </w:r>
          </w:p>
        </w:tc>
        <w:tc>
          <w:tcPr>
            <w:tcW w:w="3118"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“三公经费”变动率</w:t>
            </w:r>
            <w:r>
              <w:rPr>
                <w:rFonts w:hint="eastAsia" w:ascii="仿宋" w:hAnsi="仿宋" w:eastAsia="仿宋" w:cs="仿宋"/>
                <w:kern w:val="0"/>
                <w:sz w:val="32"/>
                <w:szCs w:val="32"/>
              </w:rPr>
              <w:t>≤</w:t>
            </w:r>
            <w:r>
              <w:rPr>
                <w:rFonts w:hint="eastAsia" w:ascii="仿宋" w:hAnsi="仿宋" w:eastAsia="仿宋" w:cs="仿宋"/>
                <w:kern w:val="0"/>
                <w:sz w:val="32"/>
                <w:szCs w:val="32"/>
              </w:rPr>
              <w:t>0,计3分；“三公经费”＞0，每超过一个百分点扣0.3分，扣完为止。</w:t>
            </w:r>
          </w:p>
        </w:tc>
        <w:tc>
          <w:tcPr>
            <w:tcW w:w="3472"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“三公经费”变动率=[（本年度“三公经费”总额-上年度“三公经费”总额）/上年度“三公经费”总额]×100%。</w:t>
            </w:r>
            <w:r>
              <w:rPr>
                <w:rFonts w:hint="eastAsia" w:ascii="仿宋" w:hAnsi="仿宋" w:eastAsia="仿宋" w:cs="仿宋"/>
                <w:kern w:val="0"/>
                <w:sz w:val="32"/>
                <w:szCs w:val="32"/>
              </w:rPr>
              <w:br w:type="textWrapping"/>
            </w:r>
            <w:r>
              <w:rPr>
                <w:rFonts w:hint="eastAsia" w:ascii="仿宋" w:hAnsi="仿宋" w:eastAsia="仿宋" w:cs="仿宋"/>
                <w:kern w:val="0"/>
                <w:sz w:val="32"/>
                <w:szCs w:val="32"/>
              </w:rPr>
              <w:t>“三公经费”：指政府部门人员因公出国（境）经费、公务车购置及运行费、公务招待费产生的消费。</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 w:hAnsi="仿宋" w:eastAsia="仿宋" w:cs="仿宋"/>
                <w:kern w:val="0"/>
                <w:sz w:val="32"/>
                <w:szCs w:val="32"/>
              </w:rPr>
            </w:pPr>
          </w:p>
        </w:tc>
        <w:tc>
          <w:tcPr>
            <w:tcW w:w="429" w:type="dxa"/>
            <w:vMerge w:val="continue"/>
            <w:noWrap w:val="0"/>
            <w:vAlign w:val="top"/>
          </w:tcPr>
          <w:p>
            <w:pPr>
              <w:widowControl/>
              <w:jc w:val="left"/>
              <w:rPr>
                <w:rFonts w:hint="eastAsia" w:ascii="仿宋" w:hAnsi="仿宋" w:eastAsia="仿宋" w:cs="仿宋"/>
                <w:kern w:val="0"/>
                <w:sz w:val="32"/>
                <w:szCs w:val="32"/>
              </w:rPr>
            </w:pPr>
          </w:p>
        </w:tc>
        <w:tc>
          <w:tcPr>
            <w:tcW w:w="567" w:type="dxa"/>
            <w:vMerge w:val="continue"/>
            <w:noWrap w:val="0"/>
            <w:vAlign w:val="top"/>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“三公经费”   管理</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3</w:t>
            </w:r>
          </w:p>
        </w:tc>
        <w:tc>
          <w:tcPr>
            <w:tcW w:w="3118"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①招待费用明确招待标准和招待人数,1分;②车辆维护、燃油使用政府定点，1分。③</w:t>
            </w:r>
            <w:r>
              <w:rPr>
                <w:rFonts w:hint="eastAsia" w:ascii="仿宋" w:hAnsi="仿宋" w:eastAsia="仿宋" w:cs="仿宋"/>
                <w:kern w:val="0"/>
                <w:sz w:val="32"/>
                <w:szCs w:val="32"/>
              </w:rPr>
              <w:t>制定“三公经费”管理办法，1分，每少一项扣1分，扣完为止。</w:t>
            </w:r>
          </w:p>
        </w:tc>
        <w:tc>
          <w:tcPr>
            <w:tcW w:w="3472" w:type="dxa"/>
            <w:noWrap w:val="0"/>
            <w:vAlign w:val="top"/>
          </w:tcPr>
          <w:p>
            <w:pPr>
              <w:widowControl/>
              <w:jc w:val="left"/>
              <w:rPr>
                <w:rFonts w:hint="eastAsia" w:ascii="仿宋" w:hAnsi="仿宋" w:eastAsia="仿宋" w:cs="仿宋"/>
                <w:kern w:val="0"/>
                <w:sz w:val="32"/>
                <w:szCs w:val="32"/>
              </w:rPr>
            </w:pP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 w:hAnsi="仿宋" w:eastAsia="仿宋" w:cs="仿宋"/>
                <w:kern w:val="0"/>
                <w:sz w:val="32"/>
                <w:szCs w:val="32"/>
              </w:rPr>
            </w:pPr>
          </w:p>
        </w:tc>
        <w:tc>
          <w:tcPr>
            <w:tcW w:w="429" w:type="dxa"/>
            <w:vMerge w:val="continue"/>
            <w:noWrap w:val="0"/>
            <w:vAlign w:val="top"/>
          </w:tcPr>
          <w:p>
            <w:pPr>
              <w:widowControl/>
              <w:jc w:val="left"/>
              <w:rPr>
                <w:rFonts w:hint="eastAsia" w:ascii="仿宋" w:hAnsi="仿宋" w:eastAsia="仿宋" w:cs="仿宋"/>
                <w:kern w:val="0"/>
                <w:sz w:val="32"/>
                <w:szCs w:val="32"/>
              </w:rPr>
            </w:pPr>
          </w:p>
        </w:tc>
        <w:tc>
          <w:tcPr>
            <w:tcW w:w="567" w:type="dxa"/>
            <w:vMerge w:val="continue"/>
            <w:noWrap w:val="0"/>
            <w:vAlign w:val="top"/>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公务</w:t>
            </w:r>
          </w:p>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招待费变动率</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“公务招待费”变动率</w:t>
            </w:r>
            <w:r>
              <w:rPr>
                <w:rFonts w:hint="eastAsia" w:ascii="仿宋" w:hAnsi="仿宋" w:eastAsia="仿宋" w:cs="仿宋"/>
                <w:kern w:val="0"/>
                <w:sz w:val="32"/>
                <w:szCs w:val="32"/>
              </w:rPr>
              <w:t>≤</w:t>
            </w:r>
            <w:r>
              <w:rPr>
                <w:rFonts w:hint="eastAsia" w:ascii="仿宋" w:hAnsi="仿宋" w:eastAsia="仿宋" w:cs="仿宋"/>
                <w:kern w:val="0"/>
                <w:sz w:val="32"/>
                <w:szCs w:val="32"/>
              </w:rPr>
              <w:t>0,计2分；“公务招待费变动率”＞0，每超过一个百分点扣0.2分，扣完为止。</w:t>
            </w:r>
          </w:p>
        </w:tc>
        <w:tc>
          <w:tcPr>
            <w:tcW w:w="3472"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公务招待费变动率=[（本年度“公务招待费”总额-上年度“公务招待费”总额）/上年度“公务招待费”总额]×100%。</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 w:hAnsi="仿宋" w:eastAsia="仿宋" w:cs="仿宋"/>
                <w:kern w:val="0"/>
                <w:sz w:val="32"/>
                <w:szCs w:val="32"/>
              </w:rPr>
            </w:pPr>
          </w:p>
        </w:tc>
        <w:tc>
          <w:tcPr>
            <w:tcW w:w="429" w:type="dxa"/>
            <w:vMerge w:val="continue"/>
            <w:noWrap w:val="0"/>
            <w:vAlign w:val="top"/>
          </w:tcPr>
          <w:p>
            <w:pPr>
              <w:widowControl/>
              <w:jc w:val="left"/>
              <w:rPr>
                <w:rFonts w:hint="eastAsia" w:ascii="仿宋" w:hAnsi="仿宋" w:eastAsia="仿宋" w:cs="仿宋"/>
                <w:kern w:val="0"/>
                <w:sz w:val="32"/>
                <w:szCs w:val="32"/>
              </w:rPr>
            </w:pPr>
          </w:p>
        </w:tc>
        <w:tc>
          <w:tcPr>
            <w:tcW w:w="567" w:type="dxa"/>
            <w:vMerge w:val="continue"/>
            <w:noWrap w:val="0"/>
            <w:vAlign w:val="top"/>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公务用车购置</w:t>
            </w:r>
          </w:p>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运行费</w:t>
            </w:r>
          </w:p>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变动率</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“公务用车购置运行费”变动率</w:t>
            </w:r>
            <w:r>
              <w:rPr>
                <w:rFonts w:hint="eastAsia" w:ascii="仿宋" w:hAnsi="仿宋" w:eastAsia="仿宋" w:cs="仿宋"/>
                <w:kern w:val="0"/>
                <w:sz w:val="32"/>
                <w:szCs w:val="32"/>
              </w:rPr>
              <w:t>≤</w:t>
            </w:r>
            <w:r>
              <w:rPr>
                <w:rFonts w:hint="eastAsia" w:ascii="仿宋" w:hAnsi="仿宋" w:eastAsia="仿宋" w:cs="仿宋"/>
                <w:kern w:val="0"/>
                <w:sz w:val="32"/>
                <w:szCs w:val="32"/>
              </w:rPr>
              <w:t>0,计2分；“公务用车购置运行费变动率”＞0，每超过一个百分点扣0.2分，扣完为止。</w:t>
            </w:r>
          </w:p>
        </w:tc>
        <w:tc>
          <w:tcPr>
            <w:tcW w:w="3472" w:type="dxa"/>
            <w:noWrap w:val="0"/>
            <w:vAlign w:val="top"/>
          </w:tcPr>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 w:hAnsi="仿宋" w:eastAsia="仿宋" w:cs="仿宋"/>
                <w:kern w:val="0"/>
                <w:sz w:val="32"/>
                <w:szCs w:val="32"/>
              </w:rPr>
            </w:pPr>
          </w:p>
        </w:tc>
        <w:tc>
          <w:tcPr>
            <w:tcW w:w="429" w:type="dxa"/>
            <w:vMerge w:val="continue"/>
            <w:noWrap w:val="0"/>
            <w:vAlign w:val="top"/>
          </w:tcPr>
          <w:p>
            <w:pPr>
              <w:widowControl/>
              <w:jc w:val="left"/>
              <w:rPr>
                <w:rFonts w:hint="eastAsia" w:ascii="仿宋" w:hAnsi="仿宋" w:eastAsia="仿宋" w:cs="仿宋"/>
                <w:kern w:val="0"/>
                <w:sz w:val="32"/>
                <w:szCs w:val="32"/>
              </w:rPr>
            </w:pPr>
          </w:p>
        </w:tc>
        <w:tc>
          <w:tcPr>
            <w:tcW w:w="567" w:type="dxa"/>
            <w:vMerge w:val="continue"/>
            <w:noWrap w:val="0"/>
            <w:vAlign w:val="top"/>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商品 和服务支出 变动率</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“商品和服务支出”变动率</w:t>
            </w:r>
            <w:r>
              <w:rPr>
                <w:rFonts w:hint="eastAsia" w:ascii="仿宋" w:hAnsi="仿宋" w:eastAsia="仿宋" w:cs="仿宋"/>
                <w:kern w:val="0"/>
                <w:sz w:val="32"/>
                <w:szCs w:val="32"/>
              </w:rPr>
              <w:t>≤</w:t>
            </w:r>
            <w:r>
              <w:rPr>
                <w:rFonts w:hint="eastAsia" w:ascii="仿宋" w:hAnsi="仿宋" w:eastAsia="仿宋" w:cs="仿宋"/>
                <w:kern w:val="0"/>
                <w:sz w:val="32"/>
                <w:szCs w:val="32"/>
              </w:rPr>
              <w:t>0,计2分；“商品和服务支出”变动率＞0，每超过一个百分点扣0.2分，扣完为止。</w:t>
            </w:r>
          </w:p>
        </w:tc>
        <w:tc>
          <w:tcPr>
            <w:tcW w:w="3472"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 w:hAnsi="仿宋" w:eastAsia="仿宋" w:cs="仿宋"/>
                <w:kern w:val="0"/>
                <w:sz w:val="32"/>
                <w:szCs w:val="32"/>
              </w:rPr>
            </w:pPr>
          </w:p>
        </w:tc>
        <w:tc>
          <w:tcPr>
            <w:tcW w:w="429" w:type="dxa"/>
            <w:vMerge w:val="continue"/>
            <w:noWrap w:val="0"/>
            <w:vAlign w:val="top"/>
          </w:tcPr>
          <w:p>
            <w:pPr>
              <w:widowControl/>
              <w:jc w:val="left"/>
              <w:rPr>
                <w:rFonts w:hint="eastAsia" w:ascii="仿宋" w:hAnsi="仿宋" w:eastAsia="仿宋" w:cs="仿宋"/>
                <w:kern w:val="0"/>
                <w:sz w:val="32"/>
                <w:szCs w:val="32"/>
              </w:rPr>
            </w:pPr>
          </w:p>
        </w:tc>
        <w:tc>
          <w:tcPr>
            <w:tcW w:w="567" w:type="dxa"/>
            <w:vMerge w:val="continue"/>
            <w:noWrap w:val="0"/>
            <w:vAlign w:val="top"/>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重点  支出  安排率</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重点支出安排率≥90%，计2分；80%（含）-90%，计1分；70%（含）-80%，计0.5分；低于70%不得分。</w:t>
            </w:r>
          </w:p>
        </w:tc>
        <w:tc>
          <w:tcPr>
            <w:tcW w:w="3472"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重点支出安排率=（重点项目支出/项目总支出）×100%</w:t>
            </w:r>
            <w:r>
              <w:rPr>
                <w:rFonts w:hint="eastAsia" w:ascii="仿宋" w:hAnsi="仿宋" w:eastAsia="仿宋" w:cs="仿宋"/>
                <w:kern w:val="0"/>
                <w:sz w:val="32"/>
                <w:szCs w:val="32"/>
              </w:rPr>
              <w:br w:type="textWrapping"/>
            </w:r>
            <w:r>
              <w:rPr>
                <w:rFonts w:hint="eastAsia" w:ascii="仿宋" w:hAnsi="仿宋" w:eastAsia="仿宋" w:cs="仿宋"/>
                <w:kern w:val="0"/>
                <w:sz w:val="32"/>
                <w:szCs w:val="32"/>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 w:hAnsi="仿宋" w:eastAsia="仿宋" w:cs="仿宋"/>
                <w:kern w:val="0"/>
                <w:sz w:val="32"/>
                <w:szCs w:val="32"/>
              </w:rPr>
            </w:pPr>
          </w:p>
        </w:tc>
        <w:tc>
          <w:tcPr>
            <w:tcW w:w="429" w:type="dxa"/>
            <w:vMerge w:val="continue"/>
            <w:noWrap w:val="0"/>
            <w:vAlign w:val="top"/>
          </w:tcPr>
          <w:p>
            <w:pPr>
              <w:widowControl/>
              <w:jc w:val="left"/>
              <w:rPr>
                <w:rFonts w:hint="eastAsia" w:ascii="仿宋" w:hAnsi="仿宋" w:eastAsia="仿宋" w:cs="仿宋"/>
                <w:kern w:val="0"/>
                <w:sz w:val="32"/>
                <w:szCs w:val="32"/>
              </w:rPr>
            </w:pPr>
          </w:p>
        </w:tc>
        <w:tc>
          <w:tcPr>
            <w:tcW w:w="567" w:type="dxa"/>
            <w:vMerge w:val="continue"/>
            <w:noWrap w:val="0"/>
            <w:vAlign w:val="top"/>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非税 收入 管理</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top"/>
          </w:tcPr>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①实行收支两条线，1分；</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②未发生截留、坐支或转移，1分。以上每发现一次违规现象扣1分，扣完为止。</w:t>
            </w:r>
          </w:p>
        </w:tc>
        <w:tc>
          <w:tcPr>
            <w:tcW w:w="3472" w:type="dxa"/>
            <w:noWrap w:val="0"/>
            <w:vAlign w:val="top"/>
          </w:tcPr>
          <w:p>
            <w:pPr>
              <w:widowControl/>
              <w:jc w:val="left"/>
              <w:rPr>
                <w:rFonts w:hint="eastAsia" w:ascii="仿宋" w:hAnsi="仿宋" w:eastAsia="仿宋" w:cs="仿宋"/>
                <w:kern w:val="0"/>
                <w:sz w:val="32"/>
                <w:szCs w:val="32"/>
              </w:rPr>
            </w:pP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 w:hAnsi="仿宋" w:eastAsia="仿宋" w:cs="仿宋"/>
                <w:kern w:val="0"/>
                <w:sz w:val="32"/>
                <w:szCs w:val="32"/>
              </w:rPr>
            </w:pPr>
          </w:p>
        </w:tc>
        <w:tc>
          <w:tcPr>
            <w:tcW w:w="429" w:type="dxa"/>
            <w:vMerge w:val="continue"/>
            <w:noWrap w:val="0"/>
            <w:vAlign w:val="top"/>
          </w:tcPr>
          <w:p>
            <w:pPr>
              <w:widowControl/>
              <w:jc w:val="left"/>
              <w:rPr>
                <w:rFonts w:hint="eastAsia" w:ascii="仿宋" w:hAnsi="仿宋" w:eastAsia="仿宋" w:cs="仿宋"/>
                <w:kern w:val="0"/>
                <w:sz w:val="32"/>
                <w:szCs w:val="32"/>
              </w:rPr>
            </w:pPr>
          </w:p>
        </w:tc>
        <w:tc>
          <w:tcPr>
            <w:tcW w:w="567" w:type="dxa"/>
            <w:vMerge w:val="continue"/>
            <w:noWrap w:val="0"/>
            <w:vAlign w:val="top"/>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非税 收入 完成率</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非税收入完成率100%，2分，每少一个百分点，扣0.1分，扣完为止。</w:t>
            </w:r>
          </w:p>
        </w:tc>
        <w:tc>
          <w:tcPr>
            <w:tcW w:w="3472"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非税收入完成率=（</w:t>
            </w:r>
            <w:r>
              <w:rPr>
                <w:rFonts w:hint="eastAsia" w:ascii="仿宋" w:hAnsi="仿宋" w:eastAsia="仿宋" w:cs="仿宋"/>
                <w:kern w:val="0"/>
                <w:sz w:val="32"/>
                <w:szCs w:val="32"/>
              </w:rPr>
              <w:t>20</w:t>
            </w:r>
            <w:r>
              <w:rPr>
                <w:rFonts w:hint="eastAsia" w:ascii="仿宋" w:hAnsi="仿宋" w:eastAsia="仿宋" w:cs="仿宋"/>
                <w:kern w:val="0"/>
                <w:sz w:val="32"/>
                <w:szCs w:val="32"/>
              </w:rPr>
              <w:t>20年度非税实际收入完成数/</w:t>
            </w:r>
            <w:r>
              <w:rPr>
                <w:rFonts w:hint="eastAsia" w:ascii="仿宋" w:hAnsi="仿宋" w:eastAsia="仿宋" w:cs="仿宋"/>
                <w:kern w:val="0"/>
                <w:sz w:val="32"/>
                <w:szCs w:val="32"/>
              </w:rPr>
              <w:t>20</w:t>
            </w:r>
            <w:r>
              <w:rPr>
                <w:rFonts w:hint="eastAsia" w:ascii="仿宋" w:hAnsi="仿宋" w:eastAsia="仿宋" w:cs="仿宋"/>
                <w:kern w:val="0"/>
                <w:sz w:val="32"/>
                <w:szCs w:val="32"/>
              </w:rPr>
              <w:t>20年度非税收入预算数）×100%，有减免因素的，以非税局确定的为准。</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 w:hAnsi="仿宋" w:eastAsia="仿宋" w:cs="仿宋"/>
                <w:kern w:val="0"/>
                <w:sz w:val="32"/>
                <w:szCs w:val="32"/>
              </w:rPr>
            </w:pPr>
          </w:p>
          <w:p>
            <w:pPr>
              <w:widowControl/>
              <w:jc w:val="center"/>
              <w:rPr>
                <w:rFonts w:hint="eastAsia" w:ascii="仿宋" w:hAnsi="仿宋" w:eastAsia="仿宋" w:cs="仿宋"/>
                <w:kern w:val="0"/>
                <w:sz w:val="32"/>
                <w:szCs w:val="32"/>
              </w:rPr>
            </w:pPr>
          </w:p>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过    程</w:t>
            </w:r>
          </w:p>
          <w:p>
            <w:pPr>
              <w:widowControl/>
              <w:ind w:left="113" w:right="113"/>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rPr>
                <w:rFonts w:hint="eastAsia" w:ascii="仿宋" w:hAnsi="仿宋" w:eastAsia="仿宋" w:cs="仿宋"/>
                <w:kern w:val="0"/>
                <w:sz w:val="32"/>
                <w:szCs w:val="32"/>
              </w:rPr>
            </w:pPr>
            <w:r>
              <w:rPr>
                <w:rFonts w:hint="eastAsia" w:ascii="仿宋" w:hAnsi="仿宋" w:eastAsia="仿宋" w:cs="仿宋"/>
                <w:kern w:val="0"/>
                <w:sz w:val="32"/>
                <w:szCs w:val="32"/>
              </w:rPr>
              <w:t>过      程</w:t>
            </w:r>
          </w:p>
        </w:tc>
        <w:tc>
          <w:tcPr>
            <w:tcW w:w="429" w:type="dxa"/>
            <w:vMerge w:val="restart"/>
            <w:tcBorders>
              <w:right w:val="single" w:color="auto" w:sz="4" w:space="0"/>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预算执行</w:t>
            </w:r>
          </w:p>
        </w:tc>
        <w:tc>
          <w:tcPr>
            <w:tcW w:w="567" w:type="dxa"/>
            <w:vMerge w:val="restart"/>
            <w:tcBorders>
              <w:left w:val="single" w:color="auto" w:sz="4" w:space="0"/>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8</w:t>
            </w: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预算  完成率</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完成率&lt;1，计2分，</w:t>
            </w:r>
          </w:p>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完成率=1，计1分，</w:t>
            </w:r>
          </w:p>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完成率&gt;1，不得分。</w:t>
            </w:r>
          </w:p>
          <w:p>
            <w:pPr>
              <w:widowControl/>
              <w:jc w:val="center"/>
              <w:rPr>
                <w:rFonts w:hint="eastAsia" w:ascii="仿宋" w:hAnsi="仿宋" w:eastAsia="仿宋" w:cs="仿宋"/>
                <w:kern w:val="0"/>
                <w:sz w:val="32"/>
                <w:szCs w:val="32"/>
              </w:rPr>
            </w:pPr>
          </w:p>
        </w:tc>
        <w:tc>
          <w:tcPr>
            <w:tcW w:w="3472" w:type="dxa"/>
            <w:noWrap w:val="0"/>
            <w:vAlign w:val="center"/>
          </w:tcPr>
          <w:p>
            <w:pPr>
              <w:autoSpaceDN w:val="0"/>
              <w:textAlignment w:val="center"/>
              <w:rPr>
                <w:rFonts w:hint="eastAsia" w:ascii="仿宋" w:hAnsi="仿宋" w:eastAsia="仿宋" w:cs="仿宋"/>
                <w:kern w:val="0"/>
                <w:sz w:val="32"/>
                <w:szCs w:val="32"/>
              </w:rPr>
            </w:pPr>
            <w:r>
              <w:rPr>
                <w:rFonts w:hint="eastAsia" w:ascii="仿宋" w:hAnsi="仿宋" w:eastAsia="仿宋" w:cs="仿宋"/>
                <w:kern w:val="0"/>
                <w:sz w:val="32"/>
                <w:szCs w:val="32"/>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仿宋" w:hAnsi="仿宋" w:eastAsia="仿宋" w:cs="仿宋"/>
                <w:kern w:val="0"/>
                <w:sz w:val="32"/>
                <w:szCs w:val="32"/>
                <w:highlight w:val="yellow"/>
              </w:rPr>
            </w:pPr>
            <w:r>
              <w:rPr>
                <w:rFonts w:hint="eastAsia" w:ascii="仿宋" w:hAnsi="仿宋" w:eastAsia="仿宋" w:cs="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hint="eastAsia" w:ascii="仿宋" w:hAnsi="仿宋" w:eastAsia="仿宋" w:cs="仿宋"/>
                <w:kern w:val="0"/>
                <w:sz w:val="32"/>
                <w:szCs w:val="32"/>
              </w:rPr>
            </w:pPr>
          </w:p>
        </w:tc>
        <w:tc>
          <w:tcPr>
            <w:tcW w:w="429" w:type="dxa"/>
            <w:vMerge w:val="continue"/>
            <w:tcBorders>
              <w:right w:val="single" w:color="auto" w:sz="4" w:space="0"/>
            </w:tcBorders>
            <w:noWrap w:val="0"/>
            <w:vAlign w:val="top"/>
          </w:tcPr>
          <w:p>
            <w:pPr>
              <w:rPr>
                <w:rFonts w:hint="eastAsia" w:ascii="仿宋" w:hAnsi="仿宋" w:eastAsia="仿宋" w:cs="仿宋"/>
                <w:kern w:val="0"/>
                <w:sz w:val="32"/>
                <w:szCs w:val="32"/>
              </w:rPr>
            </w:pPr>
          </w:p>
        </w:tc>
        <w:tc>
          <w:tcPr>
            <w:tcW w:w="567" w:type="dxa"/>
            <w:vMerge w:val="continue"/>
            <w:tcBorders>
              <w:left w:val="single" w:color="auto" w:sz="4" w:space="0"/>
            </w:tcBorders>
            <w:noWrap w:val="0"/>
            <w:vAlign w:val="top"/>
          </w:tcPr>
          <w:p>
            <w:pPr>
              <w:jc w:val="center"/>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资金  结余</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结余超过10%（不含），2分；结余在0-10%（含）的，1分；本年超支不得分。</w:t>
            </w:r>
          </w:p>
        </w:tc>
        <w:tc>
          <w:tcPr>
            <w:tcW w:w="3472"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本项结余不含未完工项目资金的结转数。</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hint="eastAsia" w:ascii="仿宋" w:hAnsi="仿宋" w:eastAsia="仿宋" w:cs="仿宋"/>
                <w:kern w:val="0"/>
                <w:sz w:val="32"/>
                <w:szCs w:val="32"/>
              </w:rPr>
            </w:pPr>
          </w:p>
        </w:tc>
        <w:tc>
          <w:tcPr>
            <w:tcW w:w="429" w:type="dxa"/>
            <w:vMerge w:val="continue"/>
            <w:tcBorders>
              <w:right w:val="single" w:color="auto" w:sz="4" w:space="0"/>
            </w:tcBorders>
            <w:noWrap w:val="0"/>
            <w:vAlign w:val="top"/>
          </w:tcPr>
          <w:p>
            <w:pPr>
              <w:rPr>
                <w:rFonts w:hint="eastAsia" w:ascii="仿宋" w:hAnsi="仿宋" w:eastAsia="仿宋" w:cs="仿宋"/>
                <w:kern w:val="0"/>
                <w:sz w:val="32"/>
                <w:szCs w:val="32"/>
              </w:rPr>
            </w:pPr>
          </w:p>
        </w:tc>
        <w:tc>
          <w:tcPr>
            <w:tcW w:w="567" w:type="dxa"/>
            <w:vMerge w:val="continue"/>
            <w:tcBorders>
              <w:left w:val="single" w:color="auto" w:sz="4" w:space="0"/>
            </w:tcBorders>
            <w:noWrap w:val="0"/>
            <w:vAlign w:val="top"/>
          </w:tcPr>
          <w:p>
            <w:pPr>
              <w:jc w:val="center"/>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“三公经费”</w:t>
            </w:r>
            <w:r>
              <w:rPr>
                <w:rFonts w:hint="eastAsia" w:ascii="仿宋" w:hAnsi="仿宋" w:eastAsia="仿宋" w:cs="仿宋"/>
                <w:kern w:val="0"/>
                <w:sz w:val="32"/>
                <w:szCs w:val="32"/>
              </w:rPr>
              <w:br w:type="textWrapping"/>
            </w:r>
            <w:r>
              <w:rPr>
                <w:rFonts w:hint="eastAsia" w:ascii="仿宋" w:hAnsi="仿宋" w:eastAsia="仿宋" w:cs="仿宋"/>
                <w:kern w:val="0"/>
                <w:sz w:val="32"/>
                <w:szCs w:val="32"/>
              </w:rPr>
              <w:t>控制率</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以100%为标准。三公经费控制率</w:t>
            </w:r>
            <w:r>
              <w:rPr>
                <w:rFonts w:hint="eastAsia" w:ascii="仿宋" w:hAnsi="仿宋" w:eastAsia="仿宋" w:cs="仿宋"/>
                <w:kern w:val="0"/>
                <w:sz w:val="32"/>
                <w:szCs w:val="32"/>
              </w:rPr>
              <w:t>≤</w:t>
            </w:r>
            <w:r>
              <w:rPr>
                <w:rFonts w:hint="eastAsia" w:ascii="仿宋" w:hAnsi="仿宋" w:eastAsia="仿宋" w:cs="仿宋"/>
                <w:kern w:val="0"/>
                <w:sz w:val="32"/>
                <w:szCs w:val="32"/>
              </w:rPr>
              <w:t>100%，计2分；每超过一个百分点扣0.2分，扣完为止。单位没有制定“三公”经费预算，该项不得分。</w:t>
            </w:r>
          </w:p>
        </w:tc>
        <w:tc>
          <w:tcPr>
            <w:tcW w:w="3472"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“三公经费”控制率=（“三公经费”实际支出数/“三公经费”预算安排数）×100%。</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hint="eastAsia" w:ascii="仿宋" w:hAnsi="仿宋" w:eastAsia="仿宋" w:cs="仿宋"/>
                <w:kern w:val="0"/>
                <w:sz w:val="32"/>
                <w:szCs w:val="32"/>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 w:hAnsi="仿宋" w:eastAsia="仿宋" w:cs="仿宋"/>
                <w:kern w:val="0"/>
                <w:sz w:val="32"/>
                <w:szCs w:val="32"/>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政府</w:t>
            </w:r>
          </w:p>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采购</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①编</w:t>
            </w:r>
            <w:r>
              <w:rPr>
                <w:rFonts w:hint="eastAsia" w:ascii="仿宋" w:hAnsi="仿宋" w:eastAsia="仿宋" w:cs="仿宋"/>
                <w:kern w:val="0"/>
                <w:sz w:val="32"/>
                <w:szCs w:val="32"/>
              </w:rPr>
              <w:t>制政府采购年度预算并上报的，0.5分；②追加并编制政府采购预算的，0.5分；</w:t>
            </w:r>
            <w:r>
              <w:rPr>
                <w:rFonts w:hint="eastAsia" w:ascii="仿宋" w:hAnsi="仿宋" w:eastAsia="仿宋" w:cs="仿宋"/>
                <w:kern w:val="0"/>
                <w:sz w:val="32"/>
                <w:szCs w:val="32"/>
              </w:rPr>
              <w:t>③</w:t>
            </w:r>
            <w:r>
              <w:rPr>
                <w:rFonts w:hint="eastAsia" w:ascii="仿宋" w:hAnsi="仿宋" w:eastAsia="仿宋" w:cs="仿宋"/>
                <w:kern w:val="0"/>
                <w:sz w:val="32"/>
                <w:szCs w:val="32"/>
              </w:rPr>
              <w:t>政府采购执行率=100%，计1分；每少一个百分点扣0.1分，扣完为止。</w:t>
            </w:r>
          </w:p>
        </w:tc>
        <w:tc>
          <w:tcPr>
            <w:tcW w:w="3472"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hint="eastAsia" w:ascii="仿宋" w:hAnsi="仿宋" w:eastAsia="仿宋" w:cs="仿宋"/>
                <w:kern w:val="0"/>
                <w:sz w:val="32"/>
                <w:szCs w:val="32"/>
              </w:rPr>
            </w:pPr>
          </w:p>
        </w:tc>
        <w:tc>
          <w:tcPr>
            <w:tcW w:w="429" w:type="dxa"/>
            <w:vMerge w:val="restart"/>
            <w:tcBorders>
              <w:top w:val="single" w:color="auto" w:sz="4" w:space="0"/>
              <w:right w:val="single" w:color="auto" w:sz="4" w:space="0"/>
            </w:tcBorders>
            <w:noWrap w:val="0"/>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28</w:t>
            </w:r>
          </w:p>
        </w:tc>
        <w:tc>
          <w:tcPr>
            <w:tcW w:w="851" w:type="dxa"/>
            <w:tcBorders>
              <w:top w:val="single" w:color="auto" w:sz="4" w:space="0"/>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管理  制度</w:t>
            </w:r>
            <w:r>
              <w:rPr>
                <w:rFonts w:hint="eastAsia" w:ascii="仿宋" w:hAnsi="仿宋" w:eastAsia="仿宋" w:cs="仿宋"/>
                <w:kern w:val="0"/>
                <w:sz w:val="32"/>
                <w:szCs w:val="32"/>
              </w:rPr>
              <w:br w:type="textWrapping"/>
            </w:r>
            <w:r>
              <w:rPr>
                <w:rFonts w:hint="eastAsia" w:ascii="仿宋" w:hAnsi="仿宋" w:eastAsia="仿宋" w:cs="仿宋"/>
                <w:kern w:val="0"/>
                <w:sz w:val="32"/>
                <w:szCs w:val="32"/>
              </w:rPr>
              <w:t>健全性</w:t>
            </w:r>
          </w:p>
        </w:tc>
        <w:tc>
          <w:tcPr>
            <w:tcW w:w="567" w:type="dxa"/>
            <w:tcBorders>
              <w:top w:val="single" w:color="auto" w:sz="4" w:space="0"/>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6</w:t>
            </w:r>
          </w:p>
          <w:p>
            <w:pPr>
              <w:widowControl/>
              <w:jc w:val="center"/>
              <w:rPr>
                <w:rFonts w:hint="eastAsia" w:ascii="仿宋" w:hAnsi="仿宋" w:eastAsia="仿宋" w:cs="仿宋"/>
                <w:kern w:val="0"/>
                <w:sz w:val="32"/>
                <w:szCs w:val="32"/>
              </w:rPr>
            </w:pPr>
          </w:p>
        </w:tc>
        <w:tc>
          <w:tcPr>
            <w:tcW w:w="3118" w:type="dxa"/>
            <w:tcBorders>
              <w:top w:val="single" w:color="auto" w:sz="4" w:space="0"/>
            </w:tcBorders>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①已制定资金管理办法、内部财务管理制度、会计核算制度等管理制度，1分；</w:t>
            </w:r>
            <w:r>
              <w:rPr>
                <w:rFonts w:hint="eastAsia" w:ascii="仿宋" w:hAnsi="仿宋" w:eastAsia="仿宋" w:cs="仿宋"/>
                <w:kern w:val="0"/>
                <w:sz w:val="32"/>
                <w:szCs w:val="32"/>
              </w:rPr>
              <w:br w:type="textWrapping"/>
            </w:r>
            <w:r>
              <w:rPr>
                <w:rFonts w:hint="eastAsia" w:ascii="仿宋" w:hAnsi="仿宋" w:eastAsia="仿宋" w:cs="仿宋"/>
                <w:kern w:val="0"/>
                <w:sz w:val="32"/>
                <w:szCs w:val="32"/>
              </w:rPr>
              <w:t>②建立健全单位内部控制制度，1分；</w:t>
            </w:r>
            <w:r>
              <w:rPr>
                <w:rFonts w:hint="eastAsia" w:ascii="仿宋" w:hAnsi="仿宋" w:eastAsia="仿宋" w:cs="仿宋"/>
                <w:kern w:val="0"/>
                <w:sz w:val="32"/>
                <w:szCs w:val="32"/>
              </w:rPr>
              <w:br w:type="textWrapping"/>
            </w:r>
            <w:r>
              <w:rPr>
                <w:rFonts w:hint="eastAsia" w:ascii="仿宋" w:hAnsi="仿宋" w:eastAsia="仿宋" w:cs="仿宋"/>
                <w:kern w:val="0"/>
                <w:sz w:val="32"/>
                <w:szCs w:val="32"/>
              </w:rPr>
              <w:t>③会计人员、机构按规定设置，1分；</w:t>
            </w:r>
          </w:p>
          <w:p>
            <w:pPr>
              <w:widowControl/>
              <w:rPr>
                <w:rFonts w:hint="eastAsia" w:ascii="仿宋" w:hAnsi="仿宋" w:eastAsia="仿宋" w:cs="仿宋"/>
                <w:kern w:val="0"/>
                <w:sz w:val="32"/>
                <w:szCs w:val="32"/>
              </w:rPr>
            </w:pPr>
            <w:r>
              <w:rPr>
                <w:rFonts w:hint="eastAsia" w:ascii="仿宋" w:hAnsi="仿宋" w:eastAsia="仿宋" w:cs="仿宋"/>
                <w:kern w:val="0"/>
                <w:sz w:val="32"/>
                <w:szCs w:val="32"/>
              </w:rPr>
              <w:t>④会计基础工作健全，1分；</w:t>
            </w:r>
          </w:p>
          <w:p>
            <w:pPr>
              <w:widowControl/>
              <w:rPr>
                <w:rFonts w:hint="eastAsia" w:ascii="仿宋" w:hAnsi="仿宋" w:eastAsia="仿宋" w:cs="仿宋"/>
                <w:kern w:val="0"/>
                <w:sz w:val="32"/>
                <w:szCs w:val="32"/>
              </w:rPr>
            </w:pPr>
            <w:r>
              <w:rPr>
                <w:rFonts w:hint="eastAsia" w:ascii="仿宋" w:hAnsi="仿宋" w:eastAsia="仿宋" w:cs="仿宋"/>
                <w:kern w:val="0"/>
                <w:sz w:val="32"/>
                <w:szCs w:val="32"/>
              </w:rPr>
              <w:t>⑤会计档案符合规定要求，1分；</w:t>
            </w:r>
          </w:p>
          <w:p>
            <w:pPr>
              <w:widowControl/>
              <w:rPr>
                <w:rFonts w:hint="eastAsia" w:ascii="仿宋" w:hAnsi="仿宋" w:eastAsia="仿宋" w:cs="仿宋"/>
                <w:kern w:val="0"/>
                <w:sz w:val="32"/>
                <w:szCs w:val="32"/>
              </w:rPr>
            </w:pPr>
            <w:r>
              <w:rPr>
                <w:rFonts w:hint="eastAsia" w:ascii="仿宋" w:hAnsi="仿宋" w:eastAsia="仿宋" w:cs="仿宋"/>
                <w:kern w:val="0"/>
                <w:sz w:val="32"/>
                <w:szCs w:val="32"/>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 w:hAnsi="仿宋" w:eastAsia="仿宋" w:cs="仿宋"/>
                <w:kern w:val="0"/>
                <w:sz w:val="32"/>
                <w:szCs w:val="32"/>
              </w:rPr>
            </w:pPr>
          </w:p>
        </w:tc>
        <w:tc>
          <w:tcPr>
            <w:tcW w:w="617" w:type="dxa"/>
            <w:tcBorders>
              <w:top w:val="single" w:color="auto" w:sz="4" w:space="0"/>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hint="eastAsia" w:ascii="仿宋" w:hAnsi="仿宋" w:eastAsia="仿宋" w:cs="仿宋"/>
                <w:kern w:val="0"/>
                <w:sz w:val="32"/>
                <w:szCs w:val="32"/>
              </w:rPr>
            </w:pPr>
          </w:p>
        </w:tc>
        <w:tc>
          <w:tcPr>
            <w:tcW w:w="429" w:type="dxa"/>
            <w:vMerge w:val="continue"/>
            <w:tcBorders>
              <w:top w:val="single" w:color="auto" w:sz="4" w:space="0"/>
              <w:right w:val="single" w:color="auto" w:sz="4" w:space="0"/>
            </w:tcBorders>
            <w:noWrap w:val="0"/>
            <w:vAlign w:val="center"/>
          </w:tcPr>
          <w:p>
            <w:pPr>
              <w:jc w:val="center"/>
              <w:rPr>
                <w:rFonts w:hint="eastAsia" w:ascii="仿宋" w:hAnsi="仿宋" w:eastAsia="仿宋" w:cs="仿宋"/>
                <w:kern w:val="0"/>
                <w:sz w:val="32"/>
                <w:szCs w:val="32"/>
              </w:rPr>
            </w:pPr>
          </w:p>
        </w:tc>
        <w:tc>
          <w:tcPr>
            <w:tcW w:w="567" w:type="dxa"/>
            <w:vMerge w:val="continue"/>
            <w:tcBorders>
              <w:top w:val="single" w:color="auto" w:sz="4" w:space="0"/>
              <w:left w:val="single" w:color="auto" w:sz="4" w:space="0"/>
            </w:tcBorders>
            <w:noWrap w:val="0"/>
            <w:vAlign w:val="center"/>
          </w:tcPr>
          <w:p>
            <w:pPr>
              <w:jc w:val="center"/>
              <w:rPr>
                <w:rFonts w:hint="eastAsia" w:ascii="仿宋" w:hAnsi="仿宋" w:eastAsia="仿宋" w:cs="仿宋"/>
                <w:kern w:val="0"/>
                <w:sz w:val="32"/>
                <w:szCs w:val="32"/>
              </w:rPr>
            </w:pPr>
          </w:p>
        </w:tc>
        <w:tc>
          <w:tcPr>
            <w:tcW w:w="851" w:type="dxa"/>
            <w:tcBorders>
              <w:top w:val="single" w:color="auto" w:sz="4" w:space="0"/>
            </w:tcBorders>
            <w:noWrap w:val="0"/>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内控制度情况</w:t>
            </w:r>
          </w:p>
        </w:tc>
        <w:tc>
          <w:tcPr>
            <w:tcW w:w="567" w:type="dxa"/>
            <w:tcBorders>
              <w:top w:val="single" w:color="auto" w:sz="4" w:space="0"/>
            </w:tcBorders>
            <w:noWrap w:val="0"/>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4分</w:t>
            </w:r>
          </w:p>
        </w:tc>
        <w:tc>
          <w:tcPr>
            <w:tcW w:w="3118" w:type="dxa"/>
            <w:tcBorders>
              <w:top w:val="single" w:color="auto" w:sz="4" w:space="0"/>
            </w:tcBorders>
            <w:noWrap w:val="0"/>
            <w:vAlign w:val="center"/>
          </w:tcPr>
          <w:p>
            <w:pPr>
              <w:rPr>
                <w:rFonts w:hint="eastAsia" w:ascii="仿宋" w:hAnsi="仿宋" w:eastAsia="仿宋" w:cs="仿宋"/>
                <w:kern w:val="0"/>
                <w:sz w:val="32"/>
                <w:szCs w:val="32"/>
              </w:rPr>
            </w:pPr>
            <w:r>
              <w:rPr>
                <w:rFonts w:hint="eastAsia" w:ascii="仿宋" w:hAnsi="仿宋" w:eastAsia="仿宋" w:cs="仿宋"/>
                <w:kern w:val="0"/>
                <w:sz w:val="32"/>
                <w:szCs w:val="32"/>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 w:hAnsi="仿宋" w:eastAsia="仿宋" w:cs="仿宋"/>
                <w:kern w:val="0"/>
                <w:sz w:val="32"/>
                <w:szCs w:val="32"/>
              </w:rPr>
            </w:pPr>
          </w:p>
        </w:tc>
        <w:tc>
          <w:tcPr>
            <w:tcW w:w="617" w:type="dxa"/>
            <w:tcBorders>
              <w:top w:val="single" w:color="auto" w:sz="4" w:space="0"/>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过程</w:t>
            </w:r>
          </w:p>
        </w:tc>
        <w:tc>
          <w:tcPr>
            <w:tcW w:w="429" w:type="dxa"/>
            <w:vMerge w:val="continue"/>
            <w:tcBorders>
              <w:right w:val="single" w:color="auto" w:sz="4" w:space="0"/>
            </w:tcBorders>
            <w:noWrap w:val="0"/>
            <w:vAlign w:val="center"/>
          </w:tcPr>
          <w:p>
            <w:pPr>
              <w:jc w:val="center"/>
              <w:rPr>
                <w:rFonts w:hint="eastAsia" w:ascii="仿宋" w:hAnsi="仿宋" w:eastAsia="仿宋" w:cs="仿宋"/>
                <w:kern w:val="0"/>
                <w:sz w:val="32"/>
                <w:szCs w:val="32"/>
              </w:rPr>
            </w:pPr>
          </w:p>
        </w:tc>
        <w:tc>
          <w:tcPr>
            <w:tcW w:w="567" w:type="dxa"/>
            <w:vMerge w:val="continue"/>
            <w:tcBorders>
              <w:left w:val="single" w:color="auto" w:sz="4" w:space="0"/>
            </w:tcBorders>
            <w:noWrap w:val="0"/>
            <w:vAlign w:val="center"/>
          </w:tcPr>
          <w:p>
            <w:pPr>
              <w:jc w:val="center"/>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资金  使用</w:t>
            </w:r>
            <w:r>
              <w:rPr>
                <w:rFonts w:hint="eastAsia" w:ascii="仿宋" w:hAnsi="仿宋" w:eastAsia="仿宋" w:cs="仿宋"/>
                <w:kern w:val="0"/>
                <w:sz w:val="32"/>
                <w:szCs w:val="32"/>
              </w:rPr>
              <w:br w:type="textWrapping"/>
            </w:r>
            <w:r>
              <w:rPr>
                <w:rFonts w:hint="eastAsia" w:ascii="仿宋" w:hAnsi="仿宋" w:eastAsia="仿宋" w:cs="仿宋"/>
                <w:kern w:val="0"/>
                <w:sz w:val="32"/>
                <w:szCs w:val="32"/>
              </w:rPr>
              <w:t>合规性</w:t>
            </w:r>
          </w:p>
        </w:tc>
        <w:tc>
          <w:tcPr>
            <w:tcW w:w="567"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14</w:t>
            </w:r>
          </w:p>
        </w:tc>
        <w:tc>
          <w:tcPr>
            <w:tcW w:w="3118"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①支出符合国家财经法规和财务管理制度规定以及有关专项资金管理办法的规定；</w:t>
            </w:r>
            <w:r>
              <w:rPr>
                <w:rFonts w:hint="eastAsia" w:ascii="仿宋" w:hAnsi="仿宋" w:eastAsia="仿宋" w:cs="仿宋"/>
                <w:kern w:val="0"/>
                <w:sz w:val="32"/>
                <w:szCs w:val="32"/>
              </w:rPr>
              <w:br w:type="textWrapping"/>
            </w:r>
            <w:r>
              <w:rPr>
                <w:rFonts w:hint="eastAsia" w:ascii="仿宋" w:hAnsi="仿宋" w:eastAsia="仿宋" w:cs="仿宋"/>
                <w:kern w:val="0"/>
                <w:sz w:val="32"/>
                <w:szCs w:val="32"/>
              </w:rPr>
              <w:t>②资金（开支）拨付有完整的审批程序和手续；</w:t>
            </w:r>
            <w:r>
              <w:rPr>
                <w:rFonts w:hint="eastAsia" w:ascii="仿宋" w:hAnsi="仿宋" w:eastAsia="仿宋" w:cs="仿宋"/>
                <w:kern w:val="0"/>
                <w:sz w:val="32"/>
                <w:szCs w:val="32"/>
              </w:rPr>
              <w:br w:type="textWrapping"/>
            </w:r>
            <w:r>
              <w:rPr>
                <w:rFonts w:hint="eastAsia" w:ascii="仿宋" w:hAnsi="仿宋" w:eastAsia="仿宋" w:cs="仿宋"/>
                <w:kern w:val="0"/>
                <w:sz w:val="32"/>
                <w:szCs w:val="32"/>
              </w:rPr>
              <w:t>③支出符合部门预算批复的用途；</w:t>
            </w:r>
            <w:r>
              <w:rPr>
                <w:rFonts w:hint="eastAsia" w:ascii="仿宋" w:hAnsi="仿宋" w:eastAsia="仿宋" w:cs="仿宋"/>
                <w:kern w:val="0"/>
                <w:sz w:val="32"/>
                <w:szCs w:val="32"/>
              </w:rPr>
              <w:br w:type="textWrapping"/>
            </w:r>
            <w:r>
              <w:rPr>
                <w:rFonts w:hint="eastAsia" w:ascii="仿宋" w:hAnsi="仿宋" w:eastAsia="仿宋" w:cs="仿宋"/>
                <w:kern w:val="0"/>
                <w:sz w:val="32"/>
                <w:szCs w:val="32"/>
              </w:rPr>
              <w:t>④资金使用无截留、挤占、挪用、虚列支出、随意借用、大额现金支付等情况。</w:t>
            </w:r>
          </w:p>
          <w:p>
            <w:pPr>
              <w:widowControl/>
              <w:rPr>
                <w:rFonts w:hint="eastAsia" w:ascii="仿宋" w:hAnsi="仿宋" w:eastAsia="仿宋" w:cs="仿宋"/>
                <w:kern w:val="0"/>
                <w:sz w:val="32"/>
                <w:szCs w:val="32"/>
              </w:rPr>
            </w:pPr>
            <w:r>
              <w:rPr>
                <w:rFonts w:hint="eastAsia" w:ascii="仿宋" w:hAnsi="仿宋" w:eastAsia="仿宋" w:cs="仿宋"/>
                <w:kern w:val="0"/>
                <w:sz w:val="32"/>
                <w:szCs w:val="32"/>
              </w:rPr>
              <w:t>⑤</w:t>
            </w:r>
            <w:r>
              <w:rPr>
                <w:rFonts w:hint="eastAsia" w:ascii="仿宋" w:hAnsi="仿宋" w:eastAsia="仿宋" w:cs="仿宋"/>
                <w:kern w:val="0"/>
                <w:sz w:val="32"/>
                <w:szCs w:val="32"/>
              </w:rPr>
              <w:t>重大财务事项经由集体研究决策；</w:t>
            </w:r>
          </w:p>
          <w:p>
            <w:pPr>
              <w:widowControl/>
              <w:rPr>
                <w:rFonts w:hint="eastAsia" w:ascii="仿宋" w:hAnsi="仿宋" w:eastAsia="仿宋" w:cs="仿宋"/>
                <w:kern w:val="0"/>
                <w:sz w:val="32"/>
                <w:szCs w:val="32"/>
              </w:rPr>
            </w:pPr>
            <w:r>
              <w:rPr>
                <w:rFonts w:hint="eastAsia" w:ascii="仿宋" w:hAnsi="仿宋" w:eastAsia="仿宋" w:cs="仿宋"/>
                <w:kern w:val="0"/>
                <w:sz w:val="32"/>
                <w:szCs w:val="32"/>
              </w:rPr>
              <w:t>⑥</w:t>
            </w:r>
            <w:r>
              <w:rPr>
                <w:rFonts w:hint="eastAsia" w:ascii="仿宋" w:hAnsi="仿宋" w:eastAsia="仿宋" w:cs="仿宋"/>
                <w:kern w:val="0"/>
                <w:sz w:val="32"/>
                <w:szCs w:val="32"/>
              </w:rPr>
              <w:t>专项资金做到专款专用；</w:t>
            </w:r>
          </w:p>
          <w:p>
            <w:pPr>
              <w:widowControl/>
              <w:rPr>
                <w:rFonts w:hint="eastAsia" w:ascii="仿宋" w:hAnsi="仿宋" w:eastAsia="仿宋" w:cs="仿宋"/>
                <w:kern w:val="0"/>
                <w:sz w:val="32"/>
                <w:szCs w:val="32"/>
              </w:rPr>
            </w:pPr>
            <w:r>
              <w:rPr>
                <w:rFonts w:hint="eastAsia" w:ascii="仿宋" w:hAnsi="仿宋" w:eastAsia="仿宋" w:cs="仿宋"/>
                <w:kern w:val="0"/>
                <w:sz w:val="32"/>
                <w:szCs w:val="32"/>
              </w:rPr>
              <w:t>⑦</w:t>
            </w:r>
            <w:r>
              <w:rPr>
                <w:rFonts w:hint="eastAsia" w:ascii="仿宋" w:hAnsi="仿宋" w:eastAsia="仿宋" w:cs="仿宋"/>
                <w:kern w:val="0"/>
                <w:sz w:val="32"/>
                <w:szCs w:val="32"/>
              </w:rPr>
              <w:t>原始凭证的取得真实有效；</w:t>
            </w:r>
          </w:p>
          <w:p>
            <w:pPr>
              <w:widowControl/>
              <w:rPr>
                <w:rFonts w:hint="eastAsia" w:ascii="仿宋" w:hAnsi="仿宋" w:eastAsia="仿宋" w:cs="仿宋"/>
                <w:kern w:val="0"/>
                <w:sz w:val="32"/>
                <w:szCs w:val="32"/>
              </w:rPr>
            </w:pPr>
            <w:r>
              <w:rPr>
                <w:rFonts w:hint="eastAsia" w:ascii="仿宋" w:hAnsi="仿宋" w:eastAsia="仿宋" w:cs="仿宋"/>
                <w:kern w:val="0"/>
                <w:sz w:val="32"/>
                <w:szCs w:val="32"/>
              </w:rPr>
              <w:t>⑧</w:t>
            </w:r>
            <w:r>
              <w:rPr>
                <w:rFonts w:hint="eastAsia" w:ascii="仿宋" w:hAnsi="仿宋" w:eastAsia="仿宋" w:cs="仿宋"/>
                <w:kern w:val="0"/>
                <w:sz w:val="32"/>
                <w:szCs w:val="32"/>
              </w:rPr>
              <w:t>无超范围、超预算开支；</w:t>
            </w:r>
          </w:p>
          <w:p>
            <w:pPr>
              <w:widowControl/>
              <w:rPr>
                <w:rFonts w:hint="eastAsia" w:ascii="仿宋" w:hAnsi="仿宋" w:eastAsia="仿宋" w:cs="仿宋"/>
                <w:kern w:val="0"/>
                <w:sz w:val="32"/>
                <w:szCs w:val="32"/>
              </w:rPr>
            </w:pPr>
            <w:r>
              <w:rPr>
                <w:rFonts w:hint="eastAsia" w:ascii="仿宋" w:hAnsi="仿宋" w:eastAsia="仿宋" w:cs="仿宋"/>
                <w:kern w:val="0"/>
                <w:sz w:val="32"/>
                <w:szCs w:val="32"/>
              </w:rPr>
              <w:t>⑨</w:t>
            </w:r>
            <w:r>
              <w:rPr>
                <w:rFonts w:hint="eastAsia" w:ascii="仿宋" w:hAnsi="仿宋" w:eastAsia="仿宋" w:cs="仿宋"/>
                <w:kern w:val="0"/>
                <w:sz w:val="32"/>
                <w:szCs w:val="32"/>
              </w:rPr>
              <w:t>无超标准发放津补贴、奖金，无用公款支付应由个人支付的款项。</w:t>
            </w:r>
            <w:r>
              <w:rPr>
                <w:rFonts w:hint="eastAsia" w:ascii="仿宋" w:hAnsi="仿宋" w:eastAsia="仿宋" w:cs="仿宋"/>
                <w:kern w:val="0"/>
                <w:sz w:val="32"/>
                <w:szCs w:val="32"/>
              </w:rPr>
              <w:br w:type="textWrapping"/>
            </w:r>
            <w:r>
              <w:rPr>
                <w:rFonts w:hint="eastAsia" w:ascii="仿宋" w:hAnsi="仿宋" w:eastAsia="仿宋" w:cs="仿宋"/>
                <w:kern w:val="0"/>
                <w:sz w:val="32"/>
                <w:szCs w:val="32"/>
              </w:rPr>
              <w:t>以上情况每出现一例不</w:t>
            </w:r>
            <w:r>
              <w:rPr>
                <w:rFonts w:hint="eastAsia" w:ascii="仿宋" w:hAnsi="仿宋" w:eastAsia="仿宋" w:cs="仿宋"/>
                <w:kern w:val="0"/>
                <w:sz w:val="32"/>
                <w:szCs w:val="32"/>
              </w:rPr>
              <w:t>符合要求的扣2分，扣完为止。</w:t>
            </w:r>
          </w:p>
        </w:tc>
        <w:tc>
          <w:tcPr>
            <w:tcW w:w="3472"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hint="eastAsia" w:ascii="仿宋" w:hAnsi="仿宋" w:eastAsia="仿宋" w:cs="仿宋"/>
                <w:kern w:val="0"/>
                <w:sz w:val="32"/>
                <w:szCs w:val="32"/>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 w:hAnsi="仿宋" w:eastAsia="仿宋" w:cs="仿宋"/>
                <w:kern w:val="0"/>
                <w:sz w:val="32"/>
                <w:szCs w:val="32"/>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预决算信息公开性和完善性</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4</w:t>
            </w:r>
          </w:p>
        </w:tc>
        <w:tc>
          <w:tcPr>
            <w:tcW w:w="3118" w:type="dxa"/>
            <w:noWrap w:val="0"/>
            <w:vAlign w:val="top"/>
          </w:tcPr>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预决算信息是指与部门预算、执行、决算、监督、绩效等管理相关的信息。</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hint="eastAsia" w:ascii="仿宋" w:hAnsi="仿宋" w:eastAsia="仿宋" w:cs="仿宋"/>
                <w:kern w:val="0"/>
                <w:sz w:val="32"/>
                <w:szCs w:val="32"/>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20</w:t>
            </w: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管理  制度</w:t>
            </w:r>
            <w:r>
              <w:rPr>
                <w:rFonts w:hint="eastAsia" w:ascii="仿宋" w:hAnsi="仿宋" w:eastAsia="仿宋" w:cs="仿宋"/>
                <w:kern w:val="0"/>
                <w:sz w:val="32"/>
                <w:szCs w:val="32"/>
              </w:rPr>
              <w:br w:type="textWrapping"/>
            </w:r>
            <w:r>
              <w:rPr>
                <w:rFonts w:hint="eastAsia" w:ascii="仿宋" w:hAnsi="仿宋" w:eastAsia="仿宋" w:cs="仿宋"/>
                <w:kern w:val="0"/>
                <w:sz w:val="32"/>
                <w:szCs w:val="32"/>
              </w:rPr>
              <w:t>健全性</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center"/>
          </w:tcPr>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①已制定资产管理制度，1分；</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②相关资产管理制度得到有效执行，1分。                                           </w:t>
            </w:r>
          </w:p>
        </w:tc>
        <w:tc>
          <w:tcPr>
            <w:tcW w:w="3472" w:type="dxa"/>
            <w:noWrap w:val="0"/>
            <w:vAlign w:val="center"/>
          </w:tcPr>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 w:hAnsi="仿宋" w:eastAsia="仿宋" w:cs="仿宋"/>
                <w:kern w:val="0"/>
                <w:sz w:val="32"/>
                <w:szCs w:val="32"/>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 w:hAnsi="仿宋" w:eastAsia="仿宋" w:cs="仿宋"/>
                <w:kern w:val="0"/>
                <w:sz w:val="32"/>
                <w:szCs w:val="32"/>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资产  管理</w:t>
            </w:r>
            <w:r>
              <w:rPr>
                <w:rFonts w:hint="eastAsia" w:ascii="仿宋" w:hAnsi="仿宋" w:eastAsia="仿宋" w:cs="仿宋"/>
                <w:kern w:val="0"/>
                <w:sz w:val="32"/>
                <w:szCs w:val="32"/>
              </w:rPr>
              <w:br w:type="textWrapping"/>
            </w:r>
            <w:r>
              <w:rPr>
                <w:rFonts w:hint="eastAsia" w:ascii="仿宋" w:hAnsi="仿宋" w:eastAsia="仿宋" w:cs="仿宋"/>
                <w:kern w:val="0"/>
                <w:sz w:val="32"/>
                <w:szCs w:val="32"/>
              </w:rPr>
              <w:t>安全性</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16</w:t>
            </w:r>
          </w:p>
        </w:tc>
        <w:tc>
          <w:tcPr>
            <w:tcW w:w="3118"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 xml:space="preserve">①资产保存完整；②资产配置合理；③资产处置规范； </w:t>
            </w:r>
            <w:r>
              <w:rPr>
                <w:rFonts w:hint="eastAsia" w:ascii="仿宋" w:hAnsi="仿宋" w:eastAsia="仿宋" w:cs="仿宋"/>
                <w:kern w:val="0"/>
                <w:sz w:val="32"/>
                <w:szCs w:val="32"/>
              </w:rPr>
              <w:br w:type="textWrapping"/>
            </w:r>
            <w:r>
              <w:rPr>
                <w:rFonts w:hint="eastAsia" w:ascii="仿宋" w:hAnsi="仿宋" w:eastAsia="仿宋" w:cs="仿宋"/>
                <w:kern w:val="0"/>
                <w:sz w:val="32"/>
                <w:szCs w:val="32"/>
              </w:rPr>
              <w:t>④资产账务管理合规，帐实帐卡、账账、账表（决算报表等）相符；⑤资产有偿使用及处置收入及时足额上缴；</w:t>
            </w:r>
            <w:r>
              <w:rPr>
                <w:rFonts w:hint="eastAsia" w:ascii="仿宋" w:hAnsi="仿宋" w:eastAsia="仿宋" w:cs="仿宋"/>
                <w:kern w:val="0"/>
                <w:sz w:val="32"/>
                <w:szCs w:val="32"/>
              </w:rPr>
              <w:t>⑥清查盘点：每年至少清查盘点一次；⑦产权明晰，权证齐全</w:t>
            </w:r>
            <w:r>
              <w:rPr>
                <w:rFonts w:hint="eastAsia" w:ascii="仿宋" w:hAnsi="仿宋" w:eastAsia="仿宋" w:cs="仿宋"/>
                <w:kern w:val="0"/>
                <w:sz w:val="32"/>
                <w:szCs w:val="32"/>
              </w:rPr>
              <w:t>；⑧按标准购置固定资产。</w:t>
            </w:r>
            <w:r>
              <w:rPr>
                <w:rFonts w:hint="eastAsia" w:ascii="仿宋" w:hAnsi="仿宋" w:eastAsia="仿宋" w:cs="仿宋"/>
                <w:kern w:val="0"/>
                <w:sz w:val="32"/>
                <w:szCs w:val="32"/>
              </w:rPr>
              <w:br w:type="textWrapping"/>
            </w:r>
            <w:r>
              <w:rPr>
                <w:rFonts w:hint="eastAsia" w:ascii="仿宋" w:hAnsi="仿宋" w:eastAsia="仿宋" w:cs="仿宋"/>
                <w:kern w:val="0"/>
                <w:sz w:val="32"/>
                <w:szCs w:val="32"/>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hint="eastAsia" w:ascii="仿宋" w:hAnsi="仿宋" w:eastAsia="仿宋" w:cs="仿宋"/>
                <w:kern w:val="0"/>
                <w:sz w:val="32"/>
                <w:szCs w:val="32"/>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 w:hAnsi="仿宋" w:eastAsia="仿宋" w:cs="仿宋"/>
                <w:kern w:val="0"/>
                <w:sz w:val="32"/>
                <w:szCs w:val="32"/>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 w:hAnsi="仿宋" w:eastAsia="仿宋" w:cs="仿宋"/>
                <w:kern w:val="0"/>
                <w:sz w:val="32"/>
                <w:szCs w:val="32"/>
              </w:rPr>
            </w:pPr>
          </w:p>
        </w:tc>
        <w:tc>
          <w:tcPr>
            <w:tcW w:w="851" w:type="dxa"/>
            <w:noWrap w:val="0"/>
            <w:vAlign w:val="top"/>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固定  资产</w:t>
            </w:r>
            <w:r>
              <w:rPr>
                <w:rFonts w:hint="eastAsia" w:ascii="仿宋" w:hAnsi="仿宋" w:eastAsia="仿宋" w:cs="仿宋"/>
                <w:kern w:val="0"/>
                <w:sz w:val="32"/>
                <w:szCs w:val="32"/>
              </w:rPr>
              <w:br w:type="textWrapping"/>
            </w:r>
            <w:r>
              <w:rPr>
                <w:rFonts w:hint="eastAsia" w:ascii="仿宋" w:hAnsi="仿宋" w:eastAsia="仿宋" w:cs="仿宋"/>
                <w:kern w:val="0"/>
                <w:sz w:val="32"/>
                <w:szCs w:val="32"/>
              </w:rPr>
              <w:t>利用率</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top"/>
          </w:tcPr>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固定资产利用率,100%,2分,每低于一个百分点扣0.2分，扣完为止。</w:t>
            </w:r>
          </w:p>
        </w:tc>
        <w:tc>
          <w:tcPr>
            <w:tcW w:w="3472" w:type="dxa"/>
            <w:noWrap w:val="0"/>
            <w:vAlign w:val="top"/>
          </w:tcPr>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固定资产利用率=（实际在用固定资产总额/所有固定资产总额）×100%</w:t>
            </w:r>
          </w:p>
        </w:tc>
        <w:tc>
          <w:tcPr>
            <w:tcW w:w="617" w:type="dxa"/>
            <w:noWrap w:val="0"/>
            <w:vAlign w:val="center"/>
          </w:tcPr>
          <w:p>
            <w:pPr>
              <w:widowControl/>
              <w:jc w:val="center"/>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hint="eastAsia" w:ascii="仿宋" w:hAnsi="仿宋" w:eastAsia="仿宋" w:cs="仿宋"/>
                <w:kern w:val="0"/>
                <w:sz w:val="32"/>
                <w:szCs w:val="32"/>
              </w:rPr>
            </w:pPr>
          </w:p>
        </w:tc>
        <w:tc>
          <w:tcPr>
            <w:tcW w:w="429" w:type="dxa"/>
            <w:vMerge w:val="restart"/>
            <w:tcBorders>
              <w:right w:val="single" w:color="auto" w:sz="4" w:space="0"/>
            </w:tcBorders>
            <w:noWrap w:val="0"/>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17</w:t>
            </w: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目标 管理</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8</w:t>
            </w:r>
          </w:p>
        </w:tc>
        <w:tc>
          <w:tcPr>
            <w:tcW w:w="3118" w:type="dxa"/>
            <w:noWrap w:val="0"/>
            <w:vAlign w:val="center"/>
          </w:tcPr>
          <w:p>
            <w:pPr>
              <w:widowControl/>
              <w:rPr>
                <w:rFonts w:hint="eastAsia" w:ascii="仿宋" w:hAnsi="仿宋" w:eastAsia="仿宋" w:cs="仿宋"/>
                <w:kern w:val="0"/>
                <w:sz w:val="32"/>
                <w:szCs w:val="32"/>
              </w:rPr>
            </w:pPr>
            <w:r>
              <w:rPr>
                <w:rFonts w:hint="eastAsia" w:ascii="仿宋" w:hAnsi="仿宋" w:eastAsia="仿宋" w:cs="仿宋"/>
                <w:kern w:val="0"/>
                <w:sz w:val="32"/>
                <w:szCs w:val="32"/>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pPr>
              <w:widowControl/>
              <w:rPr>
                <w:rFonts w:hint="eastAsia" w:ascii="仿宋" w:hAnsi="仿宋" w:eastAsia="仿宋" w:cs="仿宋"/>
                <w:kern w:val="0"/>
                <w:sz w:val="32"/>
                <w:szCs w:val="32"/>
              </w:rPr>
            </w:pP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hint="eastAsia" w:ascii="仿宋" w:hAnsi="仿宋" w:eastAsia="仿宋" w:cs="仿宋"/>
                <w:kern w:val="0"/>
                <w:sz w:val="32"/>
                <w:szCs w:val="32"/>
              </w:rPr>
            </w:pPr>
          </w:p>
        </w:tc>
        <w:tc>
          <w:tcPr>
            <w:tcW w:w="429" w:type="dxa"/>
            <w:vMerge w:val="continue"/>
            <w:tcBorders>
              <w:bottom w:val="single" w:color="auto" w:sz="4" w:space="0"/>
              <w:right w:val="single" w:color="auto" w:sz="4" w:space="0"/>
            </w:tcBorders>
            <w:noWrap w:val="0"/>
            <w:vAlign w:val="top"/>
          </w:tcPr>
          <w:p>
            <w:pPr>
              <w:jc w:val="left"/>
              <w:rPr>
                <w:rFonts w:hint="eastAsia" w:ascii="仿宋" w:hAnsi="仿宋" w:eastAsia="仿宋" w:cs="仿宋"/>
                <w:kern w:val="0"/>
                <w:sz w:val="32"/>
                <w:szCs w:val="32"/>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绩效 评价</w:t>
            </w:r>
          </w:p>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管理</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7</w:t>
            </w:r>
          </w:p>
        </w:tc>
        <w:tc>
          <w:tcPr>
            <w:tcW w:w="3118"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①</w:t>
            </w:r>
            <w:r>
              <w:rPr>
                <w:rFonts w:hint="eastAsia" w:ascii="仿宋" w:hAnsi="仿宋" w:eastAsia="仿宋" w:cs="仿宋"/>
                <w:kern w:val="0"/>
                <w:sz w:val="32"/>
                <w:szCs w:val="32"/>
              </w:rPr>
              <w:t>开展2019年度专项资金绩效自评的，2分，每少一个专项资金的自评扣1分，扣完为止；</w:t>
            </w:r>
            <w:r>
              <w:rPr>
                <w:rFonts w:hint="eastAsia" w:ascii="仿宋" w:hAnsi="仿宋" w:eastAsia="仿宋" w:cs="仿宋"/>
                <w:kern w:val="0"/>
                <w:sz w:val="32"/>
                <w:szCs w:val="32"/>
              </w:rPr>
              <w:t>②</w:t>
            </w:r>
            <w:r>
              <w:rPr>
                <w:rFonts w:hint="eastAsia" w:ascii="仿宋" w:hAnsi="仿宋" w:eastAsia="仿宋" w:cs="仿宋"/>
                <w:kern w:val="0"/>
                <w:sz w:val="32"/>
                <w:szCs w:val="32"/>
              </w:rPr>
              <w:t>开展2019年度已完工项目绩效自评的，2分，每少一个项目扣1分，扣完为止；</w:t>
            </w:r>
            <w:r>
              <w:rPr>
                <w:rFonts w:hint="eastAsia" w:ascii="仿宋" w:hAnsi="仿宋" w:eastAsia="仿宋" w:cs="仿宋"/>
                <w:kern w:val="0"/>
                <w:sz w:val="32"/>
                <w:szCs w:val="32"/>
              </w:rPr>
              <w:t>③</w:t>
            </w:r>
            <w:r>
              <w:rPr>
                <w:rFonts w:hint="eastAsia" w:ascii="仿宋" w:hAnsi="仿宋" w:eastAsia="仿宋" w:cs="仿宋"/>
                <w:kern w:val="0"/>
                <w:sz w:val="32"/>
                <w:szCs w:val="32"/>
              </w:rPr>
              <w:t>开展2019年度部门整体支出绩效自评的，1分；</w:t>
            </w:r>
            <w:r>
              <w:rPr>
                <w:rFonts w:hint="eastAsia" w:ascii="仿宋" w:hAnsi="仿宋" w:eastAsia="仿宋" w:cs="仿宋"/>
                <w:kern w:val="0"/>
                <w:sz w:val="32"/>
                <w:szCs w:val="32"/>
              </w:rPr>
              <w:t>④</w:t>
            </w:r>
            <w:r>
              <w:rPr>
                <w:rFonts w:hint="eastAsia" w:ascii="仿宋" w:hAnsi="仿宋" w:eastAsia="仿宋" w:cs="仿宋"/>
                <w:kern w:val="0"/>
                <w:sz w:val="32"/>
                <w:szCs w:val="32"/>
              </w:rPr>
              <w:t>在规定时间内报送、公开以上自评报告材料的，2分。</w:t>
            </w:r>
          </w:p>
        </w:tc>
        <w:tc>
          <w:tcPr>
            <w:tcW w:w="3472" w:type="dxa"/>
            <w:noWrap w:val="0"/>
            <w:vAlign w:val="center"/>
          </w:tcPr>
          <w:p>
            <w:pPr>
              <w:widowControl/>
              <w:jc w:val="center"/>
              <w:rPr>
                <w:rFonts w:hint="eastAsia" w:ascii="仿宋" w:hAnsi="仿宋" w:eastAsia="仿宋" w:cs="仿宋"/>
                <w:kern w:val="0"/>
                <w:sz w:val="32"/>
                <w:szCs w:val="32"/>
              </w:rPr>
            </w:pP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hint="eastAsia" w:ascii="仿宋" w:hAnsi="仿宋" w:eastAsia="仿宋" w:cs="仿宋"/>
                <w:kern w:val="0"/>
                <w:sz w:val="32"/>
                <w:szCs w:val="32"/>
              </w:rPr>
            </w:pPr>
          </w:p>
        </w:tc>
        <w:tc>
          <w:tcPr>
            <w:tcW w:w="429" w:type="dxa"/>
            <w:tcBorders>
              <w:top w:val="nil"/>
              <w:bottom w:val="single" w:color="auto" w:sz="4" w:space="0"/>
              <w:right w:val="single" w:color="auto" w:sz="4" w:space="0"/>
            </w:tcBorders>
            <w:noWrap w:val="0"/>
            <w:vAlign w:val="top"/>
          </w:tcPr>
          <w:p>
            <w:pPr>
              <w:jc w:val="left"/>
              <w:rPr>
                <w:rFonts w:hint="eastAsia" w:ascii="仿宋" w:hAnsi="仿宋" w:eastAsia="仿宋" w:cs="仿宋"/>
                <w:kern w:val="0"/>
                <w:sz w:val="32"/>
                <w:szCs w:val="32"/>
              </w:rPr>
            </w:pPr>
          </w:p>
        </w:tc>
        <w:tc>
          <w:tcPr>
            <w:tcW w:w="567" w:type="dxa"/>
            <w:tcBorders>
              <w:top w:val="nil"/>
              <w:left w:val="single" w:color="auto" w:sz="4" w:space="0"/>
              <w:bottom w:val="single" w:color="auto" w:sz="4" w:space="0"/>
            </w:tcBorders>
            <w:noWrap w:val="0"/>
            <w:vAlign w:val="top"/>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评价 结果 运用</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center"/>
          </w:tcPr>
          <w:p>
            <w:pPr>
              <w:widowControl/>
              <w:jc w:val="center"/>
              <w:rPr>
                <w:rFonts w:hint="eastAsia" w:ascii="仿宋" w:hAnsi="仿宋" w:eastAsia="仿宋" w:cs="仿宋"/>
                <w:sz w:val="32"/>
                <w:szCs w:val="32"/>
              </w:rPr>
            </w:pPr>
            <w:r>
              <w:rPr>
                <w:rFonts w:hint="eastAsia" w:ascii="仿宋" w:hAnsi="仿宋" w:eastAsia="仿宋" w:cs="仿宋"/>
                <w:kern w:val="0"/>
                <w:sz w:val="32"/>
                <w:szCs w:val="32"/>
              </w:rPr>
              <w:t>根据2019年度财政重点绩效评价和单位自评情况，向财政报送整改结果并整改到位的，2分，否则不得分。</w:t>
            </w:r>
          </w:p>
        </w:tc>
        <w:tc>
          <w:tcPr>
            <w:tcW w:w="3472" w:type="dxa"/>
            <w:noWrap w:val="0"/>
            <w:vAlign w:val="center"/>
          </w:tcPr>
          <w:p>
            <w:pPr>
              <w:jc w:val="center"/>
              <w:rPr>
                <w:rFonts w:hint="eastAsia" w:ascii="仿宋" w:hAnsi="仿宋" w:eastAsia="仿宋" w:cs="仿宋"/>
                <w:kern w:val="0"/>
                <w:sz w:val="32"/>
                <w:szCs w:val="32"/>
              </w:rPr>
            </w:pP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5</w:t>
            </w: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重点　工作　完成率</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该项得分=重点工作完成率×2</w:t>
            </w:r>
          </w:p>
        </w:tc>
        <w:tc>
          <w:tcPr>
            <w:tcW w:w="3472" w:type="dxa"/>
            <w:noWrap w:val="0"/>
            <w:vAlign w:val="center"/>
          </w:tcPr>
          <w:p>
            <w:pPr>
              <w:autoSpaceDN w:val="0"/>
              <w:jc w:val="center"/>
              <w:textAlignment w:val="center"/>
              <w:rPr>
                <w:rFonts w:hint="eastAsia" w:ascii="仿宋" w:hAnsi="仿宋" w:eastAsia="仿宋" w:cs="仿宋"/>
                <w:kern w:val="0"/>
                <w:sz w:val="32"/>
                <w:szCs w:val="32"/>
              </w:rPr>
            </w:pPr>
            <w:r>
              <w:rPr>
                <w:rFonts w:hint="eastAsia" w:ascii="仿宋" w:hAnsi="仿宋" w:eastAsia="仿宋" w:cs="仿宋"/>
                <w:kern w:val="0"/>
                <w:sz w:val="32"/>
                <w:szCs w:val="32"/>
              </w:rPr>
              <w:t>重点工作为市政府确定的为民办实事和部门重点工程与重点工作。</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 w:hAnsi="仿宋" w:eastAsia="仿宋" w:cs="仿宋"/>
                <w:kern w:val="0"/>
                <w:sz w:val="32"/>
                <w:szCs w:val="32"/>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 w:hAnsi="仿宋" w:eastAsia="仿宋" w:cs="仿宋"/>
                <w:kern w:val="0"/>
                <w:sz w:val="32"/>
                <w:szCs w:val="32"/>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 w:hAnsi="仿宋" w:eastAsia="仿宋" w:cs="仿宋"/>
                <w:kern w:val="0"/>
                <w:sz w:val="32"/>
                <w:szCs w:val="32"/>
              </w:rPr>
            </w:pPr>
          </w:p>
        </w:tc>
        <w:tc>
          <w:tcPr>
            <w:tcW w:w="851" w:type="dxa"/>
            <w:noWrap w:val="0"/>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工作</w:t>
            </w:r>
          </w:p>
          <w:p>
            <w:pPr>
              <w:jc w:val="center"/>
              <w:rPr>
                <w:rFonts w:hint="eastAsia" w:ascii="仿宋" w:hAnsi="仿宋" w:eastAsia="仿宋" w:cs="仿宋"/>
                <w:kern w:val="0"/>
                <w:sz w:val="32"/>
                <w:szCs w:val="32"/>
              </w:rPr>
            </w:pPr>
            <w:r>
              <w:rPr>
                <w:rFonts w:hint="eastAsia" w:ascii="仿宋" w:hAnsi="仿宋" w:eastAsia="仿宋" w:cs="仿宋"/>
                <w:kern w:val="0"/>
                <w:sz w:val="32"/>
                <w:szCs w:val="32"/>
              </w:rPr>
              <w:t>质量</w:t>
            </w:r>
          </w:p>
        </w:tc>
        <w:tc>
          <w:tcPr>
            <w:tcW w:w="567" w:type="dxa"/>
            <w:noWrap w:val="0"/>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3</w:t>
            </w:r>
          </w:p>
        </w:tc>
        <w:tc>
          <w:tcPr>
            <w:tcW w:w="3118" w:type="dxa"/>
            <w:noWrap w:val="0"/>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 w:hAnsi="仿宋" w:eastAsia="仿宋" w:cs="仿宋"/>
                <w:kern w:val="0"/>
                <w:sz w:val="32"/>
                <w:szCs w:val="32"/>
              </w:rPr>
            </w:pPr>
          </w:p>
        </w:tc>
        <w:tc>
          <w:tcPr>
            <w:tcW w:w="617" w:type="dxa"/>
            <w:noWrap w:val="0"/>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4</w:t>
            </w: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经济  效益</w:t>
            </w:r>
          </w:p>
        </w:tc>
        <w:tc>
          <w:tcPr>
            <w:tcW w:w="567" w:type="dxa"/>
            <w:vMerge w:val="restart"/>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6590" w:type="dxa"/>
            <w:gridSpan w:val="2"/>
            <w:vMerge w:val="restart"/>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hint="eastAsia" w:ascii="仿宋" w:hAnsi="仿宋" w:eastAsia="仿宋" w:cs="仿宋"/>
                <w:kern w:val="0"/>
                <w:sz w:val="32"/>
                <w:szCs w:val="32"/>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 w:hAnsi="仿宋" w:eastAsia="仿宋" w:cs="仿宋"/>
                <w:kern w:val="0"/>
                <w:sz w:val="32"/>
                <w:szCs w:val="32"/>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社会  效益</w:t>
            </w:r>
          </w:p>
        </w:tc>
        <w:tc>
          <w:tcPr>
            <w:tcW w:w="567" w:type="dxa"/>
            <w:vMerge w:val="continue"/>
            <w:noWrap w:val="0"/>
            <w:vAlign w:val="center"/>
          </w:tcPr>
          <w:p>
            <w:pPr>
              <w:widowControl/>
              <w:jc w:val="left"/>
              <w:rPr>
                <w:rFonts w:hint="eastAsia" w:ascii="仿宋" w:hAnsi="仿宋" w:eastAsia="仿宋" w:cs="仿宋"/>
                <w:kern w:val="0"/>
                <w:sz w:val="32"/>
                <w:szCs w:val="32"/>
              </w:rPr>
            </w:pPr>
          </w:p>
        </w:tc>
        <w:tc>
          <w:tcPr>
            <w:tcW w:w="6590" w:type="dxa"/>
            <w:gridSpan w:val="2"/>
            <w:vMerge w:val="continue"/>
            <w:noWrap w:val="0"/>
            <w:vAlign w:val="center"/>
          </w:tcPr>
          <w:p>
            <w:pPr>
              <w:widowControl/>
              <w:jc w:val="center"/>
              <w:rPr>
                <w:rFonts w:hint="eastAsia" w:ascii="仿宋" w:hAnsi="仿宋" w:eastAsia="仿宋" w:cs="仿宋"/>
                <w:kern w:val="0"/>
                <w:sz w:val="32"/>
                <w:szCs w:val="32"/>
              </w:rPr>
            </w:pPr>
          </w:p>
        </w:tc>
        <w:tc>
          <w:tcPr>
            <w:tcW w:w="617" w:type="dxa"/>
            <w:vMerge w:val="continue"/>
            <w:noWrap w:val="0"/>
            <w:vAlign w:val="center"/>
          </w:tcPr>
          <w:p>
            <w:pPr>
              <w:widowControl/>
              <w:jc w:val="center"/>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hint="eastAsia" w:ascii="仿宋" w:hAnsi="仿宋" w:eastAsia="仿宋" w:cs="仿宋"/>
                <w:kern w:val="0"/>
                <w:sz w:val="32"/>
                <w:szCs w:val="32"/>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 w:hAnsi="仿宋" w:eastAsia="仿宋" w:cs="仿宋"/>
                <w:kern w:val="0"/>
                <w:sz w:val="32"/>
                <w:szCs w:val="32"/>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生态  效益</w:t>
            </w:r>
          </w:p>
        </w:tc>
        <w:tc>
          <w:tcPr>
            <w:tcW w:w="567" w:type="dxa"/>
            <w:vMerge w:val="continue"/>
            <w:noWrap w:val="0"/>
            <w:vAlign w:val="center"/>
          </w:tcPr>
          <w:p>
            <w:pPr>
              <w:widowControl/>
              <w:jc w:val="left"/>
              <w:rPr>
                <w:rFonts w:hint="eastAsia" w:ascii="仿宋" w:hAnsi="仿宋" w:eastAsia="仿宋" w:cs="仿宋"/>
                <w:kern w:val="0"/>
                <w:sz w:val="32"/>
                <w:szCs w:val="32"/>
              </w:rPr>
            </w:pPr>
          </w:p>
        </w:tc>
        <w:tc>
          <w:tcPr>
            <w:tcW w:w="6590" w:type="dxa"/>
            <w:gridSpan w:val="2"/>
            <w:vMerge w:val="continue"/>
            <w:noWrap w:val="0"/>
            <w:vAlign w:val="center"/>
          </w:tcPr>
          <w:p>
            <w:pPr>
              <w:widowControl/>
              <w:jc w:val="center"/>
              <w:rPr>
                <w:rFonts w:hint="eastAsia" w:ascii="仿宋" w:hAnsi="仿宋" w:eastAsia="仿宋" w:cs="仿宋"/>
                <w:kern w:val="0"/>
                <w:sz w:val="32"/>
                <w:szCs w:val="32"/>
              </w:rPr>
            </w:pPr>
          </w:p>
        </w:tc>
        <w:tc>
          <w:tcPr>
            <w:tcW w:w="617" w:type="dxa"/>
            <w:vMerge w:val="continue"/>
            <w:noWrap w:val="0"/>
            <w:vAlign w:val="center"/>
          </w:tcPr>
          <w:p>
            <w:pPr>
              <w:widowControl/>
              <w:jc w:val="center"/>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hint="eastAsia" w:ascii="仿宋" w:hAnsi="仿宋" w:eastAsia="仿宋" w:cs="仿宋"/>
                <w:kern w:val="0"/>
                <w:sz w:val="32"/>
                <w:szCs w:val="32"/>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 w:hAnsi="仿宋" w:eastAsia="仿宋" w:cs="仿宋"/>
                <w:kern w:val="0"/>
                <w:sz w:val="32"/>
                <w:szCs w:val="32"/>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 w:hAnsi="仿宋" w:eastAsia="仿宋" w:cs="仿宋"/>
                <w:kern w:val="0"/>
                <w:sz w:val="32"/>
                <w:szCs w:val="32"/>
              </w:rPr>
            </w:pPr>
          </w:p>
        </w:tc>
        <w:tc>
          <w:tcPr>
            <w:tcW w:w="851"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社会公众或服务对象满意度</w:t>
            </w:r>
          </w:p>
        </w:tc>
        <w:tc>
          <w:tcPr>
            <w:tcW w:w="56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3118"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90%（含）以上计2分；</w:t>
            </w:r>
            <w:r>
              <w:rPr>
                <w:rFonts w:hint="eastAsia" w:ascii="仿宋" w:hAnsi="仿宋" w:eastAsia="仿宋" w:cs="仿宋"/>
                <w:kern w:val="0"/>
                <w:sz w:val="32"/>
                <w:szCs w:val="32"/>
              </w:rPr>
              <w:br w:type="textWrapping"/>
            </w:r>
            <w:r>
              <w:rPr>
                <w:rFonts w:hint="eastAsia" w:ascii="仿宋" w:hAnsi="仿宋" w:eastAsia="仿宋" w:cs="仿宋"/>
                <w:kern w:val="0"/>
                <w:sz w:val="32"/>
                <w:szCs w:val="32"/>
              </w:rPr>
              <w:t>80%（含）-90%，计1分；70%（含）-80%，计0.5分；低于70%,计0分。</w:t>
            </w:r>
          </w:p>
        </w:tc>
        <w:tc>
          <w:tcPr>
            <w:tcW w:w="3472"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合计</w:t>
            </w:r>
          </w:p>
        </w:tc>
        <w:tc>
          <w:tcPr>
            <w:tcW w:w="8575" w:type="dxa"/>
            <w:gridSpan w:val="5"/>
            <w:noWrap w:val="0"/>
            <w:vAlign w:val="center"/>
          </w:tcPr>
          <w:p>
            <w:pPr>
              <w:widowControl/>
              <w:jc w:val="center"/>
              <w:rPr>
                <w:rFonts w:hint="eastAsia" w:ascii="仿宋" w:hAnsi="仿宋" w:eastAsia="仿宋" w:cs="仿宋"/>
                <w:kern w:val="0"/>
                <w:sz w:val="32"/>
                <w:szCs w:val="32"/>
              </w:rPr>
            </w:pPr>
          </w:p>
        </w:tc>
        <w:tc>
          <w:tcPr>
            <w:tcW w:w="617" w:type="dxa"/>
            <w:noWrap w:val="0"/>
            <w:vAlign w:val="center"/>
          </w:tcPr>
          <w:p>
            <w:pPr>
              <w:widowControl/>
              <w:jc w:val="center"/>
              <w:rPr>
                <w:rFonts w:hint="eastAsia" w:ascii="仿宋" w:hAnsi="仿宋" w:eastAsia="仿宋" w:cs="仿宋"/>
                <w:kern w:val="0"/>
                <w:sz w:val="32"/>
                <w:szCs w:val="32"/>
                <w:lang w:eastAsia="zh-CN"/>
              </w:rPr>
            </w:pPr>
            <w:r>
              <w:rPr>
                <w:rFonts w:hint="eastAsia" w:ascii="仿宋" w:hAnsi="仿宋" w:eastAsia="仿宋" w:cs="仿宋"/>
                <w:kern w:val="0"/>
                <w:sz w:val="32"/>
                <w:szCs w:val="32"/>
              </w:rPr>
              <w:t>9</w:t>
            </w:r>
            <w:r>
              <w:rPr>
                <w:rFonts w:hint="eastAsia" w:ascii="仿宋" w:hAnsi="仿宋" w:eastAsia="仿宋" w:cs="仿宋"/>
                <w:kern w:val="0"/>
                <w:sz w:val="32"/>
                <w:szCs w:val="32"/>
                <w:lang w:val="en-US" w:eastAsia="zh-CN"/>
              </w:rPr>
              <w:t>7</w:t>
            </w:r>
          </w:p>
        </w:tc>
      </w:tr>
    </w:tbl>
    <w:p>
      <w:pPr>
        <w:spacing w:line="600" w:lineRule="exact"/>
        <w:rPr>
          <w:rFonts w:hint="eastAsia" w:ascii="仿宋" w:hAnsi="仿宋" w:eastAsia="仿宋" w:cs="仿宋"/>
          <w:kern w:val="0"/>
          <w:sz w:val="32"/>
          <w:szCs w:val="32"/>
        </w:rPr>
      </w:pPr>
    </w:p>
    <w:p>
      <w:pPr>
        <w:adjustRightInd w:val="0"/>
        <w:spacing w:line="600" w:lineRule="exact"/>
        <w:ind w:right="641"/>
        <w:rPr>
          <w:rFonts w:hint="eastAsia" w:ascii="仿宋" w:hAnsi="仿宋" w:eastAsia="仿宋" w:cs="仿宋"/>
          <w:sz w:val="32"/>
          <w:szCs w:val="32"/>
        </w:rPr>
      </w:pPr>
    </w:p>
    <w:p>
      <w:pPr>
        <w:rPr>
          <w:rFonts w:hint="eastAsia" w:ascii="仿宋" w:hAnsi="仿宋" w:eastAsia="仿宋" w:cs="仿宋"/>
          <w:spacing w:val="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ZGFjYTBmOWFjNzk1OTFiMzQyYTNiMzZmMWY3ZTcifQ=="/>
  </w:docVars>
  <w:rsids>
    <w:rsidRoot w:val="00000000"/>
    <w:rsid w:val="06862CC3"/>
    <w:rsid w:val="2F875E8B"/>
    <w:rsid w:val="331932AB"/>
    <w:rsid w:val="3A2924B0"/>
    <w:rsid w:val="44F17337"/>
    <w:rsid w:val="55A27C63"/>
    <w:rsid w:val="5B7C1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iPriority w:val="0"/>
  </w:style>
  <w:style w:type="paragraph" w:customStyle="1" w:styleId="9">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0">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6094</Words>
  <Characters>6408</Characters>
  <Lines>0</Lines>
  <Paragraphs>0</Paragraphs>
  <TotalTime>3</TotalTime>
  <ScaleCrop>false</ScaleCrop>
  <LinksUpToDate>false</LinksUpToDate>
  <CharactersWithSpaces>6597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双双</cp:lastModifiedBy>
  <dcterms:modified xsi:type="dcterms:W3CDTF">2022-08-27T03:37:36Z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DE09469E86CA4B839226F4A5C9EDC50E</vt:lpwstr>
  </property>
</Properties>
</file>