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 xml:space="preserve">双清区行政审批服务局 </w:t>
      </w:r>
    </w:p>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12"/>
        <w:keepNext w:val="0"/>
        <w:keepLines w:val="0"/>
        <w:pageBreakBefore w:val="0"/>
        <w:widowControl/>
        <w:numPr>
          <w:ilvl w:val="0"/>
          <w:numId w:val="0"/>
        </w:numPr>
        <w:suppressLineNumbers w:val="0"/>
        <w:tabs>
          <w:tab w:val="left" w:pos="0"/>
        </w:tabs>
        <w:kinsoku/>
        <w:wordWrap/>
        <w:overflowPunct/>
        <w:autoSpaceDE/>
        <w:autoSpaceDN/>
        <w:bidi w:val="0"/>
        <w:spacing w:beforeAutospacing="0" w:after="0" w:afterAutospacing="0" w:line="560" w:lineRule="exact"/>
        <w:ind w:leftChars="0" w:right="0" w:rightChars="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（包括部门的在职人员情况、机构设置、主要职能及重点工作计划等）。2020年度</w:t>
      </w:r>
      <w:r>
        <w:rPr>
          <w:rFonts w:hint="eastAsia" w:ascii="仿宋" w:hAnsi="仿宋" w:eastAsia="仿宋" w:cs="仿宋"/>
          <w:kern w:val="0"/>
          <w:sz w:val="32"/>
          <w:szCs w:val="32"/>
          <w:shd w:val="clear" w:color="auto" w:fill="FFFFFF"/>
          <w:lang w:eastAsia="zh-CN"/>
        </w:rPr>
        <w:t>双清区行政审批服务局</w:t>
      </w:r>
      <w:r>
        <w:rPr>
          <w:rFonts w:hint="eastAsia" w:ascii="仿宋" w:hAnsi="仿宋" w:eastAsia="仿宋" w:cs="仿宋"/>
          <w:kern w:val="0"/>
          <w:sz w:val="32"/>
          <w:szCs w:val="32"/>
          <w:shd w:val="clear" w:color="auto" w:fill="FFFFFF"/>
        </w:rPr>
        <w:t>内设</w:t>
      </w:r>
      <w:r>
        <w:rPr>
          <w:rFonts w:hint="eastAsia" w:ascii="仿宋" w:hAnsi="仿宋" w:eastAsia="仿宋" w:cs="仿宋"/>
          <w:kern w:val="0"/>
          <w:sz w:val="32"/>
          <w:szCs w:val="32"/>
          <w:shd w:val="clear" w:color="auto" w:fill="FFFFFF"/>
          <w:lang w:eastAsia="zh-CN"/>
        </w:rPr>
        <w:t>科室</w:t>
      </w:r>
      <w:r>
        <w:rPr>
          <w:rFonts w:hint="eastAsia" w:ascii="仿宋" w:hAnsi="仿宋" w:eastAsia="仿宋" w:cs="仿宋"/>
          <w:kern w:val="0"/>
          <w:sz w:val="32"/>
          <w:szCs w:val="32"/>
          <w:shd w:val="clear" w:color="auto" w:fill="FFFFFF"/>
          <w:lang w:val="en-US" w:eastAsia="zh-CN"/>
        </w:rPr>
        <w:t>4个，</w:t>
      </w:r>
      <w:r>
        <w:rPr>
          <w:rFonts w:hint="eastAsia" w:ascii="仿宋" w:hAnsi="仿宋" w:eastAsia="仿宋" w:cs="仿宋"/>
          <w:kern w:val="0"/>
          <w:sz w:val="32"/>
          <w:szCs w:val="32"/>
        </w:rPr>
        <w:t>即：办公室、行政审批综合事务股(加挂政策法规股牌子）、行政效能股(加挂政府热线监管股牌子)、电子政务股。主要职能是：</w:t>
      </w:r>
      <w:r>
        <w:rPr>
          <w:rFonts w:hint="eastAsia" w:ascii="仿宋" w:hAnsi="仿宋" w:eastAsia="仿宋" w:cs="仿宋"/>
          <w:kern w:val="0"/>
          <w:sz w:val="32"/>
          <w:szCs w:val="32"/>
          <w:lang w:eastAsia="zh-CN"/>
        </w:rPr>
        <w:t>指导、协调、推进全区行政审批制度改革工作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牵头负责全区放管服改革工作;维护营商政务、法制等环境;协调、推进、提升行政效能工作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推进、指导、协调、监督全区政务公开(信息公开、办事公开)和政务服务体系建设</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统筹协调、规划指导、监督评估全区政府系统电子政务工作;统筹推进、监督协调“互联网+政务服务”工作;统等规划、监督考核全区政府系统网站建设和运维管理工作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指导监督全区政府服务热线工作，负责区本级12345政府服务热线的管理工作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根据《行政许可法》规定，推进相对集中行政许可权改革工作，依法依规依程序审批相对集中的行政审批事项，并承担相应的法律责任</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完成区委、区政府交办的其他任务</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职能转变。根据区委、区政府关于行政审批制度改革的总体要求，按照相对集中行政许可权改革、“谁审批谁负责、谁主管谁监管”的审管分离原则，逐步划转尚未相对集中的行政审批职能。 </w:t>
      </w:r>
      <w:r>
        <w:rPr>
          <w:rFonts w:hint="eastAsia" w:ascii="仿宋" w:hAnsi="仿宋" w:eastAsia="仿宋" w:cs="仿宋"/>
          <w:i w:val="0"/>
          <w:iCs w:val="0"/>
          <w:caps w:val="0"/>
          <w:color w:val="000000"/>
          <w:spacing w:val="0"/>
          <w:sz w:val="32"/>
          <w:szCs w:val="32"/>
          <w:shd w:val="clear" w:color="auto" w:fill="FFFFFF"/>
        </w:rPr>
        <w:t>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w:t>
      </w:r>
      <w:r>
        <w:rPr>
          <w:rFonts w:hint="eastAsia" w:ascii="仿宋" w:hAnsi="仿宋" w:eastAsia="仿宋" w:cs="仿宋"/>
          <w:kern w:val="0"/>
          <w:sz w:val="32"/>
          <w:szCs w:val="32"/>
          <w:lang w:val="en-US" w:eastAsia="zh-CN"/>
        </w:rPr>
        <w:t>行政审批</w:t>
      </w:r>
      <w:r>
        <w:rPr>
          <w:rFonts w:hint="eastAsia" w:ascii="仿宋" w:hAnsi="仿宋" w:eastAsia="仿宋" w:cs="仿宋"/>
          <w:kern w:val="0"/>
          <w:sz w:val="32"/>
          <w:szCs w:val="32"/>
          <w:lang w:eastAsia="zh-CN"/>
        </w:rPr>
        <w:t>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568.61</w:t>
      </w:r>
      <w:r>
        <w:rPr>
          <w:rFonts w:hint="eastAsia" w:ascii="仿宋" w:hAnsi="仿宋" w:eastAsia="仿宋" w:cs="仿宋"/>
          <w:kern w:val="0"/>
          <w:sz w:val="32"/>
          <w:szCs w:val="32"/>
        </w:rPr>
        <w:t>万元，预算支出560.21万元。预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2020年基本支出560.21万元，其中：工资福利支出</w:t>
      </w:r>
      <w:r>
        <w:rPr>
          <w:rFonts w:hint="eastAsia" w:ascii="仿宋" w:hAnsi="仿宋" w:eastAsia="仿宋" w:cs="仿宋"/>
          <w:kern w:val="0"/>
          <w:sz w:val="32"/>
          <w:szCs w:val="32"/>
          <w:lang w:val="en-US" w:eastAsia="zh-CN"/>
        </w:rPr>
        <w:t>102.92</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457.07</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0.22</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2019年度</w:t>
      </w:r>
      <w:r>
        <w:rPr>
          <w:rFonts w:hint="eastAsia" w:ascii="仿宋" w:hAnsi="仿宋" w:eastAsia="仿宋" w:cs="仿宋"/>
          <w:kern w:val="0"/>
          <w:sz w:val="32"/>
          <w:szCs w:val="32"/>
          <w:lang w:eastAsia="zh-CN"/>
        </w:rPr>
        <w:t>持平</w:t>
      </w:r>
      <w:r>
        <w:rPr>
          <w:rFonts w:hint="eastAsia" w:ascii="仿宋" w:hAnsi="仿宋" w:eastAsia="仿宋" w:cs="仿宋"/>
          <w:kern w:val="0"/>
          <w:sz w:val="32"/>
          <w:szCs w:val="32"/>
          <w:lang w:val="en-US"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1、2020年度用于</w:t>
      </w:r>
      <w:r>
        <w:rPr>
          <w:rFonts w:hint="eastAsia" w:ascii="仿宋" w:hAnsi="仿宋" w:eastAsia="仿宋" w:cs="仿宋"/>
          <w:kern w:val="0"/>
          <w:sz w:val="32"/>
          <w:szCs w:val="32"/>
          <w:lang w:eastAsia="zh-CN"/>
        </w:rPr>
        <w:t>开展行政审批及相关业务支出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1446"/>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9745"/>
      <w:bookmarkStart w:id="4" w:name="_Toc2315"/>
      <w:bookmarkStart w:id="5" w:name="_Toc22978"/>
      <w:bookmarkStart w:id="6" w:name="_Toc6376"/>
      <w:bookmarkStart w:id="7" w:name="_Toc27511"/>
      <w:bookmarkStart w:id="8" w:name="_Toc6076"/>
      <w:bookmarkStart w:id="9" w:name="_Toc23600"/>
      <w:bookmarkStart w:id="10" w:name="_Toc11842"/>
      <w:bookmarkStart w:id="11" w:name="_Toc22734"/>
      <w:bookmarkStart w:id="12" w:name="_Toc12780"/>
      <w:bookmarkStart w:id="13" w:name="_Toc22531"/>
      <w:bookmarkStart w:id="14" w:name="_Toc5938"/>
      <w:bookmarkStart w:id="15" w:name="_Toc2216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以来，在双清区委、区政府的正确指导及各部门的大力支持配合下，区行政审批服务局认真贯彻落实上级文件精神，以打造办事效率最高、服务质量最好、深化“放管服”改革优化营商环境最优为工作目标，不断创新政务服务模式，各项工作取得了长足的进展。</w:t>
      </w:r>
    </w:p>
    <w:p>
      <w:pPr>
        <w:keepNext w:val="0"/>
        <w:keepLines w:val="0"/>
        <w:pageBreakBefore w:val="0"/>
        <w:widowControl/>
        <w:suppressLineNumbers w:val="0"/>
        <w:kinsoku/>
        <w:wordWrap/>
        <w:overflowPunct/>
        <w:autoSpaceDE/>
        <w:autoSpaceDN/>
        <w:bidi w:val="0"/>
        <w:spacing w:after="0" w:afterAutospacing="0"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一件事一次办”改革成绩斐然。去年完成第一批和第二批193个事项的目录比对及梳理，结合本区实际并完成“一件事一次办”59项事项清单。今年上半年邵阳市行政审批服务局下放第三批“一件事一次办”事项96件，结合本区权限梳理出区级“一件事一次办”事项35件。并获得2019年湖南省“一件事一次办”改革成效明显的先进单位。</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跨域通办工作有条不紊。目前双清区市级跨域通办事项68项，县级跨域通办事项124项，乡、镇(街道)级跨域通办事项43项，村(社区)级跨域通办事项52项，今年又开通了邵阳—怀化跨市通办事项56项，跨省通办事项58项。</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完善“三集中三到位”工作。双清区行政审批服务局加快与各局接洽，要求各单位承担审批职能的部门向区政务服务中心集中，在政务中心设立办件窗口或办公室，现全区在政务中心设立了窗口有：人社局、退役军人事务局、石桥国土所、市场监督管理局、残联、医保局、教育局、卫健局、农业农村局、文体局等22个窗口。按创文要求对大厅一二楼的标识进行了更新，同时结合三楼改造，对大厅整体的标识进行升级，确保企业群众进入大厅对大厅布局和办事流程更加清晰，一目了然。因场地问题，分别在区公安分局、区民政局设立政务服务分中心。</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实现向乡镇(街道)、村(社区)电子政务外网覆盖，推进基层服务再提升，擦亮“一门式”品牌。大力推进基层公共服务全覆盖工作，在开通电子政务外网的基础上，11个乡镇街道、73个村社区已按要求分别建立了政务中心和便民服务中心，设立综合受理窗口、综合出件窗口、帮代服务窗口、引导咨询窗口，配置了云终端、打印机、触摸屏等，完善了平台服务功能，同时组织乡镇(街道)、村(社区)工作人员集中培训两次。</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（五）</w:t>
      </w:r>
      <w:r>
        <w:rPr>
          <w:rFonts w:hint="eastAsia" w:ascii="仿宋" w:hAnsi="仿宋" w:eastAsia="仿宋" w:cs="仿宋"/>
          <w:kern w:val="0"/>
          <w:sz w:val="32"/>
          <w:szCs w:val="32"/>
        </w:rPr>
        <w:t>政府信息公开顺利开展。该局做好区内有关重要会议、经济活动、领导接待的新闻编发工作，以及审核各单位各部门在政府门户网站上进行政务信息公开，对每个新增信息进行编码存档及登记。</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推进“六稳”“六保”政策兑现“一件事一次办”落实落地。双清供电支公司对疫情防控期间暂不能正常开工、复工的企业，放宽容(需)量电价计费方式。区税务局对受疫情影响生产经营发生损失且当期缴纳房产税、城镇土地使用税确有困难的纳税人减免税金。</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细化预算编制工作，认真做好预算的编制。进一步加强我委内部机构各办的预算管理意识，严格按照预算编制的相关制度和要求进行预算编制 </w:t>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rPr>
          <w:rFonts w:hint="eastAsia"/>
        </w:rPr>
      </w:pPr>
      <w:r>
        <w:rPr>
          <w:rFonts w:hint="eastAsia"/>
        </w:rPr>
        <w:br w:type="page"/>
      </w:r>
    </w:p>
    <w:p>
      <w:pPr>
        <w:pStyle w:val="2"/>
        <w:rPr>
          <w:rFonts w:hint="eastAsia"/>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9</w:t>
            </w:r>
            <w:r>
              <w:rPr>
                <w:rFonts w:hint="eastAsia" w:cs="宋体"/>
                <w:kern w:val="0"/>
                <w:sz w:val="24"/>
                <w:lang w:val="en-US" w:eastAsia="zh-CN"/>
              </w:rPr>
              <w:t>4</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ZGFjYTBmOWFjNzk1OTFiMzQyYTNiMzZmMWY3ZTcifQ=="/>
  </w:docVars>
  <w:rsids>
    <w:rsidRoot w:val="00000000"/>
    <w:rsid w:val="1CBD4177"/>
    <w:rsid w:val="26C27C44"/>
    <w:rsid w:val="331932AB"/>
    <w:rsid w:val="4CB7318A"/>
    <w:rsid w:val="517631D8"/>
    <w:rsid w:val="54257143"/>
    <w:rsid w:val="5B7C1C76"/>
    <w:rsid w:val="7C8D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Strong"/>
    <w:basedOn w:val="9"/>
    <w:qFormat/>
    <w:uiPriority w:val="0"/>
    <w:rPr>
      <w:b/>
    </w:rPr>
  </w:style>
  <w:style w:type="character" w:styleId="11">
    <w:name w:val="page number"/>
    <w:basedOn w:val="9"/>
    <w:uiPriority w:val="0"/>
  </w:style>
  <w:style w:type="paragraph" w:customStyle="1" w:styleId="12">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4980</Words>
  <Characters>5209</Characters>
  <Lines>0</Lines>
  <Paragraphs>0</Paragraphs>
  <TotalTime>1</TotalTime>
  <ScaleCrop>false</ScaleCrop>
  <LinksUpToDate>false</LinksUpToDate>
  <CharactersWithSpaces>5368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双双</cp:lastModifiedBy>
  <dcterms:modified xsi:type="dcterms:W3CDTF">2022-09-13T06:34:18Z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9D43E6A4F01E481EB1A53E193B648953</vt:lpwstr>
  </property>
</Properties>
</file>