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Autospacing="0" w:after="0" w:afterAutospacing="0" w:line="560" w:lineRule="exact"/>
        <w:ind w:firstLine="640" w:firstLineChars="200"/>
        <w:jc w:val="center"/>
        <w:rPr>
          <w:rFonts w:hint="default" w:ascii="黑体" w:hAnsi="黑体" w:eastAsia="黑体" w:cs="黑体"/>
          <w:sz w:val="32"/>
          <w:szCs w:val="32"/>
        </w:rPr>
      </w:pPr>
      <w:r>
        <w:rPr>
          <w:rFonts w:hint="eastAsia" w:ascii="黑体" w:hAnsi="黑体" w:eastAsia="黑体" w:cs="黑体"/>
          <w:sz w:val="32"/>
          <w:szCs w:val="32"/>
          <w:lang w:eastAsia="zh-CN"/>
        </w:rPr>
        <w:t>2022</w:t>
      </w:r>
      <w:r>
        <w:rPr>
          <w:rFonts w:ascii="黑体" w:hAnsi="黑体" w:eastAsia="黑体" w:cs="黑体"/>
          <w:sz w:val="32"/>
          <w:szCs w:val="32"/>
        </w:rPr>
        <w:t xml:space="preserve">年度双清区行政审批服务局 </w:t>
      </w:r>
    </w:p>
    <w:p>
      <w:pPr>
        <w:pStyle w:val="12"/>
        <w:spacing w:beforeAutospacing="0" w:after="0" w:afterAutospacing="0" w:line="560" w:lineRule="exact"/>
        <w:ind w:firstLine="640" w:firstLineChars="200"/>
        <w:jc w:val="center"/>
        <w:rPr>
          <w:rFonts w:hint="default" w:ascii="黑体" w:hAnsi="黑体" w:eastAsia="黑体" w:cs="黑体"/>
          <w:sz w:val="32"/>
          <w:szCs w:val="32"/>
        </w:rPr>
      </w:pPr>
      <w:r>
        <w:rPr>
          <w:rFonts w:ascii="黑体" w:hAnsi="黑体" w:eastAsia="黑体" w:cs="黑体"/>
          <w:sz w:val="32"/>
          <w:szCs w:val="32"/>
        </w:rPr>
        <w:t>部门整体支出绩效评价报告</w:t>
      </w:r>
    </w:p>
    <w:p>
      <w:pPr>
        <w:pStyle w:val="12"/>
        <w:spacing w:beforeAutospacing="0" w:after="0" w:afterAutospacing="0" w:line="560" w:lineRule="exact"/>
        <w:ind w:firstLine="640" w:firstLineChars="200"/>
        <w:jc w:val="center"/>
        <w:rPr>
          <w:rFonts w:hint="default" w:ascii="黑体" w:hAnsi="黑体" w:eastAsia="黑体" w:cs="黑体"/>
          <w:sz w:val="32"/>
          <w:szCs w:val="32"/>
        </w:rPr>
      </w:pPr>
    </w:p>
    <w:p>
      <w:p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一、部门概况</w:t>
      </w:r>
    </w:p>
    <w:p>
      <w:pPr>
        <w:pStyle w:val="12"/>
        <w:tabs>
          <w:tab w:val="left" w:pos="0"/>
        </w:tabs>
        <w:spacing w:beforeAutospacing="0" w:after="0" w:afterAutospacing="0" w:line="560" w:lineRule="exact"/>
        <w:ind w:firstLine="640" w:firstLineChars="200"/>
        <w:jc w:val="both"/>
        <w:rPr>
          <w:rFonts w:hint="default" w:ascii="仿宋" w:hAnsi="仿宋" w:eastAsia="仿宋" w:cs="仿宋"/>
          <w:color w:val="333333"/>
          <w:sz w:val="32"/>
          <w:szCs w:val="32"/>
        </w:rPr>
      </w:pPr>
      <w:r>
        <w:rPr>
          <w:rFonts w:ascii="楷体" w:hAnsi="楷体" w:eastAsia="楷体" w:cs="楷体"/>
          <w:sz w:val="32"/>
          <w:szCs w:val="32"/>
        </w:rPr>
        <w:t>（一）部门基本情况</w:t>
      </w:r>
      <w:r>
        <w:rPr>
          <w:rFonts w:ascii="仿宋" w:hAnsi="仿宋" w:eastAsia="仿宋" w:cs="仿宋"/>
          <w:sz w:val="32"/>
          <w:szCs w:val="32"/>
        </w:rPr>
        <w:t>（包括部门的在职人员情况、机构设置、主要职能及重点工作计划等）。</w:t>
      </w:r>
      <w:r>
        <w:rPr>
          <w:rFonts w:hint="eastAsia" w:ascii="仿宋" w:hAnsi="仿宋" w:eastAsia="仿宋" w:cs="仿宋"/>
          <w:sz w:val="32"/>
          <w:szCs w:val="32"/>
          <w:lang w:eastAsia="zh-CN"/>
        </w:rPr>
        <w:t>2022</w:t>
      </w:r>
      <w:r>
        <w:rPr>
          <w:rFonts w:ascii="仿宋" w:hAnsi="仿宋" w:eastAsia="仿宋" w:cs="仿宋"/>
          <w:sz w:val="32"/>
          <w:szCs w:val="32"/>
        </w:rPr>
        <w:t>年度</w:t>
      </w:r>
      <w:r>
        <w:rPr>
          <w:rFonts w:ascii="仿宋" w:hAnsi="仿宋" w:eastAsia="仿宋" w:cs="仿宋"/>
          <w:sz w:val="32"/>
          <w:szCs w:val="32"/>
          <w:shd w:val="clear" w:color="auto" w:fill="FFFFFF"/>
        </w:rPr>
        <w:t>双清区行政审批服务局内设科室4个，</w:t>
      </w:r>
      <w:r>
        <w:rPr>
          <w:rFonts w:ascii="仿宋" w:hAnsi="仿宋" w:eastAsia="仿宋" w:cs="仿宋"/>
          <w:sz w:val="32"/>
          <w:szCs w:val="32"/>
        </w:rPr>
        <w:t>即：办公室、行政审批综合事务股(加挂政策法规股牌子）、行政效能股(加挂政府热线监管股牌子)、电子政务股。主要职能是：指导、协调、推进全区行政审批制度改革工作;牵头负责全区放管服改革工作;维护营商政务、法制等环境;协调、推进、提升行政效能工作;推进、指导、协调、监督全区政务公开(信息公开、办事公开)和政务服务体系建设;统筹协调、规划指导、监督评估全区政府系统电子政务工作;统筹推进、监督协调“互联网+政务服务”工作;统等规划、监督考核全区政府系统网站建设和运维管理工作;指导监督全区政府服务热线工作，负责区本级12345政府服务热线的管理工作;根据《行政许可法》规定，推进相对集中行政许可权改革工作，依法依规依程序审批相对集中的行政审批事项，并承担相应的法律责任;完成区委、区政府交办的其他任务;职能转变。根据区委、区政府关于行政审批制度改革的总体要求，按照相对集中行政许可权改革、“谁审批谁负责、谁主管谁监管”的审管分离原则，逐步划转尚未相对集中的行政审批职能。 </w:t>
      </w:r>
      <w:r>
        <w:rPr>
          <w:rFonts w:ascii="仿宋" w:hAnsi="仿宋" w:eastAsia="仿宋" w:cs="仿宋"/>
          <w:color w:val="000000"/>
          <w:sz w:val="32"/>
          <w:szCs w:val="32"/>
          <w:shd w:val="clear" w:color="auto" w:fill="FFFFFF"/>
        </w:rPr>
        <w:t> </w:t>
      </w:r>
    </w:p>
    <w:p>
      <w:pPr>
        <w:adjustRightInd w:val="0"/>
        <w:snapToGrid w:val="0"/>
        <w:spacing w:line="560" w:lineRule="exact"/>
        <w:ind w:firstLine="640" w:firstLineChars="200"/>
        <w:jc w:val="both"/>
        <w:rPr>
          <w:rFonts w:hint="default" w:ascii="楷体" w:hAnsi="楷体" w:eastAsia="楷体" w:cs="楷体"/>
          <w:sz w:val="32"/>
          <w:szCs w:val="32"/>
        </w:rPr>
      </w:pPr>
      <w:r>
        <w:rPr>
          <w:rFonts w:ascii="楷体" w:hAnsi="楷体" w:eastAsia="楷体" w:cs="楷体"/>
          <w:sz w:val="32"/>
          <w:szCs w:val="32"/>
        </w:rPr>
        <w:t>（二）部门整体支出规模、使用方向和主要内容、涉及范围等。</w:t>
      </w:r>
    </w:p>
    <w:p>
      <w:pPr>
        <w:spacing w:line="560" w:lineRule="exact"/>
        <w:ind w:firstLine="640" w:firstLineChars="200"/>
        <w:jc w:val="both"/>
        <w:rPr>
          <w:rFonts w:hint="default" w:ascii="仿宋" w:hAnsi="仿宋" w:eastAsia="仿宋" w:cs="仿宋"/>
          <w:sz w:val="32"/>
          <w:szCs w:val="32"/>
        </w:rPr>
      </w:pPr>
      <w:r>
        <w:rPr>
          <w:rFonts w:hint="eastAsia" w:ascii="仿宋" w:hAnsi="仿宋" w:eastAsia="仿宋" w:cs="仿宋"/>
          <w:sz w:val="32"/>
          <w:szCs w:val="32"/>
          <w:lang w:eastAsia="zh-CN"/>
        </w:rPr>
        <w:t>2022</w:t>
      </w:r>
      <w:r>
        <w:rPr>
          <w:rFonts w:ascii="仿宋" w:hAnsi="仿宋" w:eastAsia="仿宋" w:cs="仿宋"/>
          <w:sz w:val="32"/>
          <w:szCs w:val="32"/>
        </w:rPr>
        <w:t>年度部门整体支出分为基本支出和项目支出，基本支出用于保障单位正常运转的日常支出，项目支出用于开展行政审批工作及相关业务支出。</w:t>
      </w:r>
    </w:p>
    <w:p>
      <w:p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二、部门整体支出管理及使用情况</w:t>
      </w:r>
    </w:p>
    <w:p>
      <w:pPr>
        <w:adjustRightInd w:val="0"/>
        <w:snapToGrid w:val="0"/>
        <w:spacing w:line="560" w:lineRule="exact"/>
        <w:ind w:firstLine="643" w:firstLineChars="200"/>
        <w:jc w:val="both"/>
        <w:rPr>
          <w:rFonts w:hint="default" w:ascii="楷体" w:hAnsi="楷体" w:eastAsia="楷体" w:cs="楷体"/>
          <w:b/>
          <w:sz w:val="32"/>
          <w:szCs w:val="32"/>
        </w:rPr>
      </w:pPr>
      <w:r>
        <w:rPr>
          <w:rFonts w:ascii="楷体" w:hAnsi="楷体" w:eastAsia="楷体" w:cs="楷体"/>
          <w:b/>
          <w:sz w:val="32"/>
          <w:szCs w:val="32"/>
        </w:rPr>
        <w:t>（一）预算执行情况</w:t>
      </w:r>
    </w:p>
    <w:p>
      <w:pPr>
        <w:spacing w:line="560" w:lineRule="exact"/>
        <w:ind w:firstLine="640" w:firstLineChars="200"/>
        <w:jc w:val="both"/>
        <w:rPr>
          <w:rFonts w:hint="default" w:ascii="仿宋" w:hAnsi="仿宋" w:eastAsia="仿宋" w:cs="仿宋"/>
          <w:sz w:val="32"/>
          <w:szCs w:val="32"/>
        </w:rPr>
      </w:pPr>
      <w:r>
        <w:rPr>
          <w:rFonts w:hint="eastAsia" w:ascii="仿宋" w:hAnsi="仿宋" w:eastAsia="仿宋" w:cs="仿宋"/>
          <w:sz w:val="32"/>
          <w:szCs w:val="32"/>
          <w:lang w:eastAsia="zh-CN"/>
        </w:rPr>
        <w:t>2022</w:t>
      </w:r>
      <w:r>
        <w:rPr>
          <w:rFonts w:ascii="仿宋" w:hAnsi="仿宋" w:eastAsia="仿宋" w:cs="仿宋"/>
          <w:sz w:val="32"/>
          <w:szCs w:val="32"/>
        </w:rPr>
        <w:t>年度预算收入</w:t>
      </w:r>
      <w:r>
        <w:rPr>
          <w:rFonts w:hint="eastAsia" w:ascii="仿宋" w:hAnsi="仿宋" w:eastAsia="仿宋" w:cs="仿宋"/>
          <w:sz w:val="32"/>
          <w:szCs w:val="32"/>
          <w:lang w:val="en-US" w:eastAsia="zh-CN"/>
        </w:rPr>
        <w:t>165.42</w:t>
      </w:r>
      <w:r>
        <w:rPr>
          <w:rFonts w:ascii="仿宋" w:hAnsi="仿宋" w:eastAsia="仿宋" w:cs="仿宋"/>
          <w:sz w:val="32"/>
          <w:szCs w:val="32"/>
        </w:rPr>
        <w:t>9万元，预算支出</w:t>
      </w:r>
      <w:r>
        <w:rPr>
          <w:rFonts w:hint="eastAsia" w:ascii="仿宋" w:hAnsi="仿宋" w:eastAsia="仿宋" w:cs="仿宋"/>
          <w:sz w:val="32"/>
          <w:szCs w:val="32"/>
          <w:lang w:val="en-US" w:eastAsia="zh-CN"/>
        </w:rPr>
        <w:t>165.42</w:t>
      </w:r>
      <w:r>
        <w:rPr>
          <w:rFonts w:ascii="仿宋" w:hAnsi="仿宋" w:eastAsia="仿宋" w:cs="仿宋"/>
          <w:sz w:val="32"/>
          <w:szCs w:val="32"/>
        </w:rPr>
        <w:t>万元。预决算信息都在双清区人民政府门户网站公开，接受社会公众监督。</w:t>
      </w:r>
    </w:p>
    <w:p>
      <w:pPr>
        <w:adjustRightInd w:val="0"/>
        <w:snapToGrid w:val="0"/>
        <w:spacing w:line="560" w:lineRule="exact"/>
        <w:ind w:firstLine="643" w:firstLineChars="200"/>
        <w:jc w:val="both"/>
        <w:rPr>
          <w:rFonts w:hint="default" w:ascii="楷体" w:hAnsi="楷体" w:eastAsia="楷体" w:cs="楷体"/>
          <w:b/>
          <w:sz w:val="32"/>
          <w:szCs w:val="32"/>
        </w:rPr>
      </w:pPr>
      <w:r>
        <w:rPr>
          <w:rFonts w:ascii="楷体" w:hAnsi="楷体" w:eastAsia="楷体" w:cs="楷体"/>
          <w:b/>
          <w:sz w:val="32"/>
          <w:szCs w:val="32"/>
        </w:rPr>
        <w:t>（二）基本支出</w:t>
      </w:r>
    </w:p>
    <w:p>
      <w:pPr>
        <w:spacing w:line="560" w:lineRule="exact"/>
        <w:ind w:firstLine="640" w:firstLineChars="200"/>
        <w:jc w:val="both"/>
        <w:rPr>
          <w:rFonts w:hint="default" w:ascii="仿宋" w:hAnsi="仿宋" w:eastAsia="仿宋" w:cs="仿宋"/>
          <w:sz w:val="32"/>
          <w:szCs w:val="32"/>
        </w:rPr>
      </w:pPr>
      <w:r>
        <w:rPr>
          <w:rFonts w:hint="eastAsia" w:ascii="仿宋" w:hAnsi="仿宋" w:eastAsia="仿宋" w:cs="仿宋"/>
          <w:sz w:val="32"/>
          <w:szCs w:val="32"/>
          <w:lang w:eastAsia="zh-CN"/>
        </w:rPr>
        <w:t>2022</w:t>
      </w:r>
      <w:r>
        <w:rPr>
          <w:rFonts w:ascii="仿宋" w:hAnsi="仿宋" w:eastAsia="仿宋" w:cs="仿宋"/>
          <w:sz w:val="32"/>
          <w:szCs w:val="32"/>
        </w:rPr>
        <w:t>年基本支出</w:t>
      </w:r>
      <w:r>
        <w:rPr>
          <w:rFonts w:hint="eastAsia" w:ascii="仿宋" w:hAnsi="仿宋" w:eastAsia="仿宋" w:cs="仿宋"/>
          <w:sz w:val="32"/>
          <w:szCs w:val="32"/>
          <w:lang w:val="en-US" w:eastAsia="zh-CN"/>
        </w:rPr>
        <w:t>409.3</w:t>
      </w:r>
      <w:r>
        <w:rPr>
          <w:rFonts w:ascii="仿宋" w:hAnsi="仿宋" w:eastAsia="仿宋" w:cs="仿宋"/>
          <w:sz w:val="32"/>
          <w:szCs w:val="32"/>
        </w:rPr>
        <w:t>万元，其中：工资福利支出</w:t>
      </w:r>
      <w:r>
        <w:rPr>
          <w:rFonts w:hint="eastAsia" w:ascii="仿宋" w:hAnsi="仿宋" w:eastAsia="仿宋" w:cs="仿宋"/>
          <w:sz w:val="32"/>
          <w:szCs w:val="32"/>
          <w:lang w:val="en-US" w:eastAsia="zh-CN"/>
        </w:rPr>
        <w:t>184.4</w:t>
      </w:r>
      <w:r>
        <w:rPr>
          <w:rFonts w:ascii="仿宋" w:hAnsi="仿宋" w:eastAsia="仿宋" w:cs="仿宋"/>
          <w:sz w:val="32"/>
          <w:szCs w:val="32"/>
        </w:rPr>
        <w:t>万元，商品和服务支出</w:t>
      </w:r>
      <w:r>
        <w:rPr>
          <w:rFonts w:hint="eastAsia" w:ascii="仿宋" w:hAnsi="仿宋" w:eastAsia="仿宋" w:cs="仿宋"/>
          <w:sz w:val="32"/>
          <w:szCs w:val="32"/>
          <w:lang w:val="en-US" w:eastAsia="zh-CN"/>
        </w:rPr>
        <w:t>224.9</w:t>
      </w:r>
      <w:r>
        <w:rPr>
          <w:rFonts w:ascii="仿宋" w:hAnsi="仿宋" w:eastAsia="仿宋" w:cs="仿宋"/>
          <w:sz w:val="32"/>
          <w:szCs w:val="32"/>
        </w:rPr>
        <w:t>万元，对个人和家庭补助支出0万元。响应国家相关政策，厉行节约，严格控制“三公”经费支出，</w:t>
      </w:r>
      <w:r>
        <w:rPr>
          <w:rFonts w:hint="eastAsia" w:ascii="仿宋" w:hAnsi="仿宋" w:eastAsia="仿宋" w:cs="仿宋"/>
          <w:sz w:val="32"/>
          <w:szCs w:val="32"/>
          <w:lang w:eastAsia="zh-CN"/>
        </w:rPr>
        <w:t>2022</w:t>
      </w:r>
      <w:r>
        <w:rPr>
          <w:rFonts w:ascii="仿宋" w:hAnsi="仿宋" w:eastAsia="仿宋" w:cs="仿宋"/>
          <w:sz w:val="32"/>
          <w:szCs w:val="32"/>
        </w:rPr>
        <w:t>年“三公”经费共支出0万元，其中：公务用车运行费0万元，公务接待费0元。</w:t>
      </w:r>
    </w:p>
    <w:p>
      <w:pPr>
        <w:adjustRightInd w:val="0"/>
        <w:snapToGrid w:val="0"/>
        <w:spacing w:line="560" w:lineRule="exact"/>
        <w:ind w:firstLine="643" w:firstLineChars="200"/>
        <w:jc w:val="both"/>
        <w:rPr>
          <w:rFonts w:hint="default" w:ascii="楷体" w:hAnsi="楷体" w:eastAsia="楷体" w:cs="楷体"/>
          <w:b/>
          <w:sz w:val="32"/>
          <w:szCs w:val="32"/>
        </w:rPr>
      </w:pPr>
      <w:r>
        <w:rPr>
          <w:rFonts w:ascii="楷体" w:hAnsi="楷体" w:eastAsia="楷体" w:cs="楷体"/>
          <w:b/>
          <w:sz w:val="32"/>
          <w:szCs w:val="32"/>
        </w:rPr>
        <w:t>（三）专项支出</w:t>
      </w:r>
    </w:p>
    <w:p>
      <w:pPr>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eastAsia="zh-CN"/>
        </w:rPr>
        <w:t>2022</w:t>
      </w:r>
      <w:r>
        <w:rPr>
          <w:rFonts w:ascii="仿宋" w:hAnsi="仿宋" w:eastAsia="仿宋" w:cs="仿宋"/>
          <w:sz w:val="32"/>
          <w:szCs w:val="32"/>
        </w:rPr>
        <w:t>年度用于开展行政审批及相关业务支出0万元，结余0万元。</w:t>
      </w:r>
    </w:p>
    <w:p>
      <w:p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三、资产管理情况</w:t>
      </w:r>
    </w:p>
    <w:p>
      <w:pPr>
        <w:adjustRightInd w:val="0"/>
        <w:snapToGrid w:val="0"/>
        <w:spacing w:line="560" w:lineRule="exact"/>
        <w:ind w:firstLine="640" w:firstLineChars="200"/>
        <w:jc w:val="both"/>
        <w:rPr>
          <w:rFonts w:hint="default" w:ascii="仿宋" w:hAnsi="仿宋" w:eastAsia="仿宋" w:cs="仿宋"/>
          <w:sz w:val="32"/>
          <w:szCs w:val="32"/>
        </w:rPr>
      </w:pPr>
      <w:r>
        <w:rPr>
          <w:rFonts w:hint="eastAsia" w:ascii="仿宋" w:hAnsi="仿宋" w:eastAsia="仿宋" w:cs="仿宋"/>
          <w:sz w:val="32"/>
          <w:szCs w:val="32"/>
          <w:lang w:eastAsia="zh-CN"/>
        </w:rPr>
        <w:t>2022</w:t>
      </w:r>
      <w:r>
        <w:rPr>
          <w:rFonts w:ascii="仿宋" w:hAnsi="仿宋" w:eastAsia="仿宋" w:cs="仿宋"/>
          <w:sz w:val="32"/>
          <w:szCs w:val="32"/>
        </w:rPr>
        <w:t>年固定资产年初数</w:t>
      </w:r>
      <w:r>
        <w:rPr>
          <w:rFonts w:hint="eastAsia" w:ascii="仿宋" w:hAnsi="仿宋" w:eastAsia="仿宋" w:cs="仿宋"/>
          <w:sz w:val="32"/>
          <w:szCs w:val="32"/>
          <w:lang w:val="en-US" w:eastAsia="zh-CN"/>
        </w:rPr>
        <w:t>85.17</w:t>
      </w:r>
      <w:r>
        <w:rPr>
          <w:rFonts w:ascii="仿宋" w:hAnsi="仿宋" w:eastAsia="仿宋" w:cs="仿宋"/>
          <w:sz w:val="32"/>
          <w:szCs w:val="32"/>
        </w:rPr>
        <w:t>万元，期末数85.</w:t>
      </w:r>
      <w:r>
        <w:rPr>
          <w:rFonts w:hint="eastAsia" w:ascii="仿宋" w:hAnsi="仿宋" w:eastAsia="仿宋" w:cs="仿宋"/>
          <w:sz w:val="32"/>
          <w:szCs w:val="32"/>
          <w:lang w:val="en-US" w:eastAsia="zh-CN"/>
        </w:rPr>
        <w:t>58</w:t>
      </w:r>
      <w:r>
        <w:rPr>
          <w:rFonts w:ascii="仿宋" w:hAnsi="仿宋" w:eastAsia="仿宋" w:cs="仿宋"/>
          <w:sz w:val="32"/>
          <w:szCs w:val="32"/>
        </w:rPr>
        <w:t xml:space="preserve"> 万元。</w:t>
      </w:r>
    </w:p>
    <w:p>
      <w:pPr>
        <w:numPr>
          <w:ilvl w:val="0"/>
          <w:numId w:val="1"/>
        </w:num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绩效评价工作开展情况</w:t>
      </w:r>
    </w:p>
    <w:p>
      <w:pPr>
        <w:adjustRightInd w:val="0"/>
        <w:snapToGrid w:val="0"/>
        <w:spacing w:line="560" w:lineRule="exact"/>
        <w:ind w:left="480" w:leftChars="200"/>
        <w:jc w:val="both"/>
        <w:rPr>
          <w:rFonts w:hint="default" w:ascii="楷体" w:hAnsi="楷体" w:eastAsia="楷体" w:cs="楷体"/>
          <w:b/>
          <w:bCs/>
          <w:sz w:val="32"/>
          <w:szCs w:val="32"/>
        </w:rPr>
      </w:pPr>
      <w:bookmarkStart w:id="0" w:name="_Toc32578"/>
      <w:bookmarkStart w:id="1" w:name="_Toc22407"/>
      <w:bookmarkStart w:id="2" w:name="_Toc21446"/>
      <w:r>
        <w:rPr>
          <w:rFonts w:ascii="楷体" w:hAnsi="楷体" w:eastAsia="楷体" w:cs="楷体"/>
          <w:b/>
          <w:bCs/>
          <w:sz w:val="32"/>
          <w:szCs w:val="32"/>
        </w:rPr>
        <w:t>（一）绩效评价目的</w:t>
      </w:r>
      <w:bookmarkEnd w:id="0"/>
      <w:bookmarkEnd w:id="1"/>
      <w:bookmarkEnd w:id="2"/>
    </w:p>
    <w:p>
      <w:pPr>
        <w:adjustRightInd w:val="0"/>
        <w:snapToGrid w:val="0"/>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adjustRightInd w:val="0"/>
        <w:snapToGrid w:val="0"/>
        <w:spacing w:line="560" w:lineRule="exact"/>
        <w:ind w:left="480" w:leftChars="200"/>
        <w:jc w:val="both"/>
        <w:rPr>
          <w:rFonts w:hint="default" w:ascii="楷体" w:hAnsi="楷体" w:eastAsia="楷体" w:cs="楷体"/>
          <w:b/>
          <w:bCs/>
          <w:sz w:val="32"/>
          <w:szCs w:val="32"/>
        </w:rPr>
      </w:pPr>
      <w:bookmarkStart w:id="3" w:name="_Toc23600"/>
      <w:bookmarkStart w:id="4" w:name="_Toc2315"/>
      <w:bookmarkStart w:id="5" w:name="_Toc22978"/>
      <w:bookmarkStart w:id="6" w:name="_Toc29745"/>
      <w:bookmarkStart w:id="7" w:name="_Toc27511"/>
      <w:bookmarkStart w:id="8" w:name="_Toc22531"/>
      <w:bookmarkStart w:id="9" w:name="_Toc12780"/>
      <w:bookmarkStart w:id="10" w:name="_Toc6076"/>
      <w:bookmarkStart w:id="11" w:name="_Toc11842"/>
      <w:bookmarkStart w:id="12" w:name="_Toc22734"/>
      <w:bookmarkStart w:id="13" w:name="_Toc6376"/>
      <w:bookmarkStart w:id="14" w:name="_Toc5938"/>
      <w:bookmarkStart w:id="15" w:name="_Toc22165"/>
      <w:r>
        <w:rPr>
          <w:rFonts w:ascii="楷体" w:hAnsi="楷体" w:eastAsia="楷体" w:cs="楷体"/>
          <w:b/>
          <w:bCs/>
          <w:sz w:val="32"/>
          <w:szCs w:val="32"/>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adjustRightInd w:val="0"/>
        <w:snapToGrid w:val="0"/>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1.科学规范：注重专项资金的经济性、效率性和有效性，运用科学合理的方法，按照规范的程序，对财政运行绩效进行客观、公正的反映。</w:t>
      </w:r>
    </w:p>
    <w:p>
      <w:pPr>
        <w:adjustRightInd w:val="0"/>
        <w:snapToGrid w:val="0"/>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2.统筹兼顾：绩效评价应职责明确，各有侧重，相互衔接。在单位自评的基础上，对专项资金进行绩效评价。</w:t>
      </w:r>
    </w:p>
    <w:p>
      <w:pPr>
        <w:adjustRightInd w:val="0"/>
        <w:snapToGrid w:val="0"/>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3.激励约束：绩效评价结果应与预算安排、政策调整、改进管理实质性挂钩，体现奖优罚劣和激励相容导向。即：有效要保障、低效要压减、无效要问责。</w:t>
      </w:r>
    </w:p>
    <w:p>
      <w:pPr>
        <w:adjustRightInd w:val="0"/>
        <w:snapToGrid w:val="0"/>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4.公开透明：绩效评价结果应依法依规公开，并自觉接受社会监督。</w:t>
      </w:r>
    </w:p>
    <w:p>
      <w:p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五、综合评价情况及评价结论</w:t>
      </w:r>
    </w:p>
    <w:p>
      <w:pPr>
        <w:spacing w:line="560" w:lineRule="exact"/>
        <w:ind w:firstLine="640" w:firstLineChars="200"/>
        <w:jc w:val="both"/>
        <w:rPr>
          <w:rFonts w:hint="default" w:ascii="仿宋" w:hAnsi="仿宋" w:eastAsia="仿宋" w:cs="仿宋"/>
          <w:b/>
          <w:sz w:val="32"/>
          <w:szCs w:val="32"/>
        </w:rPr>
      </w:pPr>
      <w:r>
        <w:rPr>
          <w:rFonts w:hint="eastAsia" w:ascii="仿宋" w:hAnsi="仿宋" w:eastAsia="仿宋" w:cs="仿宋"/>
          <w:sz w:val="32"/>
          <w:szCs w:val="32"/>
          <w:lang w:eastAsia="zh-CN"/>
        </w:rPr>
        <w:t>2022</w:t>
      </w:r>
      <w:r>
        <w:rPr>
          <w:rFonts w:ascii="仿宋" w:hAnsi="仿宋" w:eastAsia="仿宋" w:cs="仿宋"/>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w:t>
      </w:r>
      <w:r>
        <w:rPr>
          <w:rFonts w:hint="eastAsia" w:ascii="仿宋" w:hAnsi="仿宋" w:eastAsia="仿宋" w:cs="仿宋"/>
          <w:sz w:val="32"/>
          <w:szCs w:val="32"/>
          <w:lang w:eastAsia="zh-CN"/>
        </w:rPr>
        <w:t>2022</w:t>
      </w:r>
      <w:r>
        <w:rPr>
          <w:rFonts w:ascii="仿宋" w:hAnsi="仿宋" w:eastAsia="仿宋" w:cs="仿宋"/>
          <w:sz w:val="32"/>
          <w:szCs w:val="32"/>
        </w:rPr>
        <w:t>年度评价得分为94分。</w:t>
      </w:r>
    </w:p>
    <w:p>
      <w:p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六、部门整体支出主要绩效</w:t>
      </w:r>
    </w:p>
    <w:p>
      <w:pPr>
        <w:spacing w:line="560" w:lineRule="exact"/>
        <w:ind w:firstLine="640" w:firstLineChars="200"/>
        <w:jc w:val="both"/>
        <w:rPr>
          <w:rFonts w:hint="default" w:ascii="仿宋" w:hAnsi="仿宋" w:eastAsia="仿宋" w:cs="仿宋"/>
          <w:sz w:val="32"/>
          <w:szCs w:val="32"/>
        </w:rPr>
      </w:pPr>
      <w:r>
        <w:rPr>
          <w:rFonts w:hint="eastAsia" w:ascii="仿宋" w:hAnsi="仿宋" w:eastAsia="仿宋" w:cs="仿宋"/>
          <w:sz w:val="32"/>
          <w:szCs w:val="32"/>
          <w:lang w:eastAsia="zh-CN"/>
        </w:rPr>
        <w:t>2022</w:t>
      </w:r>
      <w:r>
        <w:rPr>
          <w:rFonts w:ascii="仿宋" w:hAnsi="仿宋" w:eastAsia="仿宋" w:cs="仿宋"/>
          <w:sz w:val="32"/>
          <w:szCs w:val="32"/>
        </w:rPr>
        <w:t>年以来，在双清区委、区政府的正确指导及各部门的大力支持配合下，区行政审批服务局认真贯彻落实上级文件精神，以打造办事效率最高、服务质量最好、深化“放管服”改革优化营商环境最优为工作目标，不断创新政务服务模式，各项工作取得了长足的进展。</w:t>
      </w:r>
    </w:p>
    <w:p>
      <w:pPr>
        <w:autoSpaceDE w:val="0"/>
        <w:autoSpaceDN w:val="0"/>
        <w:adjustRightInd w:val="0"/>
        <w:spacing w:beforeLines="0" w:afterLines="0" w:line="520" w:lineRule="exact"/>
        <w:ind w:firstLine="640" w:firstLineChars="200"/>
        <w:jc w:val="left"/>
        <w:rPr>
          <w:rFonts w:hint="default" w:ascii="Times New Roman" w:hAnsi="Times New Roman" w:eastAsia="仿宋_GB2312"/>
          <w:sz w:val="32"/>
          <w:szCs w:val="32"/>
        </w:rPr>
      </w:pPr>
      <w:r>
        <w:rPr>
          <w:rFonts w:hint="eastAsia" w:ascii="仿宋" w:hAnsi="仿宋" w:eastAsia="仿宋" w:cs="仿宋"/>
          <w:sz w:val="32"/>
          <w:szCs w:val="32"/>
          <w:lang w:eastAsia="zh-CN"/>
        </w:rPr>
        <w:t>（一）</w:t>
      </w:r>
      <w:r>
        <w:rPr>
          <w:rFonts w:hint="eastAsia" w:ascii="Times New Roman" w:hAnsi="Times New Roman" w:eastAsia="仿宋_GB2312"/>
          <w:sz w:val="32"/>
          <w:szCs w:val="32"/>
        </w:rPr>
        <w:t>中介服务超市</w:t>
      </w:r>
      <w:r>
        <w:rPr>
          <w:rFonts w:hint="eastAsia" w:ascii="Times New Roman" w:hAnsi="Times New Roman" w:eastAsia="仿宋_GB2312"/>
          <w:sz w:val="32"/>
          <w:szCs w:val="32"/>
          <w:lang w:eastAsia="zh-CN"/>
        </w:rPr>
        <w:t>推广</w:t>
      </w:r>
      <w:r>
        <w:rPr>
          <w:rFonts w:hint="eastAsia" w:ascii="Times New Roman" w:hAnsi="Times New Roman" w:eastAsia="仿宋_GB2312"/>
          <w:sz w:val="32"/>
          <w:szCs w:val="32"/>
        </w:rPr>
        <w:t>。新增委托人及采购委托人</w:t>
      </w:r>
      <w:r>
        <w:rPr>
          <w:rFonts w:hint="default" w:ascii="Times New Roman" w:hAnsi="Times New Roman" w:eastAsia="仿宋_GB2312"/>
          <w:sz w:val="32"/>
          <w:szCs w:val="32"/>
        </w:rPr>
        <w:t>21</w:t>
      </w:r>
      <w:r>
        <w:rPr>
          <w:rFonts w:hint="eastAsia" w:ascii="Times New Roman" w:hAnsi="Times New Roman" w:eastAsia="仿宋_GB2312"/>
          <w:sz w:val="32"/>
          <w:szCs w:val="32"/>
        </w:rPr>
        <w:t>人，发布采购信息一条。</w:t>
      </w:r>
    </w:p>
    <w:p>
      <w:pPr>
        <w:numPr>
          <w:numId w:val="0"/>
        </w:numPr>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（二）跨域通办工作有条不紊。目前双清区市级跨域通办事项</w:t>
      </w:r>
      <w:r>
        <w:rPr>
          <w:rFonts w:hint="eastAsia" w:ascii="仿宋" w:hAnsi="仿宋" w:eastAsia="仿宋" w:cs="仿宋"/>
          <w:sz w:val="32"/>
          <w:szCs w:val="32"/>
          <w:lang w:val="en-US" w:eastAsia="zh-CN"/>
        </w:rPr>
        <w:t>72</w:t>
      </w:r>
      <w:r>
        <w:rPr>
          <w:rFonts w:ascii="仿宋" w:hAnsi="仿宋" w:eastAsia="仿宋" w:cs="仿宋"/>
          <w:sz w:val="32"/>
          <w:szCs w:val="32"/>
        </w:rPr>
        <w:t>项，县级跨域通办事项</w:t>
      </w:r>
      <w:r>
        <w:rPr>
          <w:rFonts w:hint="eastAsia" w:ascii="仿宋" w:hAnsi="仿宋" w:eastAsia="仿宋" w:cs="仿宋"/>
          <w:sz w:val="32"/>
          <w:szCs w:val="32"/>
          <w:lang w:val="en-US" w:eastAsia="zh-CN"/>
        </w:rPr>
        <w:t>116</w:t>
      </w:r>
      <w:r>
        <w:rPr>
          <w:rFonts w:ascii="仿宋" w:hAnsi="仿宋" w:eastAsia="仿宋" w:cs="仿宋"/>
          <w:sz w:val="32"/>
          <w:szCs w:val="32"/>
        </w:rPr>
        <w:t>项，乡、镇(街道)级跨域通办事项</w:t>
      </w:r>
      <w:r>
        <w:rPr>
          <w:rFonts w:hint="eastAsia" w:ascii="仿宋" w:hAnsi="仿宋" w:eastAsia="仿宋" w:cs="仿宋"/>
          <w:sz w:val="32"/>
          <w:szCs w:val="32"/>
          <w:lang w:val="en-US" w:eastAsia="zh-CN"/>
        </w:rPr>
        <w:t>45</w:t>
      </w:r>
      <w:r>
        <w:rPr>
          <w:rFonts w:ascii="仿宋" w:hAnsi="仿宋" w:eastAsia="仿宋" w:cs="仿宋"/>
          <w:sz w:val="32"/>
          <w:szCs w:val="32"/>
        </w:rPr>
        <w:t>项，村(社区)级跨域通办事项52项，今年又开通了邵阳—怀化跨市通办事项5</w:t>
      </w:r>
      <w:r>
        <w:rPr>
          <w:rFonts w:hint="eastAsia" w:ascii="仿宋" w:hAnsi="仿宋" w:eastAsia="仿宋" w:cs="仿宋"/>
          <w:sz w:val="32"/>
          <w:szCs w:val="32"/>
          <w:lang w:val="en-US" w:eastAsia="zh-CN"/>
        </w:rPr>
        <w:t>8</w:t>
      </w:r>
      <w:r>
        <w:rPr>
          <w:rFonts w:ascii="仿宋" w:hAnsi="仿宋" w:eastAsia="仿宋" w:cs="仿宋"/>
          <w:sz w:val="32"/>
          <w:szCs w:val="32"/>
        </w:rPr>
        <w:t>项，跨省通办事项</w:t>
      </w:r>
      <w:r>
        <w:rPr>
          <w:rFonts w:hint="eastAsia" w:ascii="仿宋" w:hAnsi="仿宋" w:eastAsia="仿宋" w:cs="仿宋"/>
          <w:sz w:val="32"/>
          <w:szCs w:val="32"/>
          <w:lang w:val="en-US" w:eastAsia="zh-CN"/>
        </w:rPr>
        <w:t>56</w:t>
      </w:r>
      <w:r>
        <w:rPr>
          <w:rFonts w:ascii="仿宋" w:hAnsi="仿宋" w:eastAsia="仿宋" w:cs="仿宋"/>
          <w:sz w:val="32"/>
          <w:szCs w:val="32"/>
        </w:rPr>
        <w:t>项。</w:t>
      </w:r>
    </w:p>
    <w:p>
      <w:pPr>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三）完善“三集中三到位”工作。双清区行政审批服务局加快与各局接洽，要求各单位承担审批职能的部门向区政务服务中心集中，在政务中心设立办件窗口或办公室，现全区在政务中心设立了窗口有：人社局、退役军人事务局、石桥国土所、市场监督管理局、残联、医保局、教育局、卫健局、农业农村局、文体局等22个窗口。按创文要求对大厅一二楼的标识进行了更新，同时结合三楼改造，对大厅整体的标识进行升级，确保企业群众进入大厅对大厅布局和办事流程更加清晰，一目了然。因场地问题，分别在区公安分局、区民政局设立政务服务分中心。</w:t>
      </w:r>
    </w:p>
    <w:p>
      <w:pPr>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四）实现向乡镇(街道)、村(社区)电子政务外网覆盖，推进基层服务再提升，擦亮“一门式”品牌。大力推进基层公共服务全覆盖工作，在开通电子政务外网的基础上，11个乡镇街道、73个村社区已按要求分别建立了政务中心和便民服务中心，设立综合受理窗口、综合出件窗口、帮代服务窗口、引导咨询窗口，配置了云终端、打印机、触摸屏等，完善了平台服务功能，同时组织乡镇(街道)、村(社区)工作人员集中培训两次。</w:t>
      </w:r>
    </w:p>
    <w:p>
      <w:pPr>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（五）政府信息公开顺利开展。该局做好区内有关重要会议、经济活动、领导接待的新闻编发工作，以及审核各单位各部门在政府门户网站上进行政务信息公开，对每个新增信息进行编码存档及登记。</w:t>
      </w:r>
    </w:p>
    <w:p>
      <w:pPr>
        <w:spacing w:line="560" w:lineRule="exact"/>
        <w:ind w:firstLine="640" w:firstLineChars="200"/>
        <w:jc w:val="both"/>
        <w:rPr>
          <w:rFonts w:ascii="仿宋" w:hAnsi="仿宋" w:eastAsia="仿宋" w:cs="仿宋"/>
          <w:sz w:val="32"/>
          <w:szCs w:val="32"/>
        </w:rPr>
      </w:pPr>
      <w:r>
        <w:rPr>
          <w:rFonts w:ascii="仿宋" w:hAnsi="仿宋" w:eastAsia="仿宋" w:cs="仿宋"/>
          <w:sz w:val="32"/>
          <w:szCs w:val="32"/>
        </w:rPr>
        <w:t>（六）推进“六稳”“六保”政策兑现“一件事一次办”</w:t>
      </w:r>
      <w:bookmarkStart w:id="17" w:name="_GoBack"/>
      <w:bookmarkEnd w:id="17"/>
      <w:r>
        <w:rPr>
          <w:rFonts w:ascii="仿宋" w:hAnsi="仿宋" w:eastAsia="仿宋" w:cs="仿宋"/>
          <w:sz w:val="32"/>
          <w:szCs w:val="32"/>
        </w:rPr>
        <w:t>落实落地。双清供电支公司对疫情防控期间暂不能正常开工、复工的企业，放宽容(需)量电价计费方式。区税务局对受疫情影响生产经营发生损失且当期缴纳房产税、城镇土地使用税确有困难的纳税人减免税金。</w:t>
      </w:r>
    </w:p>
    <w:p>
      <w:p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七、存在的问题</w:t>
      </w:r>
    </w:p>
    <w:p>
      <w:pPr>
        <w:adjustRightInd w:val="0"/>
        <w:snapToGrid w:val="0"/>
        <w:spacing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 xml:space="preserve"> 预算编制工作有待细化，在年初预算时，项目资金的经济分类科目没有按支出分配好。</w:t>
      </w:r>
    </w:p>
    <w:p>
      <w:pPr>
        <w:adjustRightInd w:val="0"/>
        <w:snapToGrid w:val="0"/>
        <w:spacing w:line="560" w:lineRule="exact"/>
        <w:ind w:firstLine="640" w:firstLineChars="200"/>
        <w:jc w:val="both"/>
        <w:rPr>
          <w:rFonts w:hint="default" w:ascii="黑体" w:hAnsi="黑体" w:eastAsia="黑体" w:cs="黑体"/>
          <w:sz w:val="32"/>
          <w:szCs w:val="32"/>
        </w:rPr>
      </w:pPr>
      <w:r>
        <w:rPr>
          <w:rFonts w:ascii="黑体" w:hAnsi="黑体" w:eastAsia="黑体" w:cs="黑体"/>
          <w:sz w:val="32"/>
          <w:szCs w:val="32"/>
        </w:rPr>
        <w:t>八、改进措施和有关建议</w:t>
      </w:r>
    </w:p>
    <w:p>
      <w:pPr>
        <w:ind w:firstLine="640" w:firstLineChars="200"/>
        <w:rPr>
          <w:rFonts w:hint="default" w:ascii="仿宋" w:hAnsi="仿宋" w:eastAsia="仿宋" w:cs="仿宋"/>
          <w:sz w:val="32"/>
          <w:szCs w:val="32"/>
        </w:rPr>
      </w:pPr>
      <w:r>
        <w:rPr>
          <w:rFonts w:ascii="仿宋" w:hAnsi="仿宋" w:eastAsia="仿宋" w:cs="仿宋"/>
          <w:sz w:val="32"/>
          <w:szCs w:val="32"/>
        </w:rPr>
        <w:t>细化预算编制工作，认真做好预算的编制。进一步加强我委内部机构各办的预算管理意识，严格按照预算编制的相关制度和要求进行预算编制。</w:t>
      </w:r>
    </w:p>
    <w:p>
      <w:pPr>
        <w:rPr>
          <w:rFonts w:hint="default" w:cs="宋体"/>
          <w:sz w:val="30"/>
          <w:szCs w:val="30"/>
        </w:rPr>
      </w:pPr>
    </w:p>
    <w:p>
      <w:pPr>
        <w:rPr>
          <w:rFonts w:hint="default" w:cs="宋体"/>
          <w:sz w:val="30"/>
          <w:szCs w:val="30"/>
        </w:rPr>
      </w:pPr>
    </w:p>
    <w:p>
      <w:pPr>
        <w:rPr>
          <w:rFonts w:hint="default"/>
        </w:rPr>
      </w:pPr>
      <w:r>
        <w:br w:type="page"/>
      </w:r>
    </w:p>
    <w:p>
      <w:pPr>
        <w:pStyle w:val="11"/>
        <w:rPr>
          <w:rFonts w:hint="default"/>
        </w:rPr>
      </w:pPr>
    </w:p>
    <w:p>
      <w:pPr>
        <w:spacing w:line="600" w:lineRule="exact"/>
        <w:rPr>
          <w:rFonts w:hint="default" w:cs="宋体"/>
          <w:sz w:val="32"/>
          <w:szCs w:val="32"/>
        </w:rPr>
      </w:pPr>
      <w:bookmarkStart w:id="16" w:name="RANGE!A1:H22"/>
      <w:r>
        <w:rPr>
          <w:rFonts w:ascii="黑体" w:eastAsia="黑体" w:cs="宋体"/>
          <w:sz w:val="32"/>
          <w:szCs w:val="32"/>
        </w:rPr>
        <w:t>附件</w:t>
      </w:r>
      <w:bookmarkEnd w:id="16"/>
      <w:r>
        <w:rPr>
          <w:rFonts w:ascii="黑体" w:eastAsia="黑体" w:cs="宋体"/>
          <w:sz w:val="32"/>
          <w:szCs w:val="32"/>
        </w:rPr>
        <w:t>1</w:t>
      </w:r>
      <w:r>
        <w:rPr>
          <w:rFonts w:ascii="黑体" w:eastAsia="黑体" w:cs="宋体"/>
          <w:sz w:val="32"/>
          <w:szCs w:val="32"/>
        </w:rPr>
        <w:tab/>
      </w:r>
      <w:r>
        <w:rPr>
          <w:rFonts w:cs="宋体"/>
          <w:sz w:val="32"/>
          <w:szCs w:val="32"/>
        </w:rPr>
        <w:tab/>
      </w:r>
      <w:r>
        <w:rPr>
          <w:rFonts w:cs="宋体"/>
          <w:sz w:val="32"/>
          <w:szCs w:val="32"/>
        </w:rPr>
        <w:tab/>
      </w:r>
      <w:r>
        <w:rPr>
          <w:rFonts w:cs="宋体"/>
          <w:sz w:val="32"/>
          <w:szCs w:val="32"/>
        </w:rPr>
        <w:tab/>
      </w:r>
      <w:r>
        <w:rPr>
          <w:rFonts w:cs="宋体"/>
          <w:sz w:val="32"/>
          <w:szCs w:val="32"/>
        </w:rPr>
        <w:tab/>
      </w:r>
      <w:r>
        <w:rPr>
          <w:rFonts w:cs="宋体"/>
          <w:sz w:val="32"/>
          <w:szCs w:val="32"/>
        </w:rPr>
        <w:tab/>
      </w:r>
      <w:r>
        <w:rPr>
          <w:rFonts w:cs="宋体"/>
          <w:sz w:val="32"/>
          <w:szCs w:val="32"/>
        </w:rPr>
        <w:tab/>
      </w:r>
    </w:p>
    <w:p>
      <w:pPr>
        <w:ind w:left="93"/>
        <w:jc w:val="center"/>
        <w:rPr>
          <w:rFonts w:hint="default" w:cs="宋体"/>
          <w:bCs/>
          <w:sz w:val="32"/>
          <w:szCs w:val="32"/>
        </w:rPr>
      </w:pPr>
      <w:r>
        <w:rPr>
          <w:rFonts w:cs="宋体"/>
          <w:bCs/>
          <w:sz w:val="32"/>
          <w:szCs w:val="32"/>
        </w:rPr>
        <w:t>部门整体支出绩效评价指标评分表</w:t>
      </w:r>
    </w:p>
    <w:tbl>
      <w:tblPr>
        <w:tblStyle w:val="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rPr>
                <w:rFonts w:hint="default"/>
                <w:b/>
                <w:bCs/>
                <w:sz w:val="20"/>
                <w:szCs w:val="20"/>
              </w:rPr>
            </w:pPr>
            <w:r>
              <w:rPr>
                <w:rFonts w:cs="宋体"/>
                <w:b/>
                <w:bCs/>
                <w:sz w:val="20"/>
                <w:szCs w:val="20"/>
              </w:rPr>
              <w:t>一级指标</w:t>
            </w:r>
          </w:p>
        </w:tc>
        <w:tc>
          <w:tcPr>
            <w:tcW w:w="429" w:type="dxa"/>
            <w:vAlign w:val="center"/>
          </w:tcPr>
          <w:p>
            <w:pPr>
              <w:jc w:val="center"/>
              <w:rPr>
                <w:rFonts w:hint="default"/>
                <w:b/>
                <w:bCs/>
                <w:sz w:val="20"/>
                <w:szCs w:val="20"/>
              </w:rPr>
            </w:pPr>
            <w:r>
              <w:rPr>
                <w:rFonts w:cs="宋体"/>
                <w:b/>
                <w:bCs/>
                <w:sz w:val="20"/>
                <w:szCs w:val="20"/>
              </w:rPr>
              <w:t>二级指标</w:t>
            </w:r>
          </w:p>
        </w:tc>
        <w:tc>
          <w:tcPr>
            <w:tcW w:w="567" w:type="dxa"/>
            <w:vAlign w:val="center"/>
          </w:tcPr>
          <w:p>
            <w:pPr>
              <w:jc w:val="center"/>
              <w:rPr>
                <w:rFonts w:hint="default"/>
                <w:b/>
                <w:bCs/>
                <w:sz w:val="20"/>
                <w:szCs w:val="20"/>
              </w:rPr>
            </w:pPr>
            <w:r>
              <w:rPr>
                <w:rFonts w:cs="宋体"/>
                <w:b/>
                <w:bCs/>
                <w:sz w:val="20"/>
                <w:szCs w:val="20"/>
              </w:rPr>
              <w:t>分值</w:t>
            </w:r>
          </w:p>
        </w:tc>
        <w:tc>
          <w:tcPr>
            <w:tcW w:w="851" w:type="dxa"/>
            <w:vAlign w:val="center"/>
          </w:tcPr>
          <w:p>
            <w:pPr>
              <w:jc w:val="center"/>
              <w:rPr>
                <w:rFonts w:hint="default"/>
                <w:b/>
                <w:bCs/>
                <w:sz w:val="20"/>
                <w:szCs w:val="20"/>
              </w:rPr>
            </w:pPr>
            <w:r>
              <w:rPr>
                <w:rFonts w:cs="宋体"/>
                <w:b/>
                <w:bCs/>
                <w:sz w:val="20"/>
                <w:szCs w:val="20"/>
              </w:rPr>
              <w:t>三级   指标</w:t>
            </w:r>
          </w:p>
        </w:tc>
        <w:tc>
          <w:tcPr>
            <w:tcW w:w="567" w:type="dxa"/>
            <w:vAlign w:val="center"/>
          </w:tcPr>
          <w:p>
            <w:pPr>
              <w:jc w:val="center"/>
              <w:rPr>
                <w:rFonts w:hint="default"/>
                <w:b/>
                <w:bCs/>
                <w:sz w:val="20"/>
                <w:szCs w:val="20"/>
              </w:rPr>
            </w:pPr>
            <w:r>
              <w:rPr>
                <w:rFonts w:cs="宋体"/>
                <w:b/>
                <w:bCs/>
                <w:sz w:val="20"/>
                <w:szCs w:val="20"/>
              </w:rPr>
              <w:t>分值</w:t>
            </w:r>
          </w:p>
        </w:tc>
        <w:tc>
          <w:tcPr>
            <w:tcW w:w="3118" w:type="dxa"/>
            <w:vAlign w:val="center"/>
          </w:tcPr>
          <w:p>
            <w:pPr>
              <w:jc w:val="center"/>
              <w:rPr>
                <w:rFonts w:hint="default"/>
                <w:b/>
                <w:bCs/>
                <w:sz w:val="20"/>
                <w:szCs w:val="20"/>
              </w:rPr>
            </w:pPr>
            <w:r>
              <w:rPr>
                <w:rFonts w:cs="宋体"/>
                <w:b/>
                <w:bCs/>
                <w:sz w:val="20"/>
                <w:szCs w:val="20"/>
              </w:rPr>
              <w:t>评价标准</w:t>
            </w:r>
          </w:p>
        </w:tc>
        <w:tc>
          <w:tcPr>
            <w:tcW w:w="3472" w:type="dxa"/>
            <w:vAlign w:val="center"/>
          </w:tcPr>
          <w:p>
            <w:pPr>
              <w:jc w:val="center"/>
              <w:rPr>
                <w:rFonts w:hint="default"/>
                <w:b/>
                <w:bCs/>
                <w:sz w:val="20"/>
                <w:szCs w:val="20"/>
              </w:rPr>
            </w:pPr>
            <w:r>
              <w:rPr>
                <w:rFonts w:cs="宋体"/>
                <w:b/>
                <w:bCs/>
                <w:sz w:val="20"/>
                <w:szCs w:val="20"/>
              </w:rPr>
              <w:t>备注</w:t>
            </w:r>
          </w:p>
        </w:tc>
        <w:tc>
          <w:tcPr>
            <w:tcW w:w="617" w:type="dxa"/>
            <w:vAlign w:val="center"/>
          </w:tcPr>
          <w:p>
            <w:pPr>
              <w:jc w:val="center"/>
              <w:rPr>
                <w:rFonts w:hint="default"/>
                <w:b/>
                <w:bCs/>
                <w:sz w:val="20"/>
                <w:szCs w:val="20"/>
              </w:rPr>
            </w:pPr>
            <w:r>
              <w:rPr>
                <w:rFonts w:cs="宋体"/>
                <w:b/>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tcPr>
          <w:p>
            <w:pPr>
              <w:jc w:val="center"/>
              <w:rPr>
                <w:rFonts w:hint="default" w:ascii="仿宋_GB2312" w:eastAsia="仿宋_GB2312"/>
                <w:sz w:val="20"/>
                <w:szCs w:val="20"/>
              </w:rPr>
            </w:pPr>
            <w:r>
              <w:rPr>
                <w:rFonts w:ascii="仿宋_GB2312" w:eastAsia="仿宋_GB2312" w:cs="宋体"/>
                <w:sz w:val="20"/>
                <w:szCs w:val="20"/>
              </w:rPr>
              <w:t>投    入</w:t>
            </w:r>
          </w:p>
        </w:tc>
        <w:tc>
          <w:tcPr>
            <w:tcW w:w="429" w:type="dxa"/>
            <w:vMerge w:val="restart"/>
            <w:vAlign w:val="center"/>
          </w:tcPr>
          <w:p>
            <w:pPr>
              <w:jc w:val="center"/>
              <w:rPr>
                <w:rFonts w:hint="default" w:ascii="仿宋_GB2312" w:eastAsia="仿宋_GB2312"/>
                <w:sz w:val="20"/>
                <w:szCs w:val="20"/>
              </w:rPr>
            </w:pPr>
            <w:r>
              <w:rPr>
                <w:rFonts w:ascii="仿宋_GB2312" w:eastAsia="仿宋_GB2312" w:cs="宋体"/>
                <w:sz w:val="20"/>
                <w:szCs w:val="20"/>
              </w:rPr>
              <w:t>预算配置</w:t>
            </w:r>
          </w:p>
        </w:tc>
        <w:tc>
          <w:tcPr>
            <w:tcW w:w="567" w:type="dxa"/>
            <w:vMerge w:val="restart"/>
            <w:vAlign w:val="center"/>
          </w:tcPr>
          <w:p>
            <w:pPr>
              <w:jc w:val="center"/>
              <w:rPr>
                <w:rFonts w:hint="default" w:ascii="仿宋_GB2312" w:eastAsia="仿宋_GB2312"/>
                <w:sz w:val="20"/>
                <w:szCs w:val="20"/>
              </w:rPr>
            </w:pPr>
            <w:r>
              <w:rPr>
                <w:rFonts w:ascii="仿宋_GB2312" w:eastAsia="仿宋_GB2312" w:cs="宋体"/>
                <w:sz w:val="20"/>
                <w:szCs w:val="20"/>
              </w:rPr>
              <w:t>18</w:t>
            </w: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“三公经费”</w:t>
            </w:r>
            <w:r>
              <w:rPr>
                <w:rFonts w:ascii="仿宋_GB2312" w:eastAsia="仿宋_GB2312" w:cs="宋体"/>
                <w:sz w:val="20"/>
                <w:szCs w:val="20"/>
              </w:rPr>
              <w:br w:type="textWrapping"/>
            </w:r>
            <w:r>
              <w:rPr>
                <w:rFonts w:ascii="仿宋_GB2312" w:eastAsia="仿宋_GB2312" w:cs="宋体"/>
                <w:sz w:val="20"/>
                <w:szCs w:val="20"/>
              </w:rPr>
              <w:t>变动率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3</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“三公经费”变动率</w:t>
            </w:r>
            <w:r>
              <w:rPr>
                <w:rFonts w:ascii="仿宋_GB2312" w:hAnsi="Arial" w:eastAsia="仿宋_GB2312" w:cs="Arial"/>
                <w:sz w:val="20"/>
                <w:szCs w:val="20"/>
              </w:rPr>
              <w:t>≤</w:t>
            </w:r>
            <w:r>
              <w:rPr>
                <w:rFonts w:ascii="仿宋_GB2312" w:eastAsia="仿宋_GB2312" w:cs="宋体"/>
                <w:sz w:val="20"/>
                <w:szCs w:val="20"/>
              </w:rPr>
              <w:t>0,计3分；“三公经费”＞0，每超过一个百分点扣0.3分，扣完为止。</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“三公经费”变动率=[（本年度“三公经费”总额-上年度“三公经费”总额）/上年度“三公经费”总额]×100%。</w:t>
            </w:r>
            <w:r>
              <w:rPr>
                <w:rFonts w:ascii="仿宋_GB2312" w:eastAsia="仿宋_GB2312" w:cs="宋体"/>
                <w:sz w:val="20"/>
                <w:szCs w:val="20"/>
              </w:rPr>
              <w:br w:type="textWrapping"/>
            </w:r>
            <w:r>
              <w:rPr>
                <w:rFonts w:ascii="仿宋_GB2312" w:eastAsia="仿宋_GB2312" w:cs="宋体"/>
                <w:sz w:val="20"/>
                <w:szCs w:val="20"/>
              </w:rPr>
              <w:t>“三公经费”：指政府部门人员因公出国（境）经费、公务车购置及运行费、公务招待费产生的消费。</w:t>
            </w:r>
          </w:p>
        </w:tc>
        <w:tc>
          <w:tcPr>
            <w:tcW w:w="617" w:type="dxa"/>
            <w:vAlign w:val="center"/>
          </w:tcPr>
          <w:p>
            <w:pPr>
              <w:jc w:val="center"/>
              <w:rPr>
                <w:rFonts w:hint="default"/>
              </w:rPr>
            </w:pPr>
            <w:r>
              <w:rPr>
                <w:rFonts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Pr>
          <w:p>
            <w:pPr>
              <w:rPr>
                <w:rFonts w:hint="default" w:ascii="仿宋_GB2312" w:eastAsia="仿宋_GB2312"/>
                <w:sz w:val="20"/>
                <w:szCs w:val="20"/>
              </w:rPr>
            </w:pPr>
          </w:p>
        </w:tc>
        <w:tc>
          <w:tcPr>
            <w:tcW w:w="429" w:type="dxa"/>
            <w:vMerge w:val="continue"/>
          </w:tcPr>
          <w:p>
            <w:pPr>
              <w:rPr>
                <w:rFonts w:hint="default" w:ascii="仿宋_GB2312" w:eastAsia="仿宋_GB2312"/>
                <w:sz w:val="20"/>
                <w:szCs w:val="20"/>
              </w:rPr>
            </w:pPr>
          </w:p>
        </w:tc>
        <w:tc>
          <w:tcPr>
            <w:tcW w:w="567" w:type="dxa"/>
            <w:vMerge w:val="continue"/>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“三公经费”   管理</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3</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①招待费用明确招待标准和招待人数,1分;②车辆维护、燃油使用政府定点，1分。③</w:t>
            </w:r>
            <w:r>
              <w:rPr>
                <w:rFonts w:ascii="仿宋_GB2312" w:hAnsi="仿宋" w:eastAsia="仿宋_GB2312" w:cs="仿宋"/>
                <w:sz w:val="20"/>
                <w:szCs w:val="20"/>
              </w:rPr>
              <w:t>制定“三公经费”管理办法，1分，每少一项扣1分，扣完为止。</w:t>
            </w:r>
          </w:p>
        </w:tc>
        <w:tc>
          <w:tcPr>
            <w:tcW w:w="3472" w:type="dxa"/>
          </w:tcPr>
          <w:p>
            <w:pPr>
              <w:rPr>
                <w:rFonts w:hint="default" w:ascii="仿宋_GB2312" w:eastAsia="仿宋_GB2312"/>
                <w:sz w:val="20"/>
                <w:szCs w:val="20"/>
              </w:rPr>
            </w:pPr>
          </w:p>
        </w:tc>
        <w:tc>
          <w:tcPr>
            <w:tcW w:w="617" w:type="dxa"/>
            <w:vAlign w:val="center"/>
          </w:tcPr>
          <w:p>
            <w:pPr>
              <w:jc w:val="center"/>
              <w:rPr>
                <w:rFonts w:hint="default"/>
              </w:rPr>
            </w:pPr>
            <w:r>
              <w:rPr>
                <w:rFonts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Pr>
          <w:p>
            <w:pPr>
              <w:rPr>
                <w:rFonts w:hint="default" w:ascii="仿宋_GB2312" w:eastAsia="仿宋_GB2312"/>
                <w:sz w:val="20"/>
                <w:szCs w:val="20"/>
              </w:rPr>
            </w:pPr>
          </w:p>
        </w:tc>
        <w:tc>
          <w:tcPr>
            <w:tcW w:w="429" w:type="dxa"/>
            <w:vMerge w:val="continue"/>
          </w:tcPr>
          <w:p>
            <w:pPr>
              <w:rPr>
                <w:rFonts w:hint="default" w:ascii="仿宋_GB2312" w:eastAsia="仿宋_GB2312"/>
                <w:sz w:val="20"/>
                <w:szCs w:val="20"/>
              </w:rPr>
            </w:pPr>
          </w:p>
        </w:tc>
        <w:tc>
          <w:tcPr>
            <w:tcW w:w="567" w:type="dxa"/>
            <w:vMerge w:val="continue"/>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公务</w:t>
            </w:r>
          </w:p>
          <w:p>
            <w:pPr>
              <w:jc w:val="center"/>
              <w:rPr>
                <w:rFonts w:hint="default" w:ascii="仿宋_GB2312" w:eastAsia="仿宋_GB2312"/>
                <w:sz w:val="20"/>
                <w:szCs w:val="20"/>
              </w:rPr>
            </w:pPr>
            <w:r>
              <w:rPr>
                <w:rFonts w:ascii="仿宋_GB2312" w:eastAsia="仿宋_GB2312" w:cs="宋体"/>
                <w:sz w:val="20"/>
                <w:szCs w:val="20"/>
              </w:rPr>
              <w:t>招待费变动率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“公务招待费”变动率</w:t>
            </w:r>
            <w:r>
              <w:rPr>
                <w:rFonts w:ascii="仿宋_GB2312" w:hAnsi="Arial" w:eastAsia="仿宋_GB2312" w:cs="Arial"/>
                <w:sz w:val="20"/>
                <w:szCs w:val="20"/>
              </w:rPr>
              <w:t>≤</w:t>
            </w:r>
            <w:r>
              <w:rPr>
                <w:rFonts w:ascii="仿宋_GB2312" w:eastAsia="仿宋_GB2312" w:cs="宋体"/>
                <w:sz w:val="20"/>
                <w:szCs w:val="20"/>
              </w:rPr>
              <w:t>0,计2分；“公务招待费变动率”＞0，每超过一个百分点扣0.2分，扣完为止。</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公务招待费变动率=[（本年度“公务招待费”总额-上年度“公务招待费”总额）/上年度“公务招待费”总额]×100%。</w:t>
            </w: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Pr>
          <w:p>
            <w:pPr>
              <w:rPr>
                <w:rFonts w:hint="default" w:ascii="仿宋_GB2312" w:eastAsia="仿宋_GB2312"/>
                <w:sz w:val="20"/>
                <w:szCs w:val="20"/>
              </w:rPr>
            </w:pPr>
          </w:p>
        </w:tc>
        <w:tc>
          <w:tcPr>
            <w:tcW w:w="429" w:type="dxa"/>
            <w:vMerge w:val="continue"/>
          </w:tcPr>
          <w:p>
            <w:pPr>
              <w:rPr>
                <w:rFonts w:hint="default" w:ascii="仿宋_GB2312" w:eastAsia="仿宋_GB2312"/>
                <w:sz w:val="20"/>
                <w:szCs w:val="20"/>
              </w:rPr>
            </w:pPr>
          </w:p>
        </w:tc>
        <w:tc>
          <w:tcPr>
            <w:tcW w:w="567" w:type="dxa"/>
            <w:vMerge w:val="continue"/>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公务用车购置</w:t>
            </w:r>
          </w:p>
          <w:p>
            <w:pPr>
              <w:jc w:val="center"/>
              <w:rPr>
                <w:rFonts w:hint="default" w:ascii="仿宋_GB2312" w:eastAsia="仿宋_GB2312"/>
                <w:sz w:val="20"/>
                <w:szCs w:val="20"/>
              </w:rPr>
            </w:pPr>
            <w:r>
              <w:rPr>
                <w:rFonts w:ascii="仿宋_GB2312" w:eastAsia="仿宋_GB2312" w:cs="宋体"/>
                <w:sz w:val="20"/>
                <w:szCs w:val="20"/>
              </w:rPr>
              <w:t>运行费</w:t>
            </w:r>
          </w:p>
          <w:p>
            <w:pPr>
              <w:jc w:val="center"/>
              <w:rPr>
                <w:rFonts w:hint="default" w:ascii="仿宋_GB2312" w:eastAsia="仿宋_GB2312"/>
                <w:sz w:val="20"/>
                <w:szCs w:val="20"/>
              </w:rPr>
            </w:pPr>
            <w:r>
              <w:rPr>
                <w:rFonts w:ascii="仿宋_GB2312" w:eastAsia="仿宋_GB2312" w:cs="宋体"/>
                <w:sz w:val="20"/>
                <w:szCs w:val="20"/>
              </w:rPr>
              <w:t>变动率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“公务用车购置运行费”变动率</w:t>
            </w:r>
            <w:r>
              <w:rPr>
                <w:rFonts w:ascii="仿宋_GB2312" w:hAnsi="Arial" w:eastAsia="仿宋_GB2312" w:cs="Arial"/>
                <w:sz w:val="20"/>
                <w:szCs w:val="20"/>
              </w:rPr>
              <w:t>≤</w:t>
            </w:r>
            <w:r>
              <w:rPr>
                <w:rFonts w:ascii="仿宋_GB2312" w:eastAsia="仿宋_GB2312" w:cs="宋体"/>
                <w:sz w:val="20"/>
                <w:szCs w:val="20"/>
              </w:rPr>
              <w:t>0,计2分；“公务用车购置运行费变动率”＞0，每超过一个百分点扣0.2分，扣完为止。</w:t>
            </w:r>
          </w:p>
        </w:tc>
        <w:tc>
          <w:tcPr>
            <w:tcW w:w="3472" w:type="dxa"/>
          </w:tcPr>
          <w:p>
            <w:pPr>
              <w:rPr>
                <w:rFonts w:hint="default" w:ascii="仿宋_GB2312" w:eastAsia="仿宋_GB2312"/>
                <w:sz w:val="20"/>
                <w:szCs w:val="20"/>
              </w:rPr>
            </w:pPr>
            <w:r>
              <w:rPr>
                <w:rFonts w:ascii="仿宋_GB2312" w:eastAsia="仿宋_GB2312" w:cs="宋体"/>
                <w:sz w:val="20"/>
                <w:szCs w:val="20"/>
              </w:rPr>
              <w:t>公务用车购置运行费变动率=[（本年度“公务用车购置运行费”总额-上年度“公务用车购置运行费”总额）/上年度“公务用车购置运行费”总额]×100%。</w:t>
            </w: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Pr>
          <w:p>
            <w:pPr>
              <w:rPr>
                <w:rFonts w:hint="default" w:ascii="仿宋_GB2312" w:eastAsia="仿宋_GB2312"/>
                <w:sz w:val="20"/>
                <w:szCs w:val="20"/>
              </w:rPr>
            </w:pPr>
          </w:p>
        </w:tc>
        <w:tc>
          <w:tcPr>
            <w:tcW w:w="429" w:type="dxa"/>
            <w:vMerge w:val="continue"/>
          </w:tcPr>
          <w:p>
            <w:pPr>
              <w:rPr>
                <w:rFonts w:hint="default" w:ascii="仿宋_GB2312" w:eastAsia="仿宋_GB2312"/>
                <w:sz w:val="20"/>
                <w:szCs w:val="20"/>
              </w:rPr>
            </w:pPr>
          </w:p>
        </w:tc>
        <w:tc>
          <w:tcPr>
            <w:tcW w:w="567" w:type="dxa"/>
            <w:vMerge w:val="continue"/>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商品 和服务支出 变动率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“商品和服务支出”变动率</w:t>
            </w:r>
            <w:r>
              <w:rPr>
                <w:rFonts w:ascii="仿宋_GB2312" w:hAnsi="Arial" w:eastAsia="仿宋_GB2312" w:cs="Arial"/>
                <w:sz w:val="20"/>
                <w:szCs w:val="20"/>
              </w:rPr>
              <w:t>≤</w:t>
            </w:r>
            <w:r>
              <w:rPr>
                <w:rFonts w:ascii="仿宋_GB2312" w:eastAsia="仿宋_GB2312" w:cs="宋体"/>
                <w:sz w:val="20"/>
                <w:szCs w:val="20"/>
              </w:rPr>
              <w:t>0,计2分；“商品和服务支出”变动率＞0，每超过一个百分点扣0.2分，扣完为止。</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“商品和服务支出”变动率=[（本年度“商品和服务支出”总额-上年度“商品和服务支出”总额）/上年度“商品和服务支出”总额]×100%。</w:t>
            </w: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Pr>
          <w:p>
            <w:pPr>
              <w:rPr>
                <w:rFonts w:hint="default" w:ascii="仿宋_GB2312" w:eastAsia="仿宋_GB2312"/>
                <w:sz w:val="20"/>
                <w:szCs w:val="20"/>
              </w:rPr>
            </w:pPr>
          </w:p>
        </w:tc>
        <w:tc>
          <w:tcPr>
            <w:tcW w:w="429" w:type="dxa"/>
            <w:vMerge w:val="continue"/>
          </w:tcPr>
          <w:p>
            <w:pPr>
              <w:rPr>
                <w:rFonts w:hint="default" w:ascii="仿宋_GB2312" w:eastAsia="仿宋_GB2312"/>
                <w:sz w:val="20"/>
                <w:szCs w:val="20"/>
              </w:rPr>
            </w:pPr>
          </w:p>
        </w:tc>
        <w:tc>
          <w:tcPr>
            <w:tcW w:w="567" w:type="dxa"/>
            <w:vMerge w:val="continue"/>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重点  支出  安排率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jc w:val="center"/>
              <w:rPr>
                <w:rFonts w:hint="default" w:ascii="仿宋_GB2312" w:eastAsia="仿宋_GB2312"/>
                <w:sz w:val="20"/>
                <w:szCs w:val="20"/>
              </w:rPr>
            </w:pPr>
            <w:r>
              <w:rPr>
                <w:rFonts w:ascii="仿宋_GB2312" w:eastAsia="仿宋_GB2312" w:cs="宋体"/>
                <w:sz w:val="20"/>
                <w:szCs w:val="20"/>
              </w:rPr>
              <w:t>重点支出安排率≥90%，计2分；80%（含）-90%，计1分；70%（含）-80%，计0.5分；低于70%不得分。</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重点支出安排率=（重点项目支出/项目总支出）×100%</w:t>
            </w:r>
            <w:r>
              <w:rPr>
                <w:rFonts w:ascii="仿宋_GB2312" w:eastAsia="仿宋_GB2312" w:cs="宋体"/>
                <w:sz w:val="20"/>
                <w:szCs w:val="20"/>
              </w:rPr>
              <w:br w:type="textWrapping"/>
            </w:r>
            <w:r>
              <w:rPr>
                <w:rFonts w:ascii="仿宋_GB2312" w:eastAsia="仿宋_GB2312" w:cs="宋体"/>
                <w:sz w:val="20"/>
                <w:szCs w:val="20"/>
              </w:rPr>
              <w:t>重点项目支出：市政府确定的为民办实事和部门重点工程与重点工作支出。项目总支出：部门（单位）年度预算安排的项目支出总额。</w:t>
            </w:r>
          </w:p>
        </w:tc>
        <w:tc>
          <w:tcPr>
            <w:tcW w:w="617" w:type="dxa"/>
            <w:vAlign w:val="center"/>
          </w:tcPr>
          <w:p>
            <w:pPr>
              <w:jc w:val="center"/>
              <w:rPr>
                <w:rFonts w:hint="default"/>
              </w:rPr>
            </w:pPr>
            <w:r>
              <w:rPr>
                <w:rFonts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tcPr>
          <w:p>
            <w:pPr>
              <w:rPr>
                <w:rFonts w:hint="default" w:ascii="仿宋_GB2312" w:eastAsia="仿宋_GB2312"/>
                <w:sz w:val="20"/>
                <w:szCs w:val="20"/>
              </w:rPr>
            </w:pPr>
          </w:p>
        </w:tc>
        <w:tc>
          <w:tcPr>
            <w:tcW w:w="429" w:type="dxa"/>
            <w:vMerge w:val="continue"/>
          </w:tcPr>
          <w:p>
            <w:pPr>
              <w:rPr>
                <w:rFonts w:hint="default" w:ascii="仿宋_GB2312" w:eastAsia="仿宋_GB2312"/>
                <w:sz w:val="20"/>
                <w:szCs w:val="20"/>
              </w:rPr>
            </w:pPr>
          </w:p>
        </w:tc>
        <w:tc>
          <w:tcPr>
            <w:tcW w:w="567" w:type="dxa"/>
            <w:vMerge w:val="continue"/>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非税 收入 管理</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tcPr>
          <w:p>
            <w:pPr>
              <w:rPr>
                <w:rFonts w:hint="default" w:ascii="仿宋_GB2312" w:eastAsia="仿宋_GB2312"/>
                <w:sz w:val="20"/>
                <w:szCs w:val="20"/>
              </w:rPr>
            </w:pPr>
            <w:r>
              <w:rPr>
                <w:rFonts w:ascii="仿宋_GB2312" w:eastAsia="仿宋_GB2312" w:cs="宋体"/>
                <w:sz w:val="20"/>
                <w:szCs w:val="20"/>
              </w:rPr>
              <w:t>①实行收支两条线，1分；</w:t>
            </w:r>
          </w:p>
          <w:p>
            <w:pPr>
              <w:rPr>
                <w:rFonts w:hint="default" w:ascii="仿宋_GB2312" w:eastAsia="仿宋_GB2312"/>
                <w:sz w:val="20"/>
                <w:szCs w:val="20"/>
              </w:rPr>
            </w:pPr>
            <w:r>
              <w:rPr>
                <w:rFonts w:ascii="仿宋_GB2312" w:eastAsia="仿宋_GB2312" w:cs="宋体"/>
                <w:sz w:val="20"/>
                <w:szCs w:val="20"/>
              </w:rPr>
              <w:t>②未发生截留、坐支或转移，1分。以上每发现一次违规现象扣1分，扣完为止。</w:t>
            </w:r>
          </w:p>
        </w:tc>
        <w:tc>
          <w:tcPr>
            <w:tcW w:w="3472" w:type="dxa"/>
          </w:tcPr>
          <w:p>
            <w:pPr>
              <w:rPr>
                <w:rFonts w:hint="default" w:ascii="仿宋_GB2312" w:eastAsia="仿宋_GB2312"/>
                <w:sz w:val="20"/>
                <w:szCs w:val="20"/>
              </w:rPr>
            </w:pP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Pr>
          <w:p>
            <w:pPr>
              <w:rPr>
                <w:rFonts w:hint="default" w:ascii="仿宋_GB2312" w:eastAsia="仿宋_GB2312"/>
                <w:sz w:val="20"/>
                <w:szCs w:val="20"/>
              </w:rPr>
            </w:pPr>
          </w:p>
        </w:tc>
        <w:tc>
          <w:tcPr>
            <w:tcW w:w="429" w:type="dxa"/>
            <w:vMerge w:val="continue"/>
          </w:tcPr>
          <w:p>
            <w:pPr>
              <w:rPr>
                <w:rFonts w:hint="default" w:ascii="仿宋_GB2312" w:eastAsia="仿宋_GB2312"/>
                <w:sz w:val="20"/>
                <w:szCs w:val="20"/>
              </w:rPr>
            </w:pPr>
          </w:p>
        </w:tc>
        <w:tc>
          <w:tcPr>
            <w:tcW w:w="567" w:type="dxa"/>
            <w:vMerge w:val="continue"/>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非税 收入 完成率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非税收入完成率100%，2分，每少一个百分点，扣0.1分，扣完为止。</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非税收入完成率=（2020年度非税实际收入完成数/2020年度非税收入预算数）×100%，有减免因素的，以非税局确定的为准。</w:t>
            </w: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extDirection w:val="tbRlV"/>
          </w:tcPr>
          <w:p>
            <w:pPr>
              <w:jc w:val="center"/>
              <w:rPr>
                <w:rFonts w:hint="default" w:ascii="仿宋_GB2312" w:eastAsia="仿宋_GB2312"/>
                <w:sz w:val="20"/>
                <w:szCs w:val="20"/>
              </w:rPr>
            </w:pPr>
          </w:p>
          <w:p>
            <w:pPr>
              <w:jc w:val="center"/>
              <w:rPr>
                <w:rFonts w:hint="default" w:ascii="仿宋_GB2312" w:eastAsia="仿宋_GB2312"/>
                <w:sz w:val="20"/>
                <w:szCs w:val="20"/>
              </w:rPr>
            </w:pPr>
          </w:p>
          <w:p>
            <w:pPr>
              <w:jc w:val="center"/>
              <w:rPr>
                <w:rFonts w:hint="default" w:ascii="仿宋_GB2312" w:eastAsia="仿宋_GB2312"/>
                <w:sz w:val="20"/>
                <w:szCs w:val="20"/>
              </w:rPr>
            </w:pPr>
            <w:r>
              <w:rPr>
                <w:rFonts w:ascii="仿宋_GB2312" w:eastAsia="仿宋_GB2312" w:cs="宋体"/>
                <w:sz w:val="20"/>
                <w:szCs w:val="20"/>
              </w:rPr>
              <w:t>过    程</w:t>
            </w:r>
          </w:p>
          <w:p>
            <w:pPr>
              <w:ind w:left="113" w:right="113"/>
              <w:rPr>
                <w:rFonts w:hint="default" w:ascii="仿宋_GB2312" w:eastAsia="仿宋_GB2312"/>
                <w:sz w:val="20"/>
                <w:szCs w:val="20"/>
              </w:rPr>
            </w:pPr>
          </w:p>
          <w:p>
            <w:pPr>
              <w:rPr>
                <w:rFonts w:hint="default" w:ascii="仿宋_GB2312" w:eastAsia="仿宋_GB2312"/>
                <w:sz w:val="20"/>
                <w:szCs w:val="20"/>
              </w:rPr>
            </w:pPr>
          </w:p>
          <w:p>
            <w:pPr>
              <w:rPr>
                <w:rFonts w:hint="default" w:ascii="仿宋_GB2312" w:eastAsia="仿宋_GB2312"/>
                <w:sz w:val="20"/>
                <w:szCs w:val="20"/>
              </w:rPr>
            </w:pPr>
          </w:p>
          <w:p>
            <w:pPr>
              <w:rPr>
                <w:rFonts w:hint="default" w:ascii="仿宋_GB2312" w:eastAsia="仿宋_GB2312"/>
                <w:sz w:val="20"/>
                <w:szCs w:val="20"/>
              </w:rPr>
            </w:pPr>
          </w:p>
          <w:p>
            <w:pPr>
              <w:rPr>
                <w:rFonts w:hint="default" w:ascii="仿宋_GB2312" w:eastAsia="仿宋_GB2312"/>
                <w:sz w:val="20"/>
                <w:szCs w:val="20"/>
              </w:rPr>
            </w:pPr>
          </w:p>
          <w:p>
            <w:pPr>
              <w:rPr>
                <w:rFonts w:hint="default" w:ascii="仿宋_GB2312" w:eastAsia="仿宋_GB2312"/>
                <w:sz w:val="20"/>
                <w:szCs w:val="20"/>
              </w:rPr>
            </w:pPr>
          </w:p>
          <w:p>
            <w:pPr>
              <w:rPr>
                <w:rFonts w:hint="default" w:ascii="仿宋_GB2312" w:eastAsia="仿宋_GB2312"/>
                <w:sz w:val="20"/>
                <w:szCs w:val="20"/>
              </w:rPr>
            </w:pPr>
          </w:p>
          <w:p>
            <w:pPr>
              <w:rPr>
                <w:rFonts w:hint="default" w:ascii="仿宋_GB2312" w:eastAsia="仿宋_GB2312"/>
                <w:sz w:val="20"/>
                <w:szCs w:val="20"/>
              </w:rPr>
            </w:pPr>
          </w:p>
          <w:p>
            <w:pPr>
              <w:rPr>
                <w:rFonts w:hint="default" w:ascii="仿宋_GB2312" w:eastAsia="仿宋_GB2312"/>
                <w:sz w:val="20"/>
                <w:szCs w:val="20"/>
              </w:rPr>
            </w:pPr>
            <w:r>
              <w:rPr>
                <w:rFonts w:ascii="仿宋_GB2312" w:eastAsia="仿宋_GB2312" w:cs="宋体"/>
                <w:sz w:val="20"/>
                <w:szCs w:val="20"/>
              </w:rPr>
              <w:t>过      程</w:t>
            </w:r>
          </w:p>
        </w:tc>
        <w:tc>
          <w:tcPr>
            <w:tcW w:w="429" w:type="dxa"/>
            <w:vMerge w:val="restart"/>
            <w:tcBorders>
              <w:righ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预算执行</w:t>
            </w:r>
          </w:p>
        </w:tc>
        <w:tc>
          <w:tcPr>
            <w:tcW w:w="567" w:type="dxa"/>
            <w:vMerge w:val="restart"/>
            <w:tcBorders>
              <w:lef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8</w:t>
            </w: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预算  完成率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jc w:val="center"/>
              <w:rPr>
                <w:rFonts w:hint="default" w:ascii="仿宋_GB2312" w:eastAsia="仿宋_GB2312"/>
                <w:sz w:val="20"/>
                <w:szCs w:val="20"/>
              </w:rPr>
            </w:pPr>
            <w:r>
              <w:rPr>
                <w:rFonts w:ascii="仿宋_GB2312" w:eastAsia="仿宋_GB2312" w:cs="宋体"/>
                <w:sz w:val="20"/>
                <w:szCs w:val="20"/>
              </w:rPr>
              <w:t>完成率&lt;1，计2分，</w:t>
            </w:r>
          </w:p>
          <w:p>
            <w:pPr>
              <w:jc w:val="center"/>
              <w:rPr>
                <w:rFonts w:hint="default" w:ascii="仿宋_GB2312" w:eastAsia="仿宋_GB2312"/>
                <w:sz w:val="20"/>
                <w:szCs w:val="20"/>
              </w:rPr>
            </w:pPr>
            <w:r>
              <w:rPr>
                <w:rFonts w:ascii="仿宋_GB2312" w:eastAsia="仿宋_GB2312" w:cs="宋体"/>
                <w:sz w:val="20"/>
                <w:szCs w:val="20"/>
              </w:rPr>
              <w:t>完成率=1，计1分，</w:t>
            </w:r>
          </w:p>
          <w:p>
            <w:pPr>
              <w:jc w:val="center"/>
              <w:rPr>
                <w:rFonts w:hint="default" w:ascii="仿宋_GB2312" w:eastAsia="仿宋_GB2312"/>
                <w:sz w:val="20"/>
                <w:szCs w:val="20"/>
              </w:rPr>
            </w:pPr>
            <w:r>
              <w:rPr>
                <w:rFonts w:ascii="仿宋_GB2312" w:eastAsia="仿宋_GB2312" w:cs="宋体"/>
                <w:sz w:val="20"/>
                <w:szCs w:val="20"/>
              </w:rPr>
              <w:t>完成率&gt;1，不得分。</w:t>
            </w:r>
          </w:p>
          <w:p>
            <w:pPr>
              <w:jc w:val="center"/>
              <w:rPr>
                <w:rFonts w:hint="default" w:ascii="仿宋_GB2312" w:eastAsia="仿宋_GB2312"/>
                <w:sz w:val="20"/>
                <w:szCs w:val="20"/>
              </w:rPr>
            </w:pPr>
          </w:p>
        </w:tc>
        <w:tc>
          <w:tcPr>
            <w:tcW w:w="3472" w:type="dxa"/>
            <w:vAlign w:val="center"/>
          </w:tcPr>
          <w:p>
            <w:pPr>
              <w:autoSpaceDN w:val="0"/>
              <w:textAlignment w:val="center"/>
              <w:rPr>
                <w:rFonts w:hint="default" w:ascii="仿宋_GB2312" w:eastAsia="仿宋_GB2312"/>
                <w:sz w:val="20"/>
                <w:szCs w:val="20"/>
              </w:rPr>
            </w:pPr>
            <w:r>
              <w:rPr>
                <w:rFonts w:ascii="仿宋_GB2312" w:eastAsia="仿宋_GB2312" w:cs="宋体"/>
                <w:sz w:val="20"/>
                <w:szCs w:val="20"/>
              </w:rPr>
              <w:t>预算完成率=（预算完成数/预算数）×100%。预算完成数：部门（单位）本年度实际完成的预算数；预算数：财政部门批复的本年度部门（单位）预算数。</w:t>
            </w:r>
          </w:p>
        </w:tc>
        <w:tc>
          <w:tcPr>
            <w:tcW w:w="617" w:type="dxa"/>
            <w:vAlign w:val="center"/>
          </w:tcPr>
          <w:p>
            <w:pPr>
              <w:jc w:val="center"/>
              <w:rPr>
                <w:rFonts w:hint="default"/>
                <w:highlight w:val="yellow"/>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tcPr>
          <w:p>
            <w:pPr>
              <w:rPr>
                <w:rFonts w:hint="default" w:ascii="仿宋_GB2312" w:eastAsia="仿宋_GB2312"/>
                <w:sz w:val="20"/>
                <w:szCs w:val="20"/>
              </w:rPr>
            </w:pPr>
          </w:p>
        </w:tc>
        <w:tc>
          <w:tcPr>
            <w:tcW w:w="429" w:type="dxa"/>
            <w:vMerge w:val="continue"/>
            <w:tcBorders>
              <w:right w:val="single" w:color="auto" w:sz="4" w:space="0"/>
            </w:tcBorders>
          </w:tcPr>
          <w:p>
            <w:pPr>
              <w:rPr>
                <w:rFonts w:hint="default" w:ascii="仿宋_GB2312" w:eastAsia="仿宋_GB2312"/>
                <w:sz w:val="20"/>
                <w:szCs w:val="20"/>
              </w:rPr>
            </w:pPr>
          </w:p>
        </w:tc>
        <w:tc>
          <w:tcPr>
            <w:tcW w:w="567" w:type="dxa"/>
            <w:vMerge w:val="continue"/>
            <w:tcBorders>
              <w:left w:val="single" w:color="auto" w:sz="4" w:space="0"/>
            </w:tcBorders>
          </w:tcPr>
          <w:p>
            <w:pPr>
              <w:jc w:val="cente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资金  结余</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jc w:val="center"/>
              <w:rPr>
                <w:rFonts w:hint="default" w:ascii="仿宋_GB2312" w:eastAsia="仿宋_GB2312"/>
                <w:sz w:val="20"/>
                <w:szCs w:val="20"/>
              </w:rPr>
            </w:pPr>
            <w:r>
              <w:rPr>
                <w:rFonts w:ascii="仿宋_GB2312" w:eastAsia="仿宋_GB2312" w:cs="宋体"/>
                <w:sz w:val="20"/>
                <w:szCs w:val="20"/>
              </w:rPr>
              <w:t>结余超过10%（不含），2分；结余在0-10%（含）的，1分；本年超支不得分。</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本项结余不含未完工项目资金的结转数。</w:t>
            </w: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tcPr>
          <w:p>
            <w:pPr>
              <w:rPr>
                <w:rFonts w:hint="default" w:ascii="仿宋_GB2312" w:eastAsia="仿宋_GB2312"/>
                <w:sz w:val="20"/>
                <w:szCs w:val="20"/>
              </w:rPr>
            </w:pPr>
          </w:p>
        </w:tc>
        <w:tc>
          <w:tcPr>
            <w:tcW w:w="429" w:type="dxa"/>
            <w:vMerge w:val="continue"/>
            <w:tcBorders>
              <w:right w:val="single" w:color="auto" w:sz="4" w:space="0"/>
            </w:tcBorders>
          </w:tcPr>
          <w:p>
            <w:pPr>
              <w:rPr>
                <w:rFonts w:hint="default" w:ascii="仿宋_GB2312" w:eastAsia="仿宋_GB2312"/>
                <w:sz w:val="20"/>
                <w:szCs w:val="20"/>
              </w:rPr>
            </w:pPr>
          </w:p>
        </w:tc>
        <w:tc>
          <w:tcPr>
            <w:tcW w:w="567" w:type="dxa"/>
            <w:vMerge w:val="continue"/>
            <w:tcBorders>
              <w:left w:val="single" w:color="auto" w:sz="4" w:space="0"/>
            </w:tcBorders>
          </w:tcPr>
          <w:p>
            <w:pPr>
              <w:jc w:val="cente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“三公经费”</w:t>
            </w:r>
            <w:r>
              <w:rPr>
                <w:rFonts w:ascii="仿宋_GB2312" w:eastAsia="仿宋_GB2312" w:cs="宋体"/>
                <w:sz w:val="20"/>
                <w:szCs w:val="20"/>
              </w:rPr>
              <w:br w:type="textWrapping"/>
            </w:r>
            <w:r>
              <w:rPr>
                <w:rFonts w:ascii="仿宋_GB2312" w:eastAsia="仿宋_GB2312" w:cs="宋体"/>
                <w:sz w:val="20"/>
                <w:szCs w:val="20"/>
              </w:rPr>
              <w:t>控制率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以100%为标准。三公经费控制率</w:t>
            </w:r>
            <w:r>
              <w:rPr>
                <w:rFonts w:ascii="仿宋_GB2312" w:hAnsi="Arial" w:eastAsia="仿宋_GB2312" w:cs="Arial"/>
                <w:sz w:val="20"/>
                <w:szCs w:val="20"/>
              </w:rPr>
              <w:t>≤</w:t>
            </w:r>
            <w:r>
              <w:rPr>
                <w:rFonts w:ascii="仿宋_GB2312" w:eastAsia="仿宋_GB2312" w:cs="宋体"/>
                <w:sz w:val="20"/>
                <w:szCs w:val="20"/>
              </w:rPr>
              <w:t>100%，计2分；每超过一个百分点扣0.2分，扣完为止。单位没有制定“三公”经费预算，该项不得分。</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“三公经费”控制率=（“三公经费”实际支出数/“三公经费”预算安排数）×100%。</w:t>
            </w: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Pr>
          <w:p>
            <w:pPr>
              <w:rPr>
                <w:rFonts w:hint="default" w:ascii="仿宋_GB2312" w:eastAsia="仿宋_GB2312"/>
                <w:sz w:val="20"/>
                <w:szCs w:val="20"/>
              </w:rPr>
            </w:pPr>
          </w:p>
        </w:tc>
        <w:tc>
          <w:tcPr>
            <w:tcW w:w="429" w:type="dxa"/>
            <w:vMerge w:val="continue"/>
            <w:tcBorders>
              <w:bottom w:val="single" w:color="auto" w:sz="4" w:space="0"/>
              <w:right w:val="single" w:color="auto" w:sz="4" w:space="0"/>
            </w:tcBorders>
          </w:tcPr>
          <w:p>
            <w:pPr>
              <w:rPr>
                <w:rFonts w:hint="default" w:ascii="仿宋_GB2312" w:eastAsia="仿宋_GB2312"/>
                <w:sz w:val="20"/>
                <w:szCs w:val="20"/>
              </w:rPr>
            </w:pPr>
          </w:p>
        </w:tc>
        <w:tc>
          <w:tcPr>
            <w:tcW w:w="567" w:type="dxa"/>
            <w:vMerge w:val="continue"/>
            <w:tcBorders>
              <w:left w:val="single" w:color="auto" w:sz="4" w:space="0"/>
              <w:bottom w:val="single" w:color="auto" w:sz="4" w:space="0"/>
            </w:tcBorders>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政府</w:t>
            </w:r>
          </w:p>
          <w:p>
            <w:pPr>
              <w:jc w:val="center"/>
              <w:rPr>
                <w:rFonts w:hint="default" w:ascii="仿宋_GB2312" w:eastAsia="仿宋_GB2312"/>
                <w:sz w:val="20"/>
                <w:szCs w:val="20"/>
              </w:rPr>
            </w:pPr>
            <w:r>
              <w:rPr>
                <w:rFonts w:ascii="仿宋_GB2312" w:eastAsia="仿宋_GB2312" w:cs="宋体"/>
                <w:sz w:val="20"/>
                <w:szCs w:val="20"/>
              </w:rPr>
              <w:t>采购</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rPr>
                <w:rFonts w:hint="default" w:ascii="仿宋_GB2312" w:eastAsia="仿宋_GB2312"/>
                <w:sz w:val="20"/>
                <w:szCs w:val="20"/>
              </w:rPr>
            </w:pPr>
            <w:r>
              <w:rPr>
                <w:rFonts w:ascii="仿宋" w:hAnsi="仿宋" w:eastAsia="仿宋" w:cs="宋体"/>
                <w:sz w:val="20"/>
                <w:szCs w:val="20"/>
              </w:rPr>
              <w:t>①编</w:t>
            </w:r>
            <w:r>
              <w:rPr>
                <w:rFonts w:ascii="仿宋_GB2312" w:eastAsia="仿宋_GB2312" w:cs="宋体"/>
                <w:sz w:val="20"/>
                <w:szCs w:val="20"/>
              </w:rPr>
              <w:t>制政府采购年度预算并上报的，0.5分；②追加并编制政府采购预算的，0.5分；</w:t>
            </w:r>
            <w:r>
              <w:rPr>
                <w:rFonts w:ascii="仿宋" w:hAnsi="仿宋" w:eastAsia="仿宋" w:cs="宋体"/>
                <w:sz w:val="20"/>
                <w:szCs w:val="20"/>
              </w:rPr>
              <w:t>③</w:t>
            </w:r>
            <w:r>
              <w:rPr>
                <w:rFonts w:ascii="仿宋_GB2312" w:eastAsia="仿宋_GB2312" w:cs="宋体"/>
                <w:sz w:val="20"/>
                <w:szCs w:val="20"/>
              </w:rPr>
              <w:t>政府采购执行率=100%，计1分；每少一个百分点扣0.1分，扣完为止。</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政府采购执行率=（实际实行政府采购金额/应实行政府采购金额）×100%。应实行政府采金额以《湘财购[2012]27号》文件为标准。</w:t>
            </w:r>
          </w:p>
        </w:tc>
        <w:tc>
          <w:tcPr>
            <w:tcW w:w="617" w:type="dxa"/>
            <w:vAlign w:val="center"/>
          </w:tcPr>
          <w:p>
            <w:pPr>
              <w:jc w:val="center"/>
              <w:rPr>
                <w:rFonts w:hint="default"/>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tcPr>
          <w:p>
            <w:pPr>
              <w:rPr>
                <w:rFonts w:hint="default" w:ascii="仿宋_GB2312" w:eastAsia="仿宋_GB2312"/>
                <w:sz w:val="20"/>
                <w:szCs w:val="20"/>
              </w:rPr>
            </w:pPr>
          </w:p>
        </w:tc>
        <w:tc>
          <w:tcPr>
            <w:tcW w:w="429" w:type="dxa"/>
            <w:vMerge w:val="restart"/>
            <w:tcBorders>
              <w:top w:val="single" w:color="auto" w:sz="4" w:space="0"/>
              <w:righ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预算管理</w:t>
            </w:r>
          </w:p>
        </w:tc>
        <w:tc>
          <w:tcPr>
            <w:tcW w:w="567" w:type="dxa"/>
            <w:vMerge w:val="restart"/>
            <w:tcBorders>
              <w:top w:val="single" w:color="auto" w:sz="4" w:space="0"/>
              <w:lef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28</w:t>
            </w:r>
          </w:p>
        </w:tc>
        <w:tc>
          <w:tcPr>
            <w:tcW w:w="851" w:type="dxa"/>
            <w:tcBorders>
              <w:top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管理  制度</w:t>
            </w:r>
            <w:r>
              <w:rPr>
                <w:rFonts w:ascii="仿宋_GB2312" w:eastAsia="仿宋_GB2312" w:cs="宋体"/>
                <w:sz w:val="20"/>
                <w:szCs w:val="20"/>
              </w:rPr>
              <w:br w:type="textWrapping"/>
            </w:r>
            <w:r>
              <w:rPr>
                <w:rFonts w:ascii="仿宋_GB2312" w:eastAsia="仿宋_GB2312" w:cs="宋体"/>
                <w:sz w:val="20"/>
                <w:szCs w:val="20"/>
              </w:rPr>
              <w:t>健全性</w:t>
            </w:r>
          </w:p>
        </w:tc>
        <w:tc>
          <w:tcPr>
            <w:tcW w:w="567" w:type="dxa"/>
            <w:tcBorders>
              <w:top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6</w:t>
            </w:r>
          </w:p>
          <w:p>
            <w:pPr>
              <w:jc w:val="center"/>
              <w:rPr>
                <w:rFonts w:hint="default" w:ascii="仿宋_GB2312" w:eastAsia="仿宋_GB2312"/>
                <w:sz w:val="20"/>
                <w:szCs w:val="20"/>
              </w:rPr>
            </w:pPr>
          </w:p>
        </w:tc>
        <w:tc>
          <w:tcPr>
            <w:tcW w:w="3118" w:type="dxa"/>
            <w:tcBorders>
              <w:top w:val="single" w:color="auto" w:sz="4" w:space="0"/>
            </w:tcBorders>
            <w:vAlign w:val="center"/>
          </w:tcPr>
          <w:p>
            <w:pPr>
              <w:rPr>
                <w:rFonts w:hint="default" w:ascii="仿宋_GB2312" w:eastAsia="仿宋_GB2312"/>
                <w:sz w:val="20"/>
                <w:szCs w:val="20"/>
              </w:rPr>
            </w:pPr>
            <w:r>
              <w:rPr>
                <w:rFonts w:ascii="仿宋_GB2312" w:eastAsia="仿宋_GB2312" w:cs="宋体"/>
                <w:sz w:val="20"/>
                <w:szCs w:val="20"/>
              </w:rPr>
              <w:t>①已制定资金管理办法、内部财务管理制度、会计核算制度等管理制度，1分；</w:t>
            </w:r>
            <w:r>
              <w:rPr>
                <w:rFonts w:ascii="仿宋_GB2312" w:eastAsia="仿宋_GB2312" w:cs="宋体"/>
                <w:sz w:val="20"/>
                <w:szCs w:val="20"/>
              </w:rPr>
              <w:br w:type="textWrapping"/>
            </w:r>
            <w:r>
              <w:rPr>
                <w:rFonts w:ascii="仿宋_GB2312" w:eastAsia="仿宋_GB2312" w:cs="宋体"/>
                <w:sz w:val="20"/>
                <w:szCs w:val="20"/>
              </w:rPr>
              <w:t>②建立健全单位内部控制制度，1分；</w:t>
            </w:r>
            <w:r>
              <w:rPr>
                <w:rFonts w:ascii="仿宋_GB2312" w:eastAsia="仿宋_GB2312" w:cs="宋体"/>
                <w:sz w:val="20"/>
                <w:szCs w:val="20"/>
              </w:rPr>
              <w:br w:type="textWrapping"/>
            </w:r>
            <w:r>
              <w:rPr>
                <w:rFonts w:ascii="仿宋_GB2312" w:eastAsia="仿宋_GB2312" w:cs="宋体"/>
                <w:sz w:val="20"/>
                <w:szCs w:val="20"/>
              </w:rPr>
              <w:t>③会计人员、机构按规定设置，1分；</w:t>
            </w:r>
          </w:p>
          <w:p>
            <w:pPr>
              <w:rPr>
                <w:rFonts w:hint="default" w:ascii="仿宋_GB2312" w:eastAsia="仿宋_GB2312"/>
                <w:sz w:val="20"/>
                <w:szCs w:val="20"/>
              </w:rPr>
            </w:pPr>
            <w:r>
              <w:rPr>
                <w:rFonts w:ascii="仿宋_GB2312" w:eastAsia="仿宋_GB2312" w:cs="宋体"/>
                <w:sz w:val="20"/>
                <w:szCs w:val="20"/>
              </w:rPr>
              <w:t>④会计基础工作健全，1分；</w:t>
            </w:r>
          </w:p>
          <w:p>
            <w:pPr>
              <w:rPr>
                <w:rFonts w:hint="default" w:ascii="仿宋_GB2312" w:eastAsia="仿宋_GB2312"/>
                <w:sz w:val="20"/>
                <w:szCs w:val="20"/>
              </w:rPr>
            </w:pPr>
            <w:r>
              <w:rPr>
                <w:rFonts w:ascii="仿宋_GB2312" w:eastAsia="仿宋_GB2312" w:cs="宋体"/>
                <w:sz w:val="20"/>
                <w:szCs w:val="20"/>
              </w:rPr>
              <w:t>⑤会计档案符合规定要求，1分；</w:t>
            </w:r>
          </w:p>
          <w:p>
            <w:pPr>
              <w:rPr>
                <w:rFonts w:hint="default" w:ascii="仿宋_GB2312" w:eastAsia="仿宋_GB2312"/>
                <w:sz w:val="20"/>
                <w:szCs w:val="20"/>
              </w:rPr>
            </w:pPr>
            <w:r>
              <w:rPr>
                <w:rFonts w:ascii="仿宋_GB2312" w:hAnsi="仿宋" w:eastAsia="仿宋_GB2312" w:cs="仿宋"/>
                <w:sz w:val="20"/>
                <w:szCs w:val="20"/>
              </w:rPr>
              <w:t>⑥项目管理规范（包括项目立项、申报、招投标、制度建立、按时完工等），1分，每发现少一项扣0.2分，扣完为止。</w:t>
            </w:r>
          </w:p>
        </w:tc>
        <w:tc>
          <w:tcPr>
            <w:tcW w:w="3472" w:type="dxa"/>
            <w:tcBorders>
              <w:top w:val="single" w:color="auto" w:sz="4" w:space="0"/>
            </w:tcBorders>
          </w:tcPr>
          <w:p>
            <w:pPr>
              <w:rPr>
                <w:rFonts w:hint="default" w:ascii="仿宋_GB2312" w:eastAsia="仿宋_GB2312"/>
                <w:sz w:val="20"/>
                <w:szCs w:val="20"/>
              </w:rPr>
            </w:pPr>
          </w:p>
        </w:tc>
        <w:tc>
          <w:tcPr>
            <w:tcW w:w="617" w:type="dxa"/>
            <w:tcBorders>
              <w:top w:val="single" w:color="auto" w:sz="4" w:space="0"/>
            </w:tcBorders>
            <w:vAlign w:val="center"/>
          </w:tcPr>
          <w:p>
            <w:pPr>
              <w:jc w:val="center"/>
              <w:rPr>
                <w:rFonts w:hint="default"/>
              </w:rPr>
            </w:pPr>
            <w:r>
              <w:rPr>
                <w:rFonts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tcPr>
          <w:p>
            <w:pPr>
              <w:rPr>
                <w:rFonts w:hint="default" w:ascii="仿宋_GB2312" w:eastAsia="仿宋_GB2312"/>
                <w:sz w:val="20"/>
                <w:szCs w:val="20"/>
              </w:rPr>
            </w:pPr>
          </w:p>
        </w:tc>
        <w:tc>
          <w:tcPr>
            <w:tcW w:w="429" w:type="dxa"/>
            <w:vMerge w:val="continue"/>
            <w:tcBorders>
              <w:top w:val="single" w:color="auto" w:sz="4" w:space="0"/>
              <w:right w:val="single" w:color="auto" w:sz="4" w:space="0"/>
            </w:tcBorders>
            <w:vAlign w:val="center"/>
          </w:tcPr>
          <w:p>
            <w:pPr>
              <w:jc w:val="center"/>
              <w:rPr>
                <w:rFonts w:hint="default" w:ascii="仿宋_GB2312" w:eastAsia="仿宋_GB2312"/>
                <w:sz w:val="20"/>
                <w:szCs w:val="20"/>
              </w:rPr>
            </w:pPr>
          </w:p>
        </w:tc>
        <w:tc>
          <w:tcPr>
            <w:tcW w:w="567" w:type="dxa"/>
            <w:vMerge w:val="continue"/>
            <w:tcBorders>
              <w:top w:val="single" w:color="auto" w:sz="4" w:space="0"/>
              <w:left w:val="single" w:color="auto" w:sz="4" w:space="0"/>
            </w:tcBorders>
            <w:vAlign w:val="center"/>
          </w:tcPr>
          <w:p>
            <w:pPr>
              <w:jc w:val="center"/>
              <w:rPr>
                <w:rFonts w:hint="default" w:ascii="仿宋_GB2312" w:eastAsia="仿宋_GB2312"/>
                <w:sz w:val="20"/>
                <w:szCs w:val="20"/>
              </w:rPr>
            </w:pPr>
          </w:p>
        </w:tc>
        <w:tc>
          <w:tcPr>
            <w:tcW w:w="851" w:type="dxa"/>
            <w:tcBorders>
              <w:top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内控制度情况</w:t>
            </w:r>
          </w:p>
        </w:tc>
        <w:tc>
          <w:tcPr>
            <w:tcW w:w="567" w:type="dxa"/>
            <w:tcBorders>
              <w:top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4分</w:t>
            </w:r>
          </w:p>
        </w:tc>
        <w:tc>
          <w:tcPr>
            <w:tcW w:w="3118" w:type="dxa"/>
            <w:tcBorders>
              <w:top w:val="single" w:color="auto" w:sz="4" w:space="0"/>
            </w:tcBorders>
            <w:vAlign w:val="center"/>
          </w:tcPr>
          <w:p>
            <w:pPr>
              <w:rPr>
                <w:rFonts w:hint="default" w:ascii="仿宋_GB2312" w:eastAsia="仿宋_GB2312"/>
                <w:sz w:val="20"/>
                <w:szCs w:val="20"/>
              </w:rPr>
            </w:pPr>
            <w:r>
              <w:rPr>
                <w:rFonts w:ascii="仿宋_GB2312" w:eastAsia="仿宋_GB2312" w:cs="宋体"/>
                <w:sz w:val="20"/>
                <w:szCs w:val="20"/>
              </w:rPr>
              <w:t>内部控制制度完全执行，4分，执行过程中，某个环节（节点）执行不到位的，每个环节（节点）扣1分，扣完为止。</w:t>
            </w:r>
          </w:p>
        </w:tc>
        <w:tc>
          <w:tcPr>
            <w:tcW w:w="3472" w:type="dxa"/>
            <w:tcBorders>
              <w:top w:val="single" w:color="auto" w:sz="4" w:space="0"/>
            </w:tcBorders>
          </w:tcPr>
          <w:p>
            <w:pPr>
              <w:rPr>
                <w:rFonts w:hint="default" w:ascii="仿宋_GB2312" w:eastAsia="仿宋_GB2312"/>
                <w:sz w:val="20"/>
                <w:szCs w:val="20"/>
              </w:rPr>
            </w:pPr>
          </w:p>
        </w:tc>
        <w:tc>
          <w:tcPr>
            <w:tcW w:w="617" w:type="dxa"/>
            <w:tcBorders>
              <w:top w:val="single" w:color="auto" w:sz="4" w:space="0"/>
            </w:tcBorders>
            <w:vAlign w:val="center"/>
          </w:tcPr>
          <w:p>
            <w:pPr>
              <w:jc w:val="center"/>
              <w:rPr>
                <w:rFonts w:hint="default"/>
              </w:rPr>
            </w:pPr>
            <w:r>
              <w:rPr>
                <w:rFonts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jc w:val="center"/>
              <w:rPr>
                <w:rFonts w:hint="default" w:ascii="仿宋_GB2312" w:eastAsia="仿宋_GB2312"/>
                <w:sz w:val="20"/>
                <w:szCs w:val="20"/>
              </w:rPr>
            </w:pPr>
            <w:r>
              <w:rPr>
                <w:rFonts w:ascii="仿宋_GB2312" w:eastAsia="仿宋_GB2312" w:cs="宋体"/>
                <w:sz w:val="20"/>
                <w:szCs w:val="20"/>
              </w:rPr>
              <w:t>过程</w:t>
            </w:r>
          </w:p>
        </w:tc>
        <w:tc>
          <w:tcPr>
            <w:tcW w:w="429" w:type="dxa"/>
            <w:vMerge w:val="continue"/>
            <w:tcBorders>
              <w:right w:val="single" w:color="auto" w:sz="4" w:space="0"/>
            </w:tcBorders>
            <w:vAlign w:val="center"/>
          </w:tcPr>
          <w:p>
            <w:pPr>
              <w:jc w:val="center"/>
              <w:rPr>
                <w:rFonts w:hint="default" w:ascii="仿宋_GB2312" w:eastAsia="仿宋_GB2312"/>
                <w:sz w:val="20"/>
                <w:szCs w:val="20"/>
              </w:rPr>
            </w:pPr>
          </w:p>
        </w:tc>
        <w:tc>
          <w:tcPr>
            <w:tcW w:w="567" w:type="dxa"/>
            <w:vMerge w:val="continue"/>
            <w:tcBorders>
              <w:left w:val="single" w:color="auto" w:sz="4" w:space="0"/>
            </w:tcBorders>
            <w:vAlign w:val="center"/>
          </w:tcPr>
          <w:p>
            <w:pPr>
              <w:jc w:val="cente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资金  使用</w:t>
            </w:r>
            <w:r>
              <w:rPr>
                <w:rFonts w:ascii="仿宋_GB2312" w:eastAsia="仿宋_GB2312" w:cs="宋体"/>
                <w:sz w:val="20"/>
                <w:szCs w:val="20"/>
              </w:rPr>
              <w:br w:type="textWrapping"/>
            </w:r>
            <w:r>
              <w:rPr>
                <w:rFonts w:ascii="仿宋_GB2312" w:eastAsia="仿宋_GB2312" w:cs="宋体"/>
                <w:sz w:val="20"/>
                <w:szCs w:val="20"/>
              </w:rPr>
              <w:t>合规性</w:t>
            </w:r>
          </w:p>
        </w:tc>
        <w:tc>
          <w:tcPr>
            <w:tcW w:w="567" w:type="dxa"/>
            <w:vAlign w:val="center"/>
          </w:tcPr>
          <w:p>
            <w:pPr>
              <w:rPr>
                <w:rFonts w:hint="default" w:ascii="仿宋_GB2312" w:eastAsia="仿宋_GB2312"/>
                <w:sz w:val="20"/>
                <w:szCs w:val="20"/>
              </w:rPr>
            </w:pPr>
            <w:r>
              <w:rPr>
                <w:rFonts w:ascii="仿宋_GB2312" w:eastAsia="仿宋_GB2312" w:cs="宋体"/>
                <w:sz w:val="20"/>
                <w:szCs w:val="20"/>
              </w:rPr>
              <w:t>14</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①支出符合国家财经法规和财务管理制度规定以及有关专项资金管理办法的规定；</w:t>
            </w:r>
            <w:r>
              <w:rPr>
                <w:rFonts w:ascii="仿宋_GB2312" w:eastAsia="仿宋_GB2312" w:cs="宋体"/>
                <w:sz w:val="20"/>
                <w:szCs w:val="20"/>
              </w:rPr>
              <w:br w:type="textWrapping"/>
            </w:r>
            <w:r>
              <w:rPr>
                <w:rFonts w:ascii="仿宋_GB2312" w:eastAsia="仿宋_GB2312" w:cs="宋体"/>
                <w:sz w:val="20"/>
                <w:szCs w:val="20"/>
              </w:rPr>
              <w:t>②资金（开支）拨付有完整的审批程序和手续；</w:t>
            </w:r>
            <w:r>
              <w:rPr>
                <w:rFonts w:ascii="仿宋_GB2312" w:eastAsia="仿宋_GB2312" w:cs="宋体"/>
                <w:sz w:val="20"/>
                <w:szCs w:val="20"/>
              </w:rPr>
              <w:br w:type="textWrapping"/>
            </w:r>
            <w:r>
              <w:rPr>
                <w:rFonts w:ascii="仿宋_GB2312" w:eastAsia="仿宋_GB2312" w:cs="宋体"/>
                <w:sz w:val="20"/>
                <w:szCs w:val="20"/>
              </w:rPr>
              <w:t>③支出符合部门预算批复的用途；</w:t>
            </w:r>
            <w:r>
              <w:rPr>
                <w:rFonts w:ascii="仿宋_GB2312" w:eastAsia="仿宋_GB2312" w:cs="宋体"/>
                <w:sz w:val="20"/>
                <w:szCs w:val="20"/>
              </w:rPr>
              <w:br w:type="textWrapping"/>
            </w:r>
            <w:r>
              <w:rPr>
                <w:rFonts w:ascii="仿宋_GB2312" w:eastAsia="仿宋_GB2312" w:cs="宋体"/>
                <w:sz w:val="20"/>
                <w:szCs w:val="20"/>
              </w:rPr>
              <w:t>④资金使用无截留、挤占、挪用、虚列支出、随意借用、大额现金支付等情况。</w:t>
            </w:r>
          </w:p>
          <w:p>
            <w:pPr>
              <w:rPr>
                <w:rFonts w:hint="default" w:ascii="仿宋_GB2312" w:hAnsi="仿宋" w:eastAsia="仿宋_GB2312" w:cs="仿宋"/>
                <w:sz w:val="20"/>
                <w:szCs w:val="20"/>
              </w:rPr>
            </w:pPr>
            <w:r>
              <w:rPr>
                <w:rFonts w:ascii="仿宋_GB2312" w:hAnsi="微软雅黑" w:eastAsia="仿宋_GB2312" w:cs="微软雅黑"/>
                <w:sz w:val="20"/>
                <w:szCs w:val="20"/>
              </w:rPr>
              <w:t>⑤</w:t>
            </w:r>
            <w:r>
              <w:rPr>
                <w:rFonts w:ascii="仿宋_GB2312" w:hAnsi="仿宋" w:eastAsia="仿宋_GB2312" w:cs="仿宋"/>
                <w:sz w:val="20"/>
                <w:szCs w:val="20"/>
              </w:rPr>
              <w:t>重大财务事项经由集体研究决策；</w:t>
            </w:r>
          </w:p>
          <w:p>
            <w:pPr>
              <w:rPr>
                <w:rFonts w:hint="default" w:ascii="仿宋_GB2312" w:hAnsi="仿宋" w:eastAsia="仿宋_GB2312" w:cs="仿宋"/>
                <w:sz w:val="20"/>
                <w:szCs w:val="20"/>
              </w:rPr>
            </w:pPr>
            <w:r>
              <w:rPr>
                <w:rFonts w:ascii="仿宋_GB2312" w:hAnsi="微软雅黑" w:eastAsia="仿宋_GB2312" w:cs="微软雅黑"/>
                <w:sz w:val="20"/>
                <w:szCs w:val="20"/>
              </w:rPr>
              <w:t>⑥</w:t>
            </w:r>
            <w:r>
              <w:rPr>
                <w:rFonts w:ascii="仿宋_GB2312" w:hAnsi="仿宋" w:eastAsia="仿宋_GB2312" w:cs="仿宋"/>
                <w:sz w:val="20"/>
                <w:szCs w:val="20"/>
              </w:rPr>
              <w:t>专项资金做到专款专用；</w:t>
            </w:r>
          </w:p>
          <w:p>
            <w:pPr>
              <w:rPr>
                <w:rFonts w:hint="default" w:ascii="仿宋_GB2312" w:hAnsi="仿宋" w:eastAsia="仿宋_GB2312" w:cs="仿宋"/>
                <w:sz w:val="20"/>
                <w:szCs w:val="20"/>
              </w:rPr>
            </w:pPr>
            <w:r>
              <w:rPr>
                <w:rFonts w:ascii="仿宋_GB2312" w:hAnsi="微软雅黑" w:eastAsia="仿宋_GB2312" w:cs="微软雅黑"/>
                <w:sz w:val="20"/>
                <w:szCs w:val="20"/>
              </w:rPr>
              <w:t>⑦</w:t>
            </w:r>
            <w:r>
              <w:rPr>
                <w:rFonts w:ascii="仿宋_GB2312" w:hAnsi="仿宋" w:eastAsia="仿宋_GB2312" w:cs="仿宋"/>
                <w:sz w:val="20"/>
                <w:szCs w:val="20"/>
              </w:rPr>
              <w:t>原始凭证的取得真实有效；</w:t>
            </w:r>
          </w:p>
          <w:p>
            <w:pPr>
              <w:rPr>
                <w:rFonts w:hint="default" w:ascii="仿宋_GB2312" w:hAnsi="仿宋" w:eastAsia="仿宋_GB2312" w:cs="仿宋"/>
                <w:sz w:val="20"/>
                <w:szCs w:val="20"/>
              </w:rPr>
            </w:pPr>
            <w:r>
              <w:rPr>
                <w:rFonts w:ascii="仿宋_GB2312" w:hAnsi="微软雅黑" w:eastAsia="仿宋_GB2312" w:cs="微软雅黑"/>
                <w:sz w:val="20"/>
                <w:szCs w:val="20"/>
              </w:rPr>
              <w:t>⑧</w:t>
            </w:r>
            <w:r>
              <w:rPr>
                <w:rFonts w:ascii="仿宋_GB2312" w:hAnsi="仿宋" w:eastAsia="仿宋_GB2312" w:cs="仿宋"/>
                <w:sz w:val="20"/>
                <w:szCs w:val="20"/>
              </w:rPr>
              <w:t>无超范围、超预算开支；</w:t>
            </w:r>
          </w:p>
          <w:p>
            <w:pPr>
              <w:rPr>
                <w:rFonts w:hint="default" w:ascii="仿宋_GB2312" w:eastAsia="仿宋_GB2312"/>
                <w:sz w:val="20"/>
                <w:szCs w:val="20"/>
              </w:rPr>
            </w:pPr>
            <w:r>
              <w:rPr>
                <w:rFonts w:ascii="仿宋" w:hAnsi="仿宋" w:eastAsia="仿宋" w:cs="仿宋"/>
                <w:sz w:val="20"/>
                <w:szCs w:val="20"/>
              </w:rPr>
              <w:t>⑨</w:t>
            </w:r>
            <w:r>
              <w:rPr>
                <w:rFonts w:ascii="仿宋_GB2312" w:hAnsi="仿宋" w:eastAsia="仿宋_GB2312" w:cs="仿宋"/>
                <w:sz w:val="20"/>
                <w:szCs w:val="20"/>
              </w:rPr>
              <w:t>无超标准发放津补贴、奖金，无用公款支付应由个人支付的款项。</w:t>
            </w:r>
            <w:r>
              <w:rPr>
                <w:rFonts w:ascii="仿宋_GB2312" w:hAnsi="仿宋" w:eastAsia="仿宋_GB2312" w:cs="仿宋"/>
                <w:sz w:val="20"/>
                <w:szCs w:val="20"/>
              </w:rPr>
              <w:br w:type="textWrapping"/>
            </w:r>
            <w:r>
              <w:rPr>
                <w:rFonts w:ascii="仿宋_GB2312" w:hAnsi="仿宋" w:eastAsia="仿宋_GB2312" w:cs="仿宋"/>
                <w:sz w:val="20"/>
                <w:szCs w:val="20"/>
              </w:rPr>
              <w:t>以上情况每出现一例不</w:t>
            </w:r>
            <w:r>
              <w:rPr>
                <w:rFonts w:ascii="仿宋_GB2312" w:eastAsia="仿宋_GB2312" w:cs="宋体"/>
                <w:sz w:val="20"/>
                <w:szCs w:val="20"/>
              </w:rPr>
              <w:t>符合要求的扣2分，扣完为止。</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部门（单位）使用预算资金是否符合相关的预算财务管理制度的规定，用以反映和考核部门（单位）预算资金的规范运行情况。</w:t>
            </w:r>
          </w:p>
        </w:tc>
        <w:tc>
          <w:tcPr>
            <w:tcW w:w="617" w:type="dxa"/>
            <w:vAlign w:val="center"/>
          </w:tcPr>
          <w:p>
            <w:pPr>
              <w:jc w:val="center"/>
              <w:rPr>
                <w:rFonts w:hint="default"/>
              </w:rPr>
            </w:pPr>
            <w:r>
              <w:rPr>
                <w:rFonts w:cs="宋体"/>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tcPr>
          <w:p>
            <w:pPr>
              <w:rPr>
                <w:rFonts w:hint="default" w:ascii="仿宋_GB2312" w:eastAsia="仿宋_GB2312"/>
                <w:sz w:val="20"/>
                <w:szCs w:val="20"/>
              </w:rPr>
            </w:pPr>
          </w:p>
        </w:tc>
        <w:tc>
          <w:tcPr>
            <w:tcW w:w="429" w:type="dxa"/>
            <w:vMerge w:val="continue"/>
            <w:tcBorders>
              <w:bottom w:val="single" w:color="auto" w:sz="4" w:space="0"/>
              <w:right w:val="single" w:color="auto" w:sz="4" w:space="0"/>
            </w:tcBorders>
          </w:tcPr>
          <w:p>
            <w:pPr>
              <w:rPr>
                <w:rFonts w:hint="default" w:ascii="仿宋_GB2312" w:eastAsia="仿宋_GB2312"/>
                <w:sz w:val="20"/>
                <w:szCs w:val="20"/>
              </w:rPr>
            </w:pPr>
          </w:p>
        </w:tc>
        <w:tc>
          <w:tcPr>
            <w:tcW w:w="567" w:type="dxa"/>
            <w:vMerge w:val="continue"/>
            <w:tcBorders>
              <w:left w:val="single" w:color="auto" w:sz="4" w:space="0"/>
              <w:bottom w:val="single" w:color="auto" w:sz="4" w:space="0"/>
            </w:tcBorders>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预决算信息公开性和完善性</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4</w:t>
            </w:r>
          </w:p>
        </w:tc>
        <w:tc>
          <w:tcPr>
            <w:tcW w:w="3118" w:type="dxa"/>
          </w:tcPr>
          <w:p>
            <w:pPr>
              <w:rPr>
                <w:rFonts w:hint="default" w:ascii="仿宋_GB2312" w:eastAsia="仿宋_GB2312"/>
                <w:sz w:val="20"/>
                <w:szCs w:val="20"/>
              </w:rPr>
            </w:pPr>
            <w:r>
              <w:rPr>
                <w:rFonts w:ascii="仿宋_GB2312" w:eastAsia="仿宋_GB2312" w:cs="宋体"/>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预决算信息是指与部门预算、执行、决算、监督、绩效等管理相关的信息。</w:t>
            </w:r>
          </w:p>
        </w:tc>
        <w:tc>
          <w:tcPr>
            <w:tcW w:w="617" w:type="dxa"/>
            <w:vAlign w:val="center"/>
          </w:tcPr>
          <w:p>
            <w:pPr>
              <w:jc w:val="center"/>
              <w:rPr>
                <w:rFonts w:hint="default"/>
              </w:rPr>
            </w:pPr>
            <w:r>
              <w:rPr>
                <w:rFonts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rPr>
                <w:rFonts w:hint="default" w:ascii="仿宋_GB2312" w:eastAsia="仿宋_GB2312"/>
                <w:sz w:val="20"/>
                <w:szCs w:val="20"/>
              </w:rPr>
            </w:pPr>
          </w:p>
        </w:tc>
        <w:tc>
          <w:tcPr>
            <w:tcW w:w="429" w:type="dxa"/>
            <w:vMerge w:val="restart"/>
            <w:tcBorders>
              <w:top w:val="single" w:color="auto" w:sz="4" w:space="0"/>
              <w:bottom w:val="single" w:color="auto" w:sz="4" w:space="0"/>
              <w:righ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20</w:t>
            </w: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管理  制度</w:t>
            </w:r>
            <w:r>
              <w:rPr>
                <w:rFonts w:ascii="仿宋_GB2312" w:eastAsia="仿宋_GB2312" w:cs="宋体"/>
                <w:sz w:val="20"/>
                <w:szCs w:val="20"/>
              </w:rPr>
              <w:br w:type="textWrapping"/>
            </w:r>
            <w:r>
              <w:rPr>
                <w:rFonts w:ascii="仿宋_GB2312" w:eastAsia="仿宋_GB2312" w:cs="宋体"/>
                <w:sz w:val="20"/>
                <w:szCs w:val="20"/>
              </w:rPr>
              <w:t>健全性</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①已制定资产管理制度，1分；</w:t>
            </w:r>
            <w:r>
              <w:rPr>
                <w:rFonts w:ascii="仿宋_GB2312" w:eastAsia="仿宋_GB2312" w:cs="宋体"/>
                <w:sz w:val="20"/>
                <w:szCs w:val="20"/>
              </w:rPr>
              <w:br w:type="textWrapping"/>
            </w:r>
            <w:r>
              <w:rPr>
                <w:rFonts w:ascii="仿宋_GB2312" w:eastAsia="仿宋_GB2312" w:cs="宋体"/>
                <w:sz w:val="20"/>
                <w:szCs w:val="20"/>
              </w:rPr>
              <w:t xml:space="preserve">②相关资产管理制度得到有效执行，1分。                                           </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rPr>
                <w:rFonts w:hint="default" w:ascii="仿宋_GB2312" w:eastAsia="仿宋_GB2312"/>
                <w:sz w:val="20"/>
                <w:szCs w:val="20"/>
              </w:rPr>
            </w:pPr>
          </w:p>
        </w:tc>
        <w:tc>
          <w:tcPr>
            <w:tcW w:w="429" w:type="dxa"/>
            <w:vMerge w:val="continue"/>
            <w:tcBorders>
              <w:top w:val="single" w:color="auto" w:sz="4" w:space="0"/>
              <w:bottom w:val="single" w:color="auto" w:sz="4" w:space="0"/>
              <w:right w:val="single" w:color="auto" w:sz="4" w:space="0"/>
            </w:tcBorders>
          </w:tcPr>
          <w:p>
            <w:pPr>
              <w:rPr>
                <w:rFonts w:hint="default" w:ascii="仿宋_GB2312" w:eastAsia="仿宋_GB2312"/>
                <w:sz w:val="20"/>
                <w:szCs w:val="20"/>
              </w:rPr>
            </w:pPr>
          </w:p>
        </w:tc>
        <w:tc>
          <w:tcPr>
            <w:tcW w:w="567" w:type="dxa"/>
            <w:vMerge w:val="continue"/>
            <w:tcBorders>
              <w:top w:val="single" w:color="auto" w:sz="4" w:space="0"/>
              <w:left w:val="single" w:color="auto" w:sz="4" w:space="0"/>
              <w:bottom w:val="single" w:color="auto" w:sz="4" w:space="0"/>
            </w:tcBorders>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资产  管理</w:t>
            </w:r>
            <w:r>
              <w:rPr>
                <w:rFonts w:ascii="仿宋_GB2312" w:eastAsia="仿宋_GB2312" w:cs="宋体"/>
                <w:sz w:val="20"/>
                <w:szCs w:val="20"/>
              </w:rPr>
              <w:br w:type="textWrapping"/>
            </w:r>
            <w:r>
              <w:rPr>
                <w:rFonts w:ascii="仿宋_GB2312" w:eastAsia="仿宋_GB2312" w:cs="宋体"/>
                <w:sz w:val="20"/>
                <w:szCs w:val="20"/>
              </w:rPr>
              <w:t>安全性</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16</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 xml:space="preserve">①资产保存完整；②资产配置合理；③资产处置规范； </w:t>
            </w:r>
            <w:r>
              <w:rPr>
                <w:rFonts w:ascii="仿宋_GB2312" w:eastAsia="仿宋_GB2312" w:cs="宋体"/>
                <w:sz w:val="20"/>
                <w:szCs w:val="20"/>
              </w:rPr>
              <w:br w:type="textWrapping"/>
            </w:r>
            <w:r>
              <w:rPr>
                <w:rFonts w:ascii="仿宋_GB2312" w:eastAsia="仿宋_GB2312" w:cs="宋体"/>
                <w:sz w:val="20"/>
                <w:szCs w:val="20"/>
              </w:rPr>
              <w:t>④资产账务管理合规，帐实帐卡、账账、账表（决算报表等）相符；⑤资产有偿使用及处置收入及时足额上缴；</w:t>
            </w:r>
            <w:r>
              <w:rPr>
                <w:rFonts w:ascii="仿宋_GB2312" w:hAnsi="仿宋" w:eastAsia="仿宋_GB2312" w:cs="仿宋"/>
                <w:sz w:val="20"/>
                <w:szCs w:val="20"/>
              </w:rPr>
              <w:t>⑥清查盘点：每年至少清查盘点一次；⑦产权明晰，权证齐全</w:t>
            </w:r>
            <w:r>
              <w:rPr>
                <w:rFonts w:ascii="仿宋_GB2312" w:eastAsia="仿宋_GB2312" w:cs="宋体"/>
                <w:sz w:val="20"/>
                <w:szCs w:val="20"/>
              </w:rPr>
              <w:t>；⑧按标准购置固定资产。</w:t>
            </w:r>
            <w:r>
              <w:rPr>
                <w:rFonts w:ascii="仿宋_GB2312" w:eastAsia="仿宋_GB2312" w:cs="宋体"/>
                <w:sz w:val="20"/>
                <w:szCs w:val="20"/>
              </w:rPr>
              <w:br w:type="textWrapping"/>
            </w:r>
            <w:r>
              <w:rPr>
                <w:rFonts w:ascii="仿宋_GB2312" w:eastAsia="仿宋_GB2312" w:cs="宋体"/>
                <w:sz w:val="20"/>
                <w:szCs w:val="20"/>
              </w:rPr>
              <w:t>以上情况每出现一例不符合要求的扣2分；⑨未按时报送2018年行政事业单位资产报表的，每延迟一天，扣1分，扣完为止。</w:t>
            </w:r>
          </w:p>
        </w:tc>
        <w:tc>
          <w:tcPr>
            <w:tcW w:w="3472" w:type="dxa"/>
            <w:vAlign w:val="center"/>
          </w:tcPr>
          <w:p>
            <w:pPr>
              <w:rPr>
                <w:rFonts w:hint="default" w:ascii="仿宋_GB2312" w:eastAsia="仿宋_GB2312"/>
                <w:sz w:val="20"/>
                <w:szCs w:val="20"/>
              </w:rPr>
            </w:pPr>
            <w:r>
              <w:rPr>
                <w:rFonts w:ascii="仿宋_GB2312" w:eastAsia="仿宋_GB2312" w:cs="宋体"/>
                <w:sz w:val="20"/>
                <w:szCs w:val="20"/>
              </w:rPr>
              <w:t>部门（单位）的资产是否保存完整，使用合规、配置合理、处置规范、收入及时足额上缴，用以反映和考核部门（单位）资产安全运行情况。</w:t>
            </w: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rPr>
                <w:rFonts w:hint="default" w:ascii="仿宋_GB2312" w:eastAsia="仿宋_GB2312"/>
                <w:sz w:val="20"/>
                <w:szCs w:val="20"/>
              </w:rPr>
            </w:pPr>
          </w:p>
        </w:tc>
        <w:tc>
          <w:tcPr>
            <w:tcW w:w="429" w:type="dxa"/>
            <w:vMerge w:val="continue"/>
            <w:tcBorders>
              <w:top w:val="single" w:color="auto" w:sz="4" w:space="0"/>
              <w:bottom w:val="single" w:color="auto" w:sz="4" w:space="0"/>
              <w:right w:val="single" w:color="auto" w:sz="4" w:space="0"/>
            </w:tcBorders>
          </w:tcPr>
          <w:p>
            <w:pPr>
              <w:rPr>
                <w:rFonts w:hint="default" w:ascii="仿宋_GB2312" w:eastAsia="仿宋_GB2312"/>
                <w:sz w:val="20"/>
                <w:szCs w:val="20"/>
              </w:rPr>
            </w:pPr>
          </w:p>
        </w:tc>
        <w:tc>
          <w:tcPr>
            <w:tcW w:w="567" w:type="dxa"/>
            <w:vMerge w:val="continue"/>
            <w:tcBorders>
              <w:top w:val="single" w:color="auto" w:sz="4" w:space="0"/>
              <w:left w:val="single" w:color="auto" w:sz="4" w:space="0"/>
              <w:bottom w:val="single" w:color="auto" w:sz="4" w:space="0"/>
            </w:tcBorders>
          </w:tcPr>
          <w:p>
            <w:pPr>
              <w:rPr>
                <w:rFonts w:hint="default" w:ascii="仿宋_GB2312" w:eastAsia="仿宋_GB2312"/>
                <w:sz w:val="20"/>
                <w:szCs w:val="20"/>
              </w:rPr>
            </w:pPr>
          </w:p>
        </w:tc>
        <w:tc>
          <w:tcPr>
            <w:tcW w:w="851" w:type="dxa"/>
          </w:tcPr>
          <w:p>
            <w:pPr>
              <w:jc w:val="center"/>
              <w:rPr>
                <w:rFonts w:hint="default" w:ascii="仿宋_GB2312" w:eastAsia="仿宋_GB2312"/>
                <w:sz w:val="20"/>
                <w:szCs w:val="20"/>
              </w:rPr>
            </w:pPr>
            <w:r>
              <w:rPr>
                <w:rFonts w:ascii="仿宋_GB2312" w:eastAsia="仿宋_GB2312" w:cs="宋体"/>
                <w:sz w:val="20"/>
                <w:szCs w:val="20"/>
              </w:rPr>
              <w:t>固定  资产</w:t>
            </w:r>
            <w:r>
              <w:rPr>
                <w:rFonts w:ascii="仿宋_GB2312" w:eastAsia="仿宋_GB2312" w:cs="宋体"/>
                <w:sz w:val="20"/>
                <w:szCs w:val="20"/>
              </w:rPr>
              <w:br w:type="textWrapping"/>
            </w:r>
            <w:r>
              <w:rPr>
                <w:rFonts w:ascii="仿宋_GB2312" w:eastAsia="仿宋_GB2312" w:cs="宋体"/>
                <w:sz w:val="20"/>
                <w:szCs w:val="20"/>
              </w:rPr>
              <w:t>利用率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tcPr>
          <w:p>
            <w:pPr>
              <w:rPr>
                <w:rFonts w:hint="default" w:ascii="仿宋_GB2312" w:eastAsia="仿宋_GB2312"/>
                <w:sz w:val="20"/>
                <w:szCs w:val="20"/>
              </w:rPr>
            </w:pPr>
            <w:r>
              <w:rPr>
                <w:rFonts w:ascii="仿宋_GB2312" w:eastAsia="仿宋_GB2312" w:cs="宋体"/>
                <w:sz w:val="20"/>
                <w:szCs w:val="20"/>
              </w:rPr>
              <w:t>固定资产利用率,100%,2分,每低于一个百分点扣0.2分，扣完为止。</w:t>
            </w:r>
          </w:p>
        </w:tc>
        <w:tc>
          <w:tcPr>
            <w:tcW w:w="3472" w:type="dxa"/>
          </w:tcPr>
          <w:p>
            <w:pPr>
              <w:rPr>
                <w:rFonts w:hint="default" w:ascii="仿宋_GB2312" w:eastAsia="仿宋_GB2312"/>
                <w:sz w:val="20"/>
                <w:szCs w:val="20"/>
              </w:rPr>
            </w:pPr>
            <w:r>
              <w:rPr>
                <w:rFonts w:ascii="仿宋_GB2312" w:eastAsia="仿宋_GB2312" w:cs="宋体"/>
                <w:sz w:val="20"/>
                <w:szCs w:val="20"/>
              </w:rPr>
              <w:t>固定资产利用率=（实际在用固定资产总额/所有固定资产总额）×100%</w:t>
            </w: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rPr>
                <w:rFonts w:hint="default" w:ascii="仿宋_GB2312" w:eastAsia="仿宋_GB2312"/>
                <w:sz w:val="20"/>
                <w:szCs w:val="20"/>
              </w:rPr>
            </w:pPr>
          </w:p>
        </w:tc>
        <w:tc>
          <w:tcPr>
            <w:tcW w:w="429" w:type="dxa"/>
            <w:vMerge w:val="restart"/>
            <w:tcBorders>
              <w:righ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绩效管理</w:t>
            </w:r>
          </w:p>
        </w:tc>
        <w:tc>
          <w:tcPr>
            <w:tcW w:w="567" w:type="dxa"/>
            <w:vMerge w:val="restart"/>
            <w:tcBorders>
              <w:top w:val="single" w:color="auto" w:sz="4" w:space="0"/>
              <w:lef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17</w:t>
            </w: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目标 管理</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8</w:t>
            </w:r>
          </w:p>
        </w:tc>
        <w:tc>
          <w:tcPr>
            <w:tcW w:w="3118" w:type="dxa"/>
            <w:vAlign w:val="center"/>
          </w:tcPr>
          <w:p>
            <w:pPr>
              <w:rPr>
                <w:rFonts w:hint="default" w:ascii="仿宋_GB2312" w:eastAsia="仿宋_GB2312"/>
                <w:sz w:val="20"/>
                <w:szCs w:val="20"/>
              </w:rPr>
            </w:pPr>
            <w:r>
              <w:rPr>
                <w:rFonts w:ascii="仿宋_GB2312" w:eastAsia="仿宋_GB2312" w:cs="宋体"/>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vAlign w:val="center"/>
          </w:tcPr>
          <w:p>
            <w:pPr>
              <w:rPr>
                <w:rFonts w:hint="default" w:ascii="仿宋_GB2312" w:eastAsia="仿宋_GB2312"/>
                <w:sz w:val="20"/>
                <w:szCs w:val="20"/>
              </w:rPr>
            </w:pP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rPr>
                <w:rFonts w:hint="default" w:ascii="仿宋_GB2312" w:eastAsia="仿宋_GB2312"/>
                <w:sz w:val="20"/>
                <w:szCs w:val="20"/>
              </w:rPr>
            </w:pPr>
          </w:p>
        </w:tc>
        <w:tc>
          <w:tcPr>
            <w:tcW w:w="429" w:type="dxa"/>
            <w:vMerge w:val="continue"/>
            <w:tcBorders>
              <w:bottom w:val="single" w:color="auto" w:sz="4" w:space="0"/>
              <w:right w:val="single" w:color="auto" w:sz="4" w:space="0"/>
            </w:tcBorders>
          </w:tcPr>
          <w:p>
            <w:pPr>
              <w:rPr>
                <w:rFonts w:hint="default" w:ascii="仿宋_GB2312" w:eastAsia="仿宋_GB2312"/>
                <w:sz w:val="20"/>
                <w:szCs w:val="20"/>
              </w:rPr>
            </w:pPr>
          </w:p>
        </w:tc>
        <w:tc>
          <w:tcPr>
            <w:tcW w:w="567" w:type="dxa"/>
            <w:vMerge w:val="continue"/>
            <w:tcBorders>
              <w:left w:val="single" w:color="auto" w:sz="4" w:space="0"/>
              <w:bottom w:val="single" w:color="auto" w:sz="4" w:space="0"/>
            </w:tcBorders>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绩效 评价</w:t>
            </w:r>
          </w:p>
          <w:p>
            <w:pPr>
              <w:jc w:val="center"/>
              <w:rPr>
                <w:rFonts w:hint="default" w:ascii="仿宋_GB2312" w:eastAsia="仿宋_GB2312"/>
                <w:sz w:val="20"/>
                <w:szCs w:val="20"/>
              </w:rPr>
            </w:pPr>
            <w:r>
              <w:rPr>
                <w:rFonts w:ascii="仿宋_GB2312" w:eastAsia="仿宋_GB2312" w:cs="宋体"/>
                <w:sz w:val="20"/>
                <w:szCs w:val="20"/>
              </w:rPr>
              <w:t>管理</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7</w:t>
            </w:r>
          </w:p>
        </w:tc>
        <w:tc>
          <w:tcPr>
            <w:tcW w:w="3118" w:type="dxa"/>
            <w:vAlign w:val="center"/>
          </w:tcPr>
          <w:p>
            <w:pPr>
              <w:jc w:val="center"/>
              <w:rPr>
                <w:rFonts w:hint="default" w:ascii="仿宋_GB2312" w:eastAsia="仿宋_GB2312"/>
                <w:sz w:val="20"/>
                <w:szCs w:val="20"/>
              </w:rPr>
            </w:pPr>
            <w:r>
              <w:rPr>
                <w:rFonts w:ascii="仿宋" w:hAnsi="仿宋" w:eastAsia="仿宋" w:cs="宋体"/>
                <w:sz w:val="20"/>
                <w:szCs w:val="20"/>
              </w:rPr>
              <w:t>①</w:t>
            </w:r>
            <w:r>
              <w:rPr>
                <w:rFonts w:ascii="仿宋_GB2312" w:eastAsia="仿宋_GB2312" w:cs="宋体"/>
                <w:sz w:val="20"/>
                <w:szCs w:val="20"/>
              </w:rPr>
              <w:t>开展2019年度专项资金绩效自评的，2分，每少一个专项资金的自评扣1分，扣完为止；</w:t>
            </w:r>
            <w:r>
              <w:rPr>
                <w:rFonts w:ascii="仿宋" w:hAnsi="仿宋" w:eastAsia="仿宋" w:cs="宋体"/>
                <w:sz w:val="20"/>
                <w:szCs w:val="20"/>
              </w:rPr>
              <w:t>②</w:t>
            </w:r>
            <w:r>
              <w:rPr>
                <w:rFonts w:ascii="仿宋_GB2312" w:eastAsia="仿宋_GB2312" w:cs="宋体"/>
                <w:sz w:val="20"/>
                <w:szCs w:val="20"/>
              </w:rPr>
              <w:t>开展2019年度已完工项目绩效自评的，2分，每少一个项目扣1分，扣完为止；</w:t>
            </w:r>
            <w:r>
              <w:rPr>
                <w:rFonts w:ascii="仿宋" w:hAnsi="仿宋" w:eastAsia="仿宋" w:cs="宋体"/>
                <w:sz w:val="20"/>
                <w:szCs w:val="20"/>
              </w:rPr>
              <w:t>③</w:t>
            </w:r>
            <w:r>
              <w:rPr>
                <w:rFonts w:ascii="仿宋_GB2312" w:eastAsia="仿宋_GB2312" w:cs="宋体"/>
                <w:sz w:val="20"/>
                <w:szCs w:val="20"/>
              </w:rPr>
              <w:t>开展2019年度部门整体支出绩效自评的，1分；</w:t>
            </w:r>
            <w:r>
              <w:rPr>
                <w:rFonts w:ascii="仿宋" w:hAnsi="仿宋" w:eastAsia="仿宋" w:cs="宋体"/>
                <w:sz w:val="20"/>
                <w:szCs w:val="20"/>
              </w:rPr>
              <w:t>④</w:t>
            </w:r>
            <w:r>
              <w:rPr>
                <w:rFonts w:ascii="仿宋_GB2312" w:eastAsia="仿宋_GB2312" w:cs="宋体"/>
                <w:sz w:val="20"/>
                <w:szCs w:val="20"/>
              </w:rPr>
              <w:t>在规定时间内报送、公开以上自评报告材料的，2分。</w:t>
            </w:r>
          </w:p>
        </w:tc>
        <w:tc>
          <w:tcPr>
            <w:tcW w:w="3472" w:type="dxa"/>
            <w:vAlign w:val="center"/>
          </w:tcPr>
          <w:p>
            <w:pPr>
              <w:jc w:val="center"/>
              <w:rPr>
                <w:rFonts w:hint="default" w:ascii="仿宋_GB2312" w:eastAsia="仿宋_GB2312"/>
                <w:sz w:val="20"/>
                <w:szCs w:val="20"/>
              </w:rPr>
            </w:pP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rPr>
                <w:rFonts w:hint="default" w:ascii="仿宋_GB2312" w:eastAsia="仿宋_GB2312"/>
                <w:sz w:val="20"/>
                <w:szCs w:val="20"/>
              </w:rPr>
            </w:pPr>
          </w:p>
        </w:tc>
        <w:tc>
          <w:tcPr>
            <w:tcW w:w="429" w:type="dxa"/>
            <w:tcBorders>
              <w:top w:val="nil"/>
              <w:bottom w:val="single" w:color="auto" w:sz="4" w:space="0"/>
              <w:right w:val="single" w:color="auto" w:sz="4" w:space="0"/>
            </w:tcBorders>
          </w:tcPr>
          <w:p>
            <w:pPr>
              <w:rPr>
                <w:rFonts w:hint="default" w:ascii="仿宋_GB2312" w:eastAsia="仿宋_GB2312"/>
                <w:sz w:val="20"/>
                <w:szCs w:val="20"/>
              </w:rPr>
            </w:pPr>
          </w:p>
        </w:tc>
        <w:tc>
          <w:tcPr>
            <w:tcW w:w="567" w:type="dxa"/>
            <w:tcBorders>
              <w:top w:val="nil"/>
              <w:left w:val="single" w:color="auto" w:sz="4" w:space="0"/>
              <w:bottom w:val="single" w:color="auto" w:sz="4" w:space="0"/>
            </w:tcBorders>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评价 结果 运用</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jc w:val="center"/>
              <w:rPr>
                <w:rFonts w:hint="default" w:ascii="仿宋" w:hAnsi="仿宋" w:eastAsia="仿宋"/>
                <w:sz w:val="20"/>
                <w:szCs w:val="20"/>
              </w:rPr>
            </w:pPr>
            <w:r>
              <w:rPr>
                <w:rFonts w:ascii="仿宋_GB2312" w:eastAsia="仿宋_GB2312" w:cs="宋体"/>
                <w:sz w:val="20"/>
                <w:szCs w:val="20"/>
              </w:rPr>
              <w:t>根据2019年度财政重点绩效评价和单位自评情况，向财政报送整改结果并整改到位的，2分，否则不得分。</w:t>
            </w:r>
          </w:p>
        </w:tc>
        <w:tc>
          <w:tcPr>
            <w:tcW w:w="3472" w:type="dxa"/>
            <w:vAlign w:val="center"/>
          </w:tcPr>
          <w:p>
            <w:pPr>
              <w:jc w:val="center"/>
              <w:rPr>
                <w:rFonts w:hint="default" w:ascii="仿宋_GB2312" w:eastAsia="仿宋_GB2312"/>
                <w:sz w:val="20"/>
                <w:szCs w:val="20"/>
              </w:rPr>
            </w:pP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jc w:val="center"/>
              <w:rPr>
                <w:rFonts w:hint="default" w:ascii="仿宋_GB2312" w:eastAsia="仿宋_GB2312"/>
                <w:sz w:val="20"/>
                <w:szCs w:val="20"/>
              </w:rPr>
            </w:pPr>
            <w:r>
              <w:rPr>
                <w:rFonts w:ascii="仿宋_GB2312" w:eastAsia="仿宋_GB2312" w:cs="宋体"/>
                <w:sz w:val="20"/>
                <w:szCs w:val="20"/>
              </w:rPr>
              <w:t>产   出</w:t>
            </w:r>
          </w:p>
        </w:tc>
        <w:tc>
          <w:tcPr>
            <w:tcW w:w="429" w:type="dxa"/>
            <w:vMerge w:val="restart"/>
            <w:tcBorders>
              <w:top w:val="single" w:color="auto" w:sz="4" w:space="0"/>
              <w:righ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职责履行</w:t>
            </w:r>
          </w:p>
        </w:tc>
        <w:tc>
          <w:tcPr>
            <w:tcW w:w="567" w:type="dxa"/>
            <w:vMerge w:val="restart"/>
            <w:tcBorders>
              <w:top w:val="single" w:color="auto" w:sz="4" w:space="0"/>
              <w:left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5</w:t>
            </w: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重点　工作　完成率</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jc w:val="center"/>
              <w:rPr>
                <w:rFonts w:hint="default" w:ascii="仿宋_GB2312" w:eastAsia="仿宋_GB2312"/>
                <w:sz w:val="20"/>
                <w:szCs w:val="20"/>
              </w:rPr>
            </w:pPr>
            <w:r>
              <w:rPr>
                <w:rFonts w:ascii="仿宋_GB2312" w:eastAsia="仿宋_GB2312" w:cs="宋体"/>
                <w:sz w:val="20"/>
                <w:szCs w:val="20"/>
              </w:rPr>
              <w:t>该项得分=重点工作完成率×2</w:t>
            </w:r>
          </w:p>
        </w:tc>
        <w:tc>
          <w:tcPr>
            <w:tcW w:w="3472" w:type="dxa"/>
            <w:vAlign w:val="center"/>
          </w:tcPr>
          <w:p>
            <w:pPr>
              <w:autoSpaceDN w:val="0"/>
              <w:jc w:val="center"/>
              <w:textAlignment w:val="center"/>
              <w:rPr>
                <w:rFonts w:hint="default" w:ascii="仿宋_GB2312" w:eastAsia="仿宋_GB2312"/>
                <w:sz w:val="20"/>
                <w:szCs w:val="20"/>
              </w:rPr>
            </w:pPr>
            <w:r>
              <w:rPr>
                <w:rFonts w:ascii="仿宋_GB2312" w:eastAsia="仿宋_GB2312" w:cs="宋体"/>
                <w:sz w:val="20"/>
                <w:szCs w:val="20"/>
              </w:rPr>
              <w:t>重点工作为市政府确定的为民办实事和部门重点工程与重点工作。</w:t>
            </w: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jc w:val="center"/>
              <w:rPr>
                <w:rFonts w:hint="default" w:ascii="仿宋_GB2312" w:eastAsia="仿宋_GB2312"/>
                <w:sz w:val="20"/>
                <w:szCs w:val="20"/>
              </w:rPr>
            </w:pPr>
          </w:p>
        </w:tc>
        <w:tc>
          <w:tcPr>
            <w:tcW w:w="429" w:type="dxa"/>
            <w:vMerge w:val="continue"/>
            <w:tcBorders>
              <w:bottom w:val="single" w:color="auto" w:sz="4" w:space="0"/>
              <w:right w:val="single" w:color="auto" w:sz="4" w:space="0"/>
            </w:tcBorders>
          </w:tcPr>
          <w:p>
            <w:pPr>
              <w:jc w:val="center"/>
              <w:rPr>
                <w:rFonts w:hint="default" w:ascii="仿宋_GB2312" w:eastAsia="仿宋_GB2312"/>
                <w:sz w:val="20"/>
                <w:szCs w:val="20"/>
              </w:rPr>
            </w:pPr>
          </w:p>
        </w:tc>
        <w:tc>
          <w:tcPr>
            <w:tcW w:w="567" w:type="dxa"/>
            <w:vMerge w:val="continue"/>
            <w:tcBorders>
              <w:left w:val="single" w:color="auto" w:sz="4" w:space="0"/>
              <w:bottom w:val="single" w:color="auto" w:sz="4" w:space="0"/>
            </w:tcBorders>
          </w:tcPr>
          <w:p>
            <w:pPr>
              <w:jc w:val="cente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工作</w:t>
            </w:r>
          </w:p>
          <w:p>
            <w:pPr>
              <w:jc w:val="center"/>
              <w:rPr>
                <w:rFonts w:hint="default" w:ascii="仿宋_GB2312" w:eastAsia="仿宋_GB2312"/>
                <w:sz w:val="20"/>
                <w:szCs w:val="20"/>
              </w:rPr>
            </w:pPr>
            <w:r>
              <w:rPr>
                <w:rFonts w:ascii="仿宋_GB2312" w:eastAsia="仿宋_GB2312" w:cs="宋体"/>
                <w:sz w:val="20"/>
                <w:szCs w:val="20"/>
              </w:rPr>
              <w:t>质量</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3</w:t>
            </w:r>
          </w:p>
        </w:tc>
        <w:tc>
          <w:tcPr>
            <w:tcW w:w="3118" w:type="dxa"/>
            <w:vAlign w:val="center"/>
          </w:tcPr>
          <w:p>
            <w:pPr>
              <w:jc w:val="center"/>
              <w:rPr>
                <w:rFonts w:hint="default" w:ascii="仿宋_GB2312" w:eastAsia="仿宋_GB2312"/>
                <w:sz w:val="20"/>
                <w:szCs w:val="20"/>
              </w:rPr>
            </w:pPr>
            <w:r>
              <w:rPr>
                <w:rFonts w:ascii="仿宋_GB2312" w:eastAsia="仿宋_GB2312" w:cs="宋体"/>
                <w:sz w:val="20"/>
                <w:szCs w:val="20"/>
              </w:rPr>
              <w:t>以绩效考核评估结果为标准，优秀，计3分；良好，2分；合格，1分；不合格，0分。</w:t>
            </w:r>
          </w:p>
        </w:tc>
        <w:tc>
          <w:tcPr>
            <w:tcW w:w="3472" w:type="dxa"/>
            <w:vAlign w:val="center"/>
          </w:tcPr>
          <w:p>
            <w:pPr>
              <w:autoSpaceDN w:val="0"/>
              <w:jc w:val="center"/>
              <w:textAlignment w:val="center"/>
              <w:rPr>
                <w:rFonts w:hint="default" w:ascii="仿宋_GB2312" w:eastAsia="仿宋_GB2312"/>
                <w:sz w:val="20"/>
                <w:szCs w:val="20"/>
              </w:rPr>
            </w:pP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jc w:val="center"/>
              <w:rPr>
                <w:rFonts w:hint="default" w:ascii="仿宋_GB2312" w:eastAsia="仿宋_GB2312"/>
                <w:sz w:val="20"/>
                <w:szCs w:val="20"/>
              </w:rPr>
            </w:pPr>
            <w:r>
              <w:rPr>
                <w:rFonts w:ascii="仿宋_GB2312" w:eastAsia="仿宋_GB2312" w:cs="宋体"/>
                <w:sz w:val="20"/>
                <w:szCs w:val="20"/>
              </w:rPr>
              <w:t>效  果</w:t>
            </w:r>
          </w:p>
        </w:tc>
        <w:tc>
          <w:tcPr>
            <w:tcW w:w="429" w:type="dxa"/>
            <w:vMerge w:val="restart"/>
            <w:tcBorders>
              <w:top w:val="single" w:color="auto" w:sz="4" w:space="0"/>
              <w:bottom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履职效益</w:t>
            </w:r>
          </w:p>
        </w:tc>
        <w:tc>
          <w:tcPr>
            <w:tcW w:w="567" w:type="dxa"/>
            <w:vMerge w:val="restart"/>
            <w:tcBorders>
              <w:top w:val="single" w:color="auto" w:sz="4" w:space="0"/>
              <w:bottom w:val="single" w:color="auto" w:sz="4" w:space="0"/>
            </w:tcBorders>
            <w:vAlign w:val="center"/>
          </w:tcPr>
          <w:p>
            <w:pPr>
              <w:jc w:val="center"/>
              <w:rPr>
                <w:rFonts w:hint="default" w:ascii="仿宋_GB2312" w:eastAsia="仿宋_GB2312"/>
                <w:sz w:val="20"/>
                <w:szCs w:val="20"/>
              </w:rPr>
            </w:pPr>
            <w:r>
              <w:rPr>
                <w:rFonts w:ascii="仿宋_GB2312" w:eastAsia="仿宋_GB2312" w:cs="宋体"/>
                <w:sz w:val="20"/>
                <w:szCs w:val="20"/>
              </w:rPr>
              <w:t>4</w:t>
            </w: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经济  效益</w:t>
            </w:r>
          </w:p>
        </w:tc>
        <w:tc>
          <w:tcPr>
            <w:tcW w:w="567" w:type="dxa"/>
            <w:vMerge w:val="restart"/>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6590" w:type="dxa"/>
            <w:gridSpan w:val="2"/>
            <w:vMerge w:val="restart"/>
            <w:vAlign w:val="center"/>
          </w:tcPr>
          <w:p>
            <w:pPr>
              <w:jc w:val="center"/>
              <w:rPr>
                <w:rFonts w:hint="default" w:ascii="仿宋_GB2312" w:eastAsia="仿宋_GB2312"/>
                <w:sz w:val="20"/>
                <w:szCs w:val="20"/>
              </w:rPr>
            </w:pPr>
            <w:r>
              <w:rPr>
                <w:rFonts w:ascii="仿宋_GB2312" w:eastAsia="仿宋_GB2312" w:cs="宋体"/>
                <w:sz w:val="20"/>
                <w:szCs w:val="20"/>
              </w:rPr>
              <w:t>此三项指标可根据部门实际并结合2020年度部门整体支出绩效目标设立情况有选择的进行评价。</w:t>
            </w:r>
          </w:p>
        </w:tc>
        <w:tc>
          <w:tcPr>
            <w:tcW w:w="617" w:type="dxa"/>
            <w:vMerge w:val="restart"/>
            <w:vAlign w:val="center"/>
          </w:tcPr>
          <w:p>
            <w:pPr>
              <w:jc w:val="center"/>
              <w:rPr>
                <w:rFonts w:hint="default" w:ascii="仿宋_GB2312" w:eastAsia="仿宋_GB2312"/>
                <w:sz w:val="20"/>
                <w:szCs w:val="20"/>
              </w:rPr>
            </w:pPr>
            <w:r>
              <w:rPr>
                <w:rFonts w:ascii="仿宋_GB2312"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rPr>
                <w:rFonts w:hint="default" w:ascii="仿宋_GB2312" w:eastAsia="仿宋_GB2312"/>
                <w:sz w:val="20"/>
                <w:szCs w:val="20"/>
              </w:rPr>
            </w:pPr>
          </w:p>
        </w:tc>
        <w:tc>
          <w:tcPr>
            <w:tcW w:w="429" w:type="dxa"/>
            <w:vMerge w:val="continue"/>
            <w:tcBorders>
              <w:top w:val="single" w:color="auto" w:sz="4" w:space="0"/>
              <w:bottom w:val="single" w:color="auto" w:sz="4" w:space="0"/>
            </w:tcBorders>
            <w:vAlign w:val="center"/>
          </w:tcPr>
          <w:p>
            <w:pPr>
              <w:rPr>
                <w:rFonts w:hint="default" w:ascii="仿宋_GB2312" w:eastAsia="仿宋_GB2312"/>
                <w:sz w:val="20"/>
                <w:szCs w:val="20"/>
              </w:rPr>
            </w:pPr>
          </w:p>
        </w:tc>
        <w:tc>
          <w:tcPr>
            <w:tcW w:w="567" w:type="dxa"/>
            <w:vMerge w:val="continue"/>
            <w:tcBorders>
              <w:top w:val="single" w:color="auto" w:sz="4" w:space="0"/>
              <w:bottom w:val="single" w:color="auto" w:sz="4" w:space="0"/>
            </w:tcBorders>
            <w:vAlign w:val="center"/>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社会  效益</w:t>
            </w:r>
          </w:p>
        </w:tc>
        <w:tc>
          <w:tcPr>
            <w:tcW w:w="567" w:type="dxa"/>
            <w:vMerge w:val="continue"/>
            <w:vAlign w:val="center"/>
          </w:tcPr>
          <w:p>
            <w:pPr>
              <w:rPr>
                <w:rFonts w:hint="default" w:ascii="仿宋_GB2312" w:eastAsia="仿宋_GB2312"/>
                <w:sz w:val="20"/>
                <w:szCs w:val="20"/>
              </w:rPr>
            </w:pPr>
          </w:p>
        </w:tc>
        <w:tc>
          <w:tcPr>
            <w:tcW w:w="6590" w:type="dxa"/>
            <w:gridSpan w:val="2"/>
            <w:vMerge w:val="continue"/>
            <w:vAlign w:val="center"/>
          </w:tcPr>
          <w:p>
            <w:pPr>
              <w:jc w:val="center"/>
              <w:rPr>
                <w:rFonts w:hint="default" w:ascii="仿宋_GB2312" w:eastAsia="仿宋_GB2312"/>
                <w:sz w:val="20"/>
                <w:szCs w:val="20"/>
              </w:rPr>
            </w:pPr>
          </w:p>
        </w:tc>
        <w:tc>
          <w:tcPr>
            <w:tcW w:w="617" w:type="dxa"/>
            <w:vMerge w:val="continue"/>
            <w:vAlign w:val="center"/>
          </w:tcPr>
          <w:p>
            <w:pPr>
              <w:jc w:val="center"/>
              <w:rPr>
                <w:rFonts w:hint="default"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rPr>
                <w:rFonts w:hint="default" w:ascii="仿宋_GB2312" w:eastAsia="仿宋_GB2312"/>
                <w:sz w:val="20"/>
                <w:szCs w:val="20"/>
              </w:rPr>
            </w:pPr>
          </w:p>
        </w:tc>
        <w:tc>
          <w:tcPr>
            <w:tcW w:w="429" w:type="dxa"/>
            <w:vMerge w:val="continue"/>
            <w:tcBorders>
              <w:top w:val="single" w:color="auto" w:sz="4" w:space="0"/>
              <w:bottom w:val="single" w:color="auto" w:sz="4" w:space="0"/>
            </w:tcBorders>
            <w:vAlign w:val="center"/>
          </w:tcPr>
          <w:p>
            <w:pPr>
              <w:rPr>
                <w:rFonts w:hint="default" w:ascii="仿宋_GB2312" w:eastAsia="仿宋_GB2312"/>
                <w:sz w:val="20"/>
                <w:szCs w:val="20"/>
              </w:rPr>
            </w:pPr>
          </w:p>
        </w:tc>
        <w:tc>
          <w:tcPr>
            <w:tcW w:w="567" w:type="dxa"/>
            <w:vMerge w:val="continue"/>
            <w:tcBorders>
              <w:top w:val="single" w:color="auto" w:sz="4" w:space="0"/>
              <w:bottom w:val="single" w:color="auto" w:sz="4" w:space="0"/>
            </w:tcBorders>
            <w:vAlign w:val="center"/>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生态  效益</w:t>
            </w:r>
          </w:p>
        </w:tc>
        <w:tc>
          <w:tcPr>
            <w:tcW w:w="567" w:type="dxa"/>
            <w:vMerge w:val="continue"/>
            <w:vAlign w:val="center"/>
          </w:tcPr>
          <w:p>
            <w:pPr>
              <w:rPr>
                <w:rFonts w:hint="default" w:ascii="仿宋_GB2312" w:eastAsia="仿宋_GB2312"/>
                <w:sz w:val="20"/>
                <w:szCs w:val="20"/>
              </w:rPr>
            </w:pPr>
          </w:p>
        </w:tc>
        <w:tc>
          <w:tcPr>
            <w:tcW w:w="6590" w:type="dxa"/>
            <w:gridSpan w:val="2"/>
            <w:vMerge w:val="continue"/>
            <w:vAlign w:val="center"/>
          </w:tcPr>
          <w:p>
            <w:pPr>
              <w:jc w:val="center"/>
              <w:rPr>
                <w:rFonts w:hint="default" w:ascii="仿宋_GB2312" w:eastAsia="仿宋_GB2312"/>
                <w:sz w:val="20"/>
                <w:szCs w:val="20"/>
              </w:rPr>
            </w:pPr>
          </w:p>
        </w:tc>
        <w:tc>
          <w:tcPr>
            <w:tcW w:w="617" w:type="dxa"/>
            <w:vMerge w:val="continue"/>
            <w:vAlign w:val="center"/>
          </w:tcPr>
          <w:p>
            <w:pPr>
              <w:jc w:val="center"/>
              <w:rPr>
                <w:rFonts w:hint="default"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rPr>
                <w:rFonts w:hint="default" w:ascii="仿宋_GB2312" w:eastAsia="仿宋_GB2312"/>
                <w:sz w:val="20"/>
                <w:szCs w:val="20"/>
              </w:rPr>
            </w:pPr>
          </w:p>
        </w:tc>
        <w:tc>
          <w:tcPr>
            <w:tcW w:w="429" w:type="dxa"/>
            <w:vMerge w:val="continue"/>
            <w:tcBorders>
              <w:top w:val="single" w:color="auto" w:sz="4" w:space="0"/>
              <w:bottom w:val="single" w:color="auto" w:sz="4" w:space="0"/>
            </w:tcBorders>
          </w:tcPr>
          <w:p>
            <w:pPr>
              <w:rPr>
                <w:rFonts w:hint="default" w:ascii="仿宋_GB2312" w:eastAsia="仿宋_GB2312"/>
                <w:sz w:val="20"/>
                <w:szCs w:val="20"/>
              </w:rPr>
            </w:pPr>
          </w:p>
        </w:tc>
        <w:tc>
          <w:tcPr>
            <w:tcW w:w="567" w:type="dxa"/>
            <w:vMerge w:val="continue"/>
            <w:tcBorders>
              <w:top w:val="single" w:color="auto" w:sz="4" w:space="0"/>
              <w:bottom w:val="single" w:color="auto" w:sz="4" w:space="0"/>
            </w:tcBorders>
          </w:tcPr>
          <w:p>
            <w:pPr>
              <w:rPr>
                <w:rFonts w:hint="default" w:ascii="仿宋_GB2312" w:eastAsia="仿宋_GB2312"/>
                <w:sz w:val="20"/>
                <w:szCs w:val="20"/>
              </w:rPr>
            </w:pPr>
          </w:p>
        </w:tc>
        <w:tc>
          <w:tcPr>
            <w:tcW w:w="851" w:type="dxa"/>
            <w:vAlign w:val="center"/>
          </w:tcPr>
          <w:p>
            <w:pPr>
              <w:jc w:val="center"/>
              <w:rPr>
                <w:rFonts w:hint="default" w:ascii="仿宋_GB2312" w:eastAsia="仿宋_GB2312"/>
                <w:sz w:val="20"/>
                <w:szCs w:val="20"/>
              </w:rPr>
            </w:pPr>
            <w:r>
              <w:rPr>
                <w:rFonts w:ascii="仿宋_GB2312" w:eastAsia="仿宋_GB2312" w:cs="宋体"/>
                <w:sz w:val="20"/>
                <w:szCs w:val="20"/>
              </w:rPr>
              <w:t>社会公众或服务对象满意度</w:t>
            </w:r>
          </w:p>
        </w:tc>
        <w:tc>
          <w:tcPr>
            <w:tcW w:w="567" w:type="dxa"/>
            <w:vAlign w:val="center"/>
          </w:tcPr>
          <w:p>
            <w:pPr>
              <w:jc w:val="center"/>
              <w:rPr>
                <w:rFonts w:hint="default" w:ascii="仿宋_GB2312" w:eastAsia="仿宋_GB2312"/>
                <w:sz w:val="20"/>
                <w:szCs w:val="20"/>
              </w:rPr>
            </w:pPr>
            <w:r>
              <w:rPr>
                <w:rFonts w:ascii="仿宋_GB2312" w:eastAsia="仿宋_GB2312" w:cs="宋体"/>
                <w:sz w:val="20"/>
                <w:szCs w:val="20"/>
              </w:rPr>
              <w:t>2</w:t>
            </w:r>
          </w:p>
        </w:tc>
        <w:tc>
          <w:tcPr>
            <w:tcW w:w="3118" w:type="dxa"/>
            <w:vAlign w:val="center"/>
          </w:tcPr>
          <w:p>
            <w:pPr>
              <w:jc w:val="center"/>
              <w:rPr>
                <w:rFonts w:hint="default" w:ascii="仿宋_GB2312" w:eastAsia="仿宋_GB2312"/>
                <w:sz w:val="20"/>
                <w:szCs w:val="20"/>
              </w:rPr>
            </w:pPr>
            <w:r>
              <w:rPr>
                <w:rFonts w:ascii="仿宋_GB2312" w:eastAsia="仿宋_GB2312" w:cs="宋体"/>
                <w:sz w:val="20"/>
                <w:szCs w:val="20"/>
              </w:rPr>
              <w:t>90%（含）以上计2分；</w:t>
            </w:r>
            <w:r>
              <w:rPr>
                <w:rFonts w:ascii="仿宋_GB2312" w:eastAsia="仿宋_GB2312" w:cs="宋体"/>
                <w:sz w:val="20"/>
                <w:szCs w:val="20"/>
              </w:rPr>
              <w:br w:type="textWrapping"/>
            </w:r>
            <w:r>
              <w:rPr>
                <w:rFonts w:ascii="仿宋_GB2312" w:eastAsia="仿宋_GB2312" w:cs="宋体"/>
                <w:sz w:val="20"/>
                <w:szCs w:val="20"/>
              </w:rPr>
              <w:t>80%（含）-90%，计1分；70%（含）-80%，计0.5分；低于70%,计0分。</w:t>
            </w:r>
          </w:p>
        </w:tc>
        <w:tc>
          <w:tcPr>
            <w:tcW w:w="3472" w:type="dxa"/>
            <w:vAlign w:val="center"/>
          </w:tcPr>
          <w:p>
            <w:pPr>
              <w:jc w:val="center"/>
              <w:rPr>
                <w:rFonts w:hint="default" w:ascii="仿宋_GB2312" w:eastAsia="仿宋_GB2312"/>
                <w:sz w:val="20"/>
                <w:szCs w:val="20"/>
              </w:rPr>
            </w:pPr>
            <w:r>
              <w:rPr>
                <w:rFonts w:ascii="仿宋_GB2312" w:eastAsia="仿宋_GB2312" w:cs="宋体"/>
                <w:sz w:val="20"/>
                <w:szCs w:val="20"/>
              </w:rPr>
              <w:t>社会公众或服务对象是指部门（单位）履行职责而影响到的部门，群体或个人，一般采取社会调查的方式(不少于30份)。</w:t>
            </w:r>
          </w:p>
        </w:tc>
        <w:tc>
          <w:tcPr>
            <w:tcW w:w="617" w:type="dxa"/>
            <w:vAlign w:val="center"/>
          </w:tcPr>
          <w:p>
            <w:pPr>
              <w:jc w:val="center"/>
              <w:rPr>
                <w:rFonts w:hint="default" w:ascii="仿宋_GB2312" w:eastAsia="仿宋_GB2312"/>
                <w:sz w:val="20"/>
                <w:szCs w:val="20"/>
              </w:rPr>
            </w:pPr>
            <w:r>
              <w:rPr>
                <w:rFonts w:ascii="仿宋_GB2312"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jc w:val="center"/>
              <w:rPr>
                <w:rFonts w:hint="default" w:ascii="仿宋_GB2312" w:eastAsia="仿宋_GB2312"/>
                <w:sz w:val="22"/>
                <w:szCs w:val="22"/>
              </w:rPr>
            </w:pPr>
            <w:r>
              <w:rPr>
                <w:rFonts w:ascii="仿宋_GB2312" w:eastAsia="仿宋_GB2312" w:cs="宋体"/>
                <w:sz w:val="22"/>
                <w:szCs w:val="22"/>
              </w:rPr>
              <w:t>合计</w:t>
            </w:r>
          </w:p>
        </w:tc>
        <w:tc>
          <w:tcPr>
            <w:tcW w:w="8575" w:type="dxa"/>
            <w:gridSpan w:val="5"/>
            <w:vAlign w:val="center"/>
          </w:tcPr>
          <w:p>
            <w:pPr>
              <w:jc w:val="center"/>
              <w:rPr>
                <w:rFonts w:hint="default" w:ascii="仿宋_GB2312" w:eastAsia="仿宋_GB2312"/>
                <w:sz w:val="20"/>
                <w:szCs w:val="20"/>
              </w:rPr>
            </w:pPr>
          </w:p>
        </w:tc>
        <w:tc>
          <w:tcPr>
            <w:tcW w:w="617" w:type="dxa"/>
            <w:vAlign w:val="center"/>
          </w:tcPr>
          <w:p>
            <w:pPr>
              <w:jc w:val="center"/>
              <w:rPr>
                <w:rFonts w:hint="default"/>
              </w:rPr>
            </w:pPr>
            <w:r>
              <w:rPr>
                <w:rFonts w:cs="宋体"/>
              </w:rPr>
              <w:t>94</w:t>
            </w:r>
          </w:p>
        </w:tc>
      </w:tr>
    </w:tbl>
    <w:p>
      <w:pPr>
        <w:spacing w:line="600" w:lineRule="exact"/>
        <w:rPr>
          <w:rFonts w:hint="default" w:cs="宋体"/>
          <w:sz w:val="32"/>
          <w:szCs w:val="32"/>
        </w:rPr>
      </w:pPr>
    </w:p>
    <w:p>
      <w:pPr>
        <w:adjustRightInd w:val="0"/>
        <w:spacing w:line="600" w:lineRule="exact"/>
        <w:ind w:right="641"/>
        <w:rPr>
          <w:rFonts w:hint="default"/>
        </w:rPr>
      </w:pPr>
    </w:p>
    <w:p>
      <w:pPr>
        <w:rPr>
          <w:rFonts w:hint="default"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mNWE0ODYwODJiZTU1MzA3MGI1Y2ZjNDBlNWI4YWUifQ=="/>
  </w:docVars>
  <w:rsids>
    <w:rsidRoot w:val="00C26F55"/>
    <w:rsid w:val="000178FF"/>
    <w:rsid w:val="00C26F55"/>
    <w:rsid w:val="00C97961"/>
    <w:rsid w:val="00D95660"/>
    <w:rsid w:val="00E70C23"/>
    <w:rsid w:val="00F348D6"/>
    <w:rsid w:val="1CBD4177"/>
    <w:rsid w:val="26C27C44"/>
    <w:rsid w:val="331932AB"/>
    <w:rsid w:val="4CB7318A"/>
    <w:rsid w:val="517631D8"/>
    <w:rsid w:val="54257143"/>
    <w:rsid w:val="5B7C1C76"/>
    <w:rsid w:val="711A390E"/>
    <w:rsid w:val="71D67FB6"/>
    <w:rsid w:val="7C8D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60" w:lineRule="exact"/>
      <w:outlineLvl w:val="0"/>
    </w:pPr>
    <w:rPr>
      <w:rFonts w:eastAsia="黑体"/>
      <w:b/>
      <w:bCs/>
      <w:kern w:val="44"/>
      <w:szCs w:val="44"/>
    </w:rPr>
  </w:style>
  <w:style w:type="paragraph" w:styleId="3">
    <w:name w:val="heading 2"/>
    <w:basedOn w:val="1"/>
    <w:next w:val="1"/>
    <w:unhideWhenUsed/>
    <w:qFormat/>
    <w:uiPriority w:val="0"/>
    <w:pPr>
      <w:keepNext/>
      <w:keepLines/>
      <w:spacing w:line="560" w:lineRule="exact"/>
      <w:ind w:firstLine="640" w:firstLineChars="200"/>
      <w:outlineLvl w:val="1"/>
    </w:pPr>
    <w:rPr>
      <w:rFonts w:ascii="Arial" w:hAnsi="Arial" w:eastAsia="楷体"/>
      <w:b/>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6">
    <w:name w:val="Normal (Web)"/>
    <w:basedOn w:val="1"/>
    <w:uiPriority w:val="0"/>
    <w:pPr>
      <w:spacing w:beforeAutospacing="1" w:after="100" w:afterAutospacing="1"/>
    </w:pPr>
  </w:style>
  <w:style w:type="character" w:styleId="9">
    <w:name w:val="Strong"/>
    <w:basedOn w:val="8"/>
    <w:qFormat/>
    <w:uiPriority w:val="0"/>
    <w:rPr>
      <w:b/>
    </w:rPr>
  </w:style>
  <w:style w:type="character" w:styleId="10">
    <w:name w:val="page number"/>
    <w:basedOn w:val="8"/>
    <w:uiPriority w:val="0"/>
  </w:style>
  <w:style w:type="paragraph" w:customStyle="1" w:styleId="11">
    <w:name w:val="首行缩进"/>
    <w:basedOn w:val="1"/>
    <w:qFormat/>
    <w:uiPriority w:val="0"/>
    <w:pPr>
      <w:ind w:firstLine="480" w:firstLineChars="200"/>
    </w:pPr>
    <w:rPr>
      <w:lang w:val="zh-CN"/>
    </w:rPr>
  </w:style>
  <w:style w:type="paragraph" w:customStyle="1" w:styleId="12">
    <w:name w:val="普通(网站) Char"/>
    <w:basedOn w:val="1"/>
    <w:qFormat/>
    <w:uiPriority w:val="0"/>
    <w:pPr>
      <w:spacing w:beforeAutospacing="1" w:after="100" w:afterAutospacing="1"/>
    </w:pPr>
  </w:style>
  <w:style w:type="character" w:customStyle="1" w:styleId="13">
    <w:name w:val="15"/>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927</Words>
  <Characters>5290</Characters>
  <Lines>44</Lines>
  <Paragraphs>12</Paragraphs>
  <TotalTime>7</TotalTime>
  <ScaleCrop>false</ScaleCrop>
  <LinksUpToDate>false</LinksUpToDate>
  <CharactersWithSpaces>6205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2022-09-26T07:56:00Z</dcterms:created>
  <dc:creator>Administrator</dc:creator>
  <cp:lastModifiedBy>Administrator</cp:lastModifiedBy>
  <dcterms:modified xsi:type="dcterms:W3CDTF">2023-09-15T00:16:48Z</dcterms:modified>
  <dc:title>2020年度邵阳市交通建设质量安全监督站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9D43E6A4F01E481EB1A53E193B648953</vt:lpwstr>
  </property>
</Properties>
</file>