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宋体" w:hAnsi="宋体" w:cs="黑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黑体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3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（一）整体支出绩效目标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预决算公开：</w:t>
      </w:r>
      <w:r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年，按照上级的要求，我单位在政府网站上进行了预决算公开。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620" w:firstLineChars="20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三公经费控制情况：我单位贯彻落实上级有关精神，严格控制“三公经费”支出，取得了良好效果。具体情况如下：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21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年“三公”经费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2.83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万元，其中公务接待费为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  <w:lang w:val="en-US" w:eastAsia="zh-CN"/>
        </w:rPr>
        <w:t>2.83</w:t>
      </w: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万元，无公务用车运行维护费和因公出国（境）费用。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（二）部门整体支出情况分析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firstLine="750"/>
        <w:rPr>
          <w:rFonts w:ascii="微软雅黑" w:hAnsi="微软雅黑" w:eastAsia="微软雅黑" w:cs="Times New Roman"/>
          <w:color w:val="333333"/>
        </w:rPr>
      </w:pPr>
      <w:r>
        <w:rPr>
          <w:rFonts w:hint="eastAsia"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  <w:t>从整体情况来看，我单位严格按照年初预算进行部门整体支出。在支出过程中，能严格遵守各项规章制度。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zA3Mzg0YThjODc2ODRhYmVjNTY3YzJjNzQzNWUifQ=="/>
  </w:docVars>
  <w:rsids>
    <w:rsidRoot w:val="00000000"/>
    <w:rsid w:val="1BCE57B0"/>
    <w:rsid w:val="451129BF"/>
    <w:rsid w:val="4F881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301</Characters>
  <Lines>0</Lines>
  <Paragraphs>0</Paragraphs>
  <TotalTime>1</TotalTime>
  <ScaleCrop>false</ScaleCrop>
  <LinksUpToDate>false</LinksUpToDate>
  <CharactersWithSpaces>301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2022-06-29T09:15:00Z</dcterms:created>
  <dc:creator>Administrator</dc:creator>
  <cp:lastModifiedBy>Administrator</cp:lastModifiedBy>
  <dcterms:modified xsi:type="dcterms:W3CDTF">2022-10-11T01:45:32Z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D9F59906B95145DCAD7326697A2D637F</vt:lpwstr>
  </property>
</Properties>
</file>