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atLeast"/>
        <w:jc w:val="center"/>
        <w:rPr>
          <w:rFonts w:hint="eastAsia" w:ascii="宋体" w:hAnsi="宋体"/>
          <w:b/>
          <w:bCs/>
          <w:color w:val="222222"/>
          <w:kern w:val="0"/>
          <w:sz w:val="32"/>
          <w:szCs w:val="32"/>
        </w:rPr>
      </w:pPr>
      <w:r>
        <w:rPr>
          <w:rFonts w:hint="eastAsia" w:ascii="宋体" w:hAnsi="宋体" w:cs="黑体"/>
          <w:b/>
          <w:color w:val="000000"/>
          <w:kern w:val="0"/>
          <w:sz w:val="36"/>
          <w:szCs w:val="36"/>
        </w:rPr>
        <w:t>202</w:t>
      </w:r>
      <w:r>
        <w:rPr>
          <w:rFonts w:hint="eastAsia" w:ascii="宋体" w:hAnsi="宋体" w:cs="黑体"/>
          <w:b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cs="黑体"/>
          <w:b/>
          <w:color w:val="000000"/>
          <w:kern w:val="0"/>
          <w:sz w:val="36"/>
          <w:szCs w:val="36"/>
        </w:rPr>
        <w:t>年度</w:t>
      </w:r>
      <w:r>
        <w:rPr>
          <w:rFonts w:hint="eastAsia" w:ascii="Verdana" w:hAnsi="Verdana" w:cs="宋体"/>
          <w:b/>
          <w:bCs/>
          <w:color w:val="222222"/>
          <w:kern w:val="0"/>
          <w:sz w:val="36"/>
          <w:szCs w:val="36"/>
          <w:lang w:eastAsia="zh-CN"/>
        </w:rPr>
        <w:t>双清区</w:t>
      </w:r>
      <w:r>
        <w:rPr>
          <w:rFonts w:hint="eastAsia" w:ascii="Verdana" w:hAnsi="Verdana" w:cs="宋体"/>
          <w:b/>
          <w:bCs/>
          <w:color w:val="222222"/>
          <w:kern w:val="0"/>
          <w:sz w:val="36"/>
          <w:szCs w:val="36"/>
          <w:lang w:val="en-US" w:eastAsia="zh-CN"/>
        </w:rPr>
        <w:t>政协部门</w:t>
      </w:r>
      <w:r>
        <w:rPr>
          <w:rFonts w:ascii="Verdana" w:hAnsi="Verdana" w:cs="宋体"/>
          <w:b/>
          <w:bCs/>
          <w:color w:val="222222"/>
          <w:kern w:val="0"/>
          <w:sz w:val="36"/>
          <w:szCs w:val="36"/>
        </w:rPr>
        <w:t>整体支出绩效评价报告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4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部门概况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71"/>
        <w:jc w:val="left"/>
        <w:rPr>
          <w:rFonts w:ascii="仿宋_GB2312" w:hAnsi="宋体" w:eastAsia="仿宋_GB2312"/>
          <w:sz w:val="28"/>
          <w:szCs w:val="32"/>
        </w:rPr>
      </w:pPr>
      <w:r>
        <w:rPr>
          <w:rFonts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（一）部门基本情况</w:t>
      </w:r>
    </w:p>
    <w:p>
      <w:pPr>
        <w:pStyle w:val="6"/>
        <w:spacing w:before="0" w:beforeAutospacing="0" w:after="2" w:afterAutospacing="0"/>
        <w:ind w:left="0" w:firstLine="641"/>
        <w:rPr>
          <w:rFonts w:hint="eastAsia" w:ascii="等线" w:hAnsi="等线" w:eastAsia="等线" w:cs="Times New Roman"/>
          <w:kern w:val="2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 xml:space="preserve"> 中国人民政治协商会议邵阳市双清区委员会内设机构包括：本单位共有内设科室6个：办公室、提案和委员学习联络委员会、农业农村和人口资源环境委员会、文教卫体和文史委员会工作、经济科技和外事委员会、社会法制和民族宗教委员会。 核定行政编制12人，实有人数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/>
        </w:rPr>
        <w:t>38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人，其中在职人员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人，离休人员0人，退休人员1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人。本单未设置二级机构。</w:t>
      </w:r>
      <w:r>
        <w:rPr>
          <w:rFonts w:hint="eastAsia" w:ascii="等线" w:hAnsi="等线" w:eastAsia="等线" w:cs="Times New Roman"/>
          <w:color w:val="000000"/>
          <w:kern w:val="2"/>
          <w:sz w:val="27"/>
          <w:szCs w:val="27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Style w:val="6"/>
        <w:numPr>
          <w:ilvl w:val="0"/>
          <w:numId w:val="1"/>
        </w:numPr>
        <w:spacing w:before="0" w:beforeAutospacing="0" w:after="2" w:afterAutospacing="0"/>
        <w:ind w:left="0" w:firstLine="641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/>
        </w:rPr>
        <w:t>部门职责</w:t>
      </w:r>
    </w:p>
    <w:p>
      <w:pPr>
        <w:pStyle w:val="6"/>
        <w:numPr>
          <w:ilvl w:val="0"/>
          <w:numId w:val="0"/>
        </w:numPr>
        <w:spacing w:before="0" w:beforeAutospacing="0" w:after="2" w:afterAutospacing="0"/>
        <w:ind w:left="641" w:leftChars="0" w:right="0" w:rightChars="0" w:firstLine="640" w:firstLineChars="200"/>
        <w:rPr>
          <w:rFonts w:hint="eastAsia" w:ascii="等线" w:hAnsi="等线" w:eastAsia="等线" w:cs="Times New Roman"/>
          <w:kern w:val="2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1、负责政协党组会议、主席会议、常委会议、全体会议等各类会议和委员视察、考察、调研等各类活动的安排组织，提高会议和活动组织水平。</w:t>
      </w:r>
      <w:r>
        <w:rPr>
          <w:rFonts w:hint="eastAsia" w:ascii="等线" w:hAnsi="等线" w:eastAsia="等线" w:cs="Times New Roman"/>
          <w:color w:val="000000"/>
          <w:kern w:val="2"/>
          <w:sz w:val="27"/>
          <w:szCs w:val="27"/>
        </w:rPr>
        <w:t xml:space="preserve"> </w:t>
      </w:r>
    </w:p>
    <w:p>
      <w:pPr>
        <w:pStyle w:val="6"/>
        <w:spacing w:before="0" w:beforeAutospacing="0" w:after="2" w:afterAutospacing="0"/>
        <w:ind w:left="0" w:firstLine="641"/>
        <w:rPr>
          <w:rFonts w:hint="eastAsia" w:ascii="等线" w:hAnsi="等线" w:eastAsia="等线" w:cs="Times New Roman"/>
          <w:kern w:val="2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2、负责文书工作，承办以政协名义发出的公文，加强印章管理，做好机要、保密、档案等工作。</w:t>
      </w:r>
      <w:r>
        <w:rPr>
          <w:rFonts w:hint="eastAsia" w:ascii="等线" w:hAnsi="等线" w:eastAsia="等线" w:cs="Times New Roman"/>
          <w:color w:val="000000"/>
          <w:kern w:val="2"/>
          <w:sz w:val="27"/>
          <w:szCs w:val="27"/>
        </w:rPr>
        <w:t xml:space="preserve"> </w:t>
      </w:r>
    </w:p>
    <w:p>
      <w:pPr>
        <w:pStyle w:val="6"/>
        <w:spacing w:before="0" w:beforeAutospacing="0" w:after="2" w:afterAutospacing="0"/>
        <w:ind w:left="0" w:firstLine="641"/>
        <w:rPr>
          <w:rFonts w:hint="eastAsia" w:ascii="等线" w:hAnsi="等线" w:eastAsia="等线" w:cs="Times New Roman"/>
          <w:kern w:val="2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3、负责文电和上传下达工作，做好接待和处理委员的来信来访，承办群众信访事项。</w:t>
      </w:r>
      <w:r>
        <w:rPr>
          <w:rFonts w:hint="eastAsia" w:ascii="等线" w:hAnsi="等线" w:eastAsia="等线" w:cs="Times New Roman"/>
          <w:color w:val="000000"/>
          <w:kern w:val="2"/>
          <w:sz w:val="27"/>
          <w:szCs w:val="27"/>
        </w:rPr>
        <w:t xml:space="preserve"> </w:t>
      </w:r>
    </w:p>
    <w:p>
      <w:pPr>
        <w:pStyle w:val="6"/>
        <w:spacing w:before="0" w:beforeAutospacing="0" w:after="2" w:afterAutospacing="0"/>
        <w:ind w:left="0" w:firstLine="641"/>
        <w:rPr>
          <w:rFonts w:hint="eastAsia" w:ascii="等线" w:hAnsi="等线" w:eastAsia="等线" w:cs="Times New Roman"/>
          <w:kern w:val="2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4、负责为全会和其他重要会议活动起草重要文稿，向有关领导及时反映重要情况，推广交流政协工作和经验。</w:t>
      </w:r>
      <w:r>
        <w:rPr>
          <w:rFonts w:hint="eastAsia" w:ascii="等线" w:hAnsi="等线" w:eastAsia="等线" w:cs="Times New Roman"/>
          <w:color w:val="000000"/>
          <w:kern w:val="2"/>
          <w:sz w:val="27"/>
          <w:szCs w:val="27"/>
        </w:rPr>
        <w:t xml:space="preserve"> </w:t>
      </w:r>
    </w:p>
    <w:p>
      <w:pPr>
        <w:pStyle w:val="6"/>
        <w:spacing w:before="0" w:beforeAutospacing="0" w:after="2" w:afterAutospacing="0"/>
        <w:ind w:left="0" w:firstLine="641"/>
        <w:rPr>
          <w:rFonts w:hint="eastAsia" w:ascii="等线" w:hAnsi="等线" w:eastAsia="等线" w:cs="Times New Roman"/>
          <w:kern w:val="2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5、负责机关机构编制、人事劳资、党建党务、纪检监察、干部考核、机关老干、计划生育、综治维稳等工作。</w:t>
      </w:r>
      <w:r>
        <w:rPr>
          <w:rFonts w:hint="eastAsia" w:ascii="等线" w:hAnsi="等线" w:eastAsia="等线" w:cs="Times New Roman"/>
          <w:color w:val="000000"/>
          <w:kern w:val="2"/>
          <w:sz w:val="27"/>
          <w:szCs w:val="27"/>
        </w:rPr>
        <w:t xml:space="preserve"> </w:t>
      </w:r>
    </w:p>
    <w:p>
      <w:pPr>
        <w:pStyle w:val="6"/>
        <w:spacing w:before="0" w:beforeAutospacing="0" w:after="2" w:afterAutospacing="0"/>
        <w:ind w:left="0" w:firstLine="641"/>
        <w:rPr>
          <w:rFonts w:hint="eastAsia" w:ascii="等线" w:hAnsi="等线" w:eastAsia="等线" w:cs="Times New Roman"/>
          <w:kern w:val="2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6、负责组织机关日常行政管理，制定和监督执行机关各项规章制度、工作目标和计划，做好后勤保障、经费管理、生活服务。</w:t>
      </w:r>
      <w:r>
        <w:rPr>
          <w:rFonts w:hint="eastAsia" w:ascii="等线" w:hAnsi="等线" w:eastAsia="等线" w:cs="Times New Roman"/>
          <w:color w:val="000000"/>
          <w:kern w:val="2"/>
          <w:sz w:val="27"/>
          <w:szCs w:val="27"/>
        </w:rPr>
        <w:t xml:space="preserve"> </w:t>
      </w:r>
    </w:p>
    <w:p>
      <w:pPr>
        <w:pStyle w:val="6"/>
        <w:spacing w:before="0" w:beforeAutospacing="0" w:after="2" w:afterAutospacing="0"/>
        <w:ind w:left="0" w:firstLine="641"/>
        <w:rPr>
          <w:rFonts w:hint="eastAsia" w:ascii="等线" w:hAnsi="等线" w:eastAsia="等线" w:cs="Times New Roman"/>
          <w:kern w:val="2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7、负责与上级政协、同级党委、人大、政府、外地政协及区直有关部门的联络接待工作。</w:t>
      </w:r>
      <w:r>
        <w:rPr>
          <w:rFonts w:hint="eastAsia" w:ascii="等线" w:hAnsi="等线" w:eastAsia="等线" w:cs="Times New Roman"/>
          <w:color w:val="000000"/>
          <w:kern w:val="2"/>
          <w:sz w:val="27"/>
          <w:szCs w:val="27"/>
        </w:rPr>
        <w:t xml:space="preserve"> </w:t>
      </w:r>
    </w:p>
    <w:p>
      <w:pPr>
        <w:pStyle w:val="6"/>
        <w:spacing w:before="0" w:beforeAutospacing="0" w:after="2" w:afterAutospacing="0"/>
        <w:ind w:left="0" w:firstLine="641"/>
        <w:rPr>
          <w:rFonts w:hint="eastAsia" w:ascii="等线" w:hAnsi="等线" w:eastAsia="等线" w:cs="Times New Roman"/>
          <w:kern w:val="2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8、负责各项中心工作的组织实施，以及政协常委会议和政协领导交办的其他工作。</w:t>
      </w:r>
      <w:r>
        <w:rPr>
          <w:rFonts w:hint="eastAsia" w:ascii="等线" w:hAnsi="等线" w:eastAsia="等线" w:cs="Times New Roman"/>
          <w:color w:val="000000"/>
          <w:kern w:val="2"/>
          <w:sz w:val="27"/>
          <w:szCs w:val="27"/>
        </w:rPr>
        <w:t xml:space="preserve"> </w:t>
      </w:r>
    </w:p>
    <w:p>
      <w:pPr>
        <w:jc w:val="left"/>
        <w:rPr>
          <w:rFonts w:ascii="仿宋_GB2312" w:hAnsi="宋体" w:eastAsia="仿宋_GB2312"/>
          <w:sz w:val="28"/>
          <w:szCs w:val="32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6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二、部门整体支出管理及使用情况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71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（一）预算执行情况。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2022年度双清区政协财政预算拨款收入总计</w:t>
      </w:r>
      <w:r>
        <w:rPr>
          <w:rFonts w:hint="eastAsia" w:ascii="宋体" w:hAnsi="宋体"/>
          <w:sz w:val="32"/>
          <w:szCs w:val="32"/>
          <w:lang w:val="en-US" w:eastAsia="zh-CN"/>
        </w:rPr>
        <w:t>476.01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万元；2022年度实际总支出540.38万元，其中基本支出493.21万元，主要用于人员经费支出和日常公用经费支出。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（二）基本支出。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本年基本支出493.21万元，包括人员经费支出446.57万元，主要为基本工资、津贴补贴费、奖金、社会保障费、住房公积金；日常公用经费支出46.64万元，包括工会经费、福利费、对个人及家庭补助支出。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（三）“三公经费”管理。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2022年双清区政协较好地落实中央八项规定和省委九项、市委十项规定，加强对预算资金支出的管理，先后完善出台了《财务管理制度》、《市政协差旅费报账须知》、《市政协会议费管理规定》、《市政协培训费管理规定》、《公务接待制度》和《财务会审制度》等一系列的管理制度，财务管理做到了厉行节约，公开透明，特别是“三公经费”做到了从严管理，只降不增。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75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三公经费控制情况：我单位贯彻落实上级有关精神，严格控制“三公经费”支出，取得了良好效果。具体情况如下：</w:t>
      </w:r>
      <w:r>
        <w:rPr>
          <w:rFonts w:ascii="Times New Roman" w:hAnsi="Times New Roman" w:eastAsia="仿宋_GB2312" w:cs="Times New Roman"/>
          <w:color w:val="000000"/>
          <w:sz w:val="31"/>
          <w:szCs w:val="31"/>
          <w:shd w:val="clear" w:color="auto" w:fill="FFFFFF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31"/>
          <w:szCs w:val="31"/>
          <w:shd w:val="clear" w:color="auto" w:fill="FFFFFF"/>
          <w:lang w:val="en-US" w:eastAsia="zh-CN"/>
        </w:rPr>
        <w:t>22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年“三公”经费</w:t>
      </w:r>
      <w:r>
        <w:rPr>
          <w:rFonts w:hint="eastAsia" w:ascii="Times New Roman" w:hAnsi="Times New Roman" w:eastAsia="仿宋_GB2312" w:cs="Times New Roman"/>
          <w:color w:val="000000"/>
          <w:sz w:val="31"/>
          <w:szCs w:val="31"/>
          <w:shd w:val="clear" w:color="auto" w:fill="FFFFFF"/>
          <w:lang w:val="en-US" w:eastAsia="zh-CN"/>
        </w:rPr>
        <w:t>0.21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万元，其中公务接待费为</w:t>
      </w:r>
      <w:r>
        <w:rPr>
          <w:rFonts w:hint="eastAsia" w:ascii="Times New Roman" w:hAnsi="Times New Roman" w:eastAsia="仿宋_GB2312" w:cs="Times New Roman"/>
          <w:color w:val="000000"/>
          <w:sz w:val="31"/>
          <w:szCs w:val="31"/>
          <w:shd w:val="clear" w:color="auto" w:fill="FFFFFF"/>
          <w:lang w:val="en-US" w:eastAsia="zh-CN"/>
        </w:rPr>
        <w:t>0.21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万元，无公务用车运行维护费和因公出国（境）费用。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72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7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三、资产管理情况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7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2022年度双清区政协主要资产有空调、电脑、办公设备等固定资产164件，原值30.9万元，共计固定资产原值30.9万元。该单位内部制定了资产管理制度，对各类资产的购置、保管、使用、报废、处置等方面都作出了明确的规定，制度要求每年组织对单位的财产物资进行清查盘点，办公室应设立固定资产明细台账和卡片，由专人负责管理，固定资产报废需分别经分管办公室领导和党组书记同意，由财务人员报财政有关部门和国有资产管理部门批复后核销账务。但经我们实地查看时仍发现存在固定资产管理执行不到位，年终盘底不彻底，账卡建立不完整等问题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eastAsia" w:ascii="黑体" w:hAns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222222"/>
          <w:kern w:val="0"/>
          <w:sz w:val="32"/>
          <w:szCs w:val="32"/>
        </w:rPr>
        <w:t>、部门整体支出绩效评价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年，根据办公室年初工作规划和重点性工作，围绕区委、区政府全面建成小康社会的发展蓝图，积极履职，强化管理，较好的完成了年度工作目标。通过加强预算收支管理，不断建立健全内部管理制度，梳理内部管理流程，部门整体支出管理情况得到提升。根据20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年度部门整体支出状况的概述和分析，部门整体支出绩效情况如下：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rPr>
          <w:rFonts w:hint="eastAsia" w:ascii="楷体_GB2312" w:hAnsi="楷体_GB2312" w:eastAsia="楷体_GB2312" w:cs="楷体_GB2312"/>
          <w:b/>
          <w:bCs/>
          <w:color w:val="22222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222222"/>
          <w:kern w:val="0"/>
          <w:sz w:val="32"/>
          <w:szCs w:val="32"/>
        </w:rPr>
        <w:t>（一）经济效益评价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  <w:t>本年预算配置控制较好。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财政供养人员控制在预算编制以内，编制内在职人员控制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100%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内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；“三公”经费预算总额较上年减少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，“三公”经费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预算无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变动。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  <w:t>预算执行方面。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支出总额控制在预算总额以内，除专项预算的追加和政策性工资绩效预算的追加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以及用款科目变动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外，本年部门预算未进行预算相关事项的调整；我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预算内专项资金在取得财政局的年度预算批复时，随批复一同进行了下达； “三公”经费总体控制较好，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2022年“三公”经费支出为2.83万元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</w:rPr>
        <w:t>预算管理方面</w:t>
      </w: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制度执行总体较为有效，仍需进一步强化；资金使用管理需进一步加强。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  <w:lang w:val="en-US" w:eastAsia="zh-CN"/>
        </w:rPr>
        <w:t>4.资产管理方面。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建立了资产管理制度，定期进行了盘点和资产清理，总体执行较好。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rPr>
          <w:rFonts w:hint="eastAsia" w:ascii="楷体_GB2312" w:hAnsi="楷体_GB2312" w:eastAsia="楷体_GB2312" w:cs="楷体_GB2312"/>
          <w:color w:val="22222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222222"/>
          <w:kern w:val="0"/>
          <w:sz w:val="32"/>
          <w:szCs w:val="32"/>
        </w:rPr>
        <w:t>（二）效率性评价和有效性评价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预算安排的基本支出保障了我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正常的工作运转，我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在执行上是严格遵守各项财经纪律的，严守法律底线、纪律底线、道德底线。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rPr>
          <w:rFonts w:hint="eastAsia" w:ascii="楷体_GB2312" w:hAnsi="楷体_GB2312" w:eastAsia="楷体_GB2312" w:cs="楷体_GB2312"/>
          <w:color w:val="22222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222222"/>
          <w:kern w:val="0"/>
          <w:sz w:val="32"/>
          <w:szCs w:val="32"/>
        </w:rPr>
        <w:t>（三）社会公众满意度评价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年，全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干部职工在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党支部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的正确领导下，认真贯彻落实中央、省、市、区委、政府决策部署，勤奋工作，创先争优。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eastAsia" w:ascii="黑体" w:hAns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222222"/>
          <w:kern w:val="0"/>
          <w:sz w:val="32"/>
          <w:szCs w:val="32"/>
        </w:rPr>
        <w:t>、存在的主要问题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1.预算编制的合理性有待提高。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2.部分项目支出预算编制中，经济科目设置错误。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3.存量资金较大。结转指标仍然较大，还需进一步加大执行力度，减少年末存量资金数。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eastAsia" w:ascii="黑体" w:hAns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222222"/>
          <w:kern w:val="0"/>
          <w:sz w:val="32"/>
          <w:szCs w:val="32"/>
        </w:rPr>
        <w:t>、有关建议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针对上述存在的问题及我办整体支出管理工作的需要，拟实施的改进措施如下：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1.细化预算编制工作，认真做好预算的编制。进一步加强办公室内部机构各科室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推行内部各处室预算“二上二下”方式，提高预算的合理性和准确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2.加强财务管理，严格财务审核。在费用报账支付时，按照预算规定的费用项目和用途进行资金使用审核、列报支付、财务核算，杜绝超支现象的发生。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持续抓好“三公”经费控制管理。严格控制“三公”经费的规模和比例，把关“三公”经费支出的审核、审批，杜绝挪用和挤占其他预算资金行为；进一步细化“三公”经费的管理，合理压缩“三公”经费支出。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加强项目开展进度的跟踪，开展项目绩效评价，确保项目绩效目标的完成。</w:t>
      </w:r>
    </w:p>
    <w:p>
      <w:pPr>
        <w:ind w:firstLine="643" w:firstLineChars="200"/>
        <w:jc w:val="center"/>
        <w:rPr>
          <w:rFonts w:ascii="宋体" w:hAnsi="宋体" w:cs="黑体"/>
          <w:b/>
          <w:color w:val="000000"/>
          <w:kern w:val="0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30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（一）整体支出绩效目标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620" w:firstLineChars="20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预决算公开：</w:t>
      </w: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20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22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年，按照上级的要求，我单位在政府网站上进行了预决算公开。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620" w:firstLineChars="20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资产管理：我们进一步加强资产的管理，明确了具体责任人，完善了固定资产档案，严格报批、审核等手续，做好资产登记工作，单位无任何资产流失现象。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75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（二）部门整体支出情况分析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75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从整体情况来看，我单位严格按照年初预算进行部门整体支出。在支出过程中，能严格遵守各项规章制度。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6CDB8C"/>
    <w:multiLevelType w:val="singleLevel"/>
    <w:tmpl w:val="E26CDB8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YzA3Mzg0YThjODc2ODRhYmVjNTY3YzJjNzQzNWUifQ=="/>
  </w:docVars>
  <w:rsids>
    <w:rsidRoot w:val="00000000"/>
    <w:rsid w:val="06E67FCB"/>
    <w:rsid w:val="194725C7"/>
    <w:rsid w:val="1BCE57B0"/>
    <w:rsid w:val="451129BF"/>
    <w:rsid w:val="4F881A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5">
    <w:name w:val="普通(网站) Char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18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301</Characters>
  <Lines>0</Lines>
  <Paragraphs>0</Paragraphs>
  <TotalTime>16</TotalTime>
  <ScaleCrop>false</ScaleCrop>
  <LinksUpToDate>false</LinksUpToDate>
  <CharactersWithSpaces>301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2022-06-29T09:15:00Z</dcterms:created>
  <dc:creator>Administrator</dc:creator>
  <cp:lastModifiedBy>Administrator</cp:lastModifiedBy>
  <dcterms:modified xsi:type="dcterms:W3CDTF">2023-09-18T07:59:57Z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D9F59906B95145DCAD7326697A2D637F</vt:lpwstr>
  </property>
</Properties>
</file>