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r>
        <w:rPr>
          <w:rFonts w:hint="eastAsia" w:ascii="黑体" w:hAnsi="黑体" w:eastAsia="黑体" w:cs="黑体"/>
          <w:kern w:val="0"/>
          <w:sz w:val="32"/>
          <w:szCs w:val="32"/>
        </w:rPr>
        <w:t>202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年度</w:t>
      </w:r>
      <w:r>
        <w:rPr>
          <w:rFonts w:hint="eastAsia" w:ascii="黑体" w:hAnsi="黑体" w:eastAsia="黑体" w:cs="黑体"/>
          <w:kern w:val="0"/>
          <w:sz w:val="32"/>
          <w:szCs w:val="32"/>
          <w:lang w:eastAsia="zh-CN"/>
        </w:rPr>
        <w:t>双清区妇联</w:t>
      </w:r>
      <w:r>
        <w:rPr>
          <w:rFonts w:hint="eastAsia" w:ascii="黑体" w:hAnsi="黑体" w:eastAsia="黑体" w:cs="黑体"/>
          <w:kern w:val="0"/>
          <w:sz w:val="32"/>
          <w:szCs w:val="32"/>
        </w:rPr>
        <w:t>部门整体支出绩效评价报告</w:t>
      </w:r>
    </w:p>
    <w:p>
      <w:pPr>
        <w:pStyle w:val="11"/>
        <w:keepNext w:val="0"/>
        <w:keepLines w:val="0"/>
        <w:pageBreakBefore w:val="0"/>
        <w:widowControl/>
        <w:suppressLineNumbers w:val="0"/>
        <w:kinsoku/>
        <w:wordWrap/>
        <w:overflowPunct/>
        <w:autoSpaceDE/>
        <w:autoSpaceDN/>
        <w:bidi w:val="0"/>
        <w:spacing w:beforeAutospacing="0" w:after="0" w:afterAutospacing="0" w:line="560" w:lineRule="exact"/>
        <w:ind w:left="0" w:firstLine="640" w:firstLineChars="200"/>
        <w:jc w:val="center"/>
        <w:textAlignment w:val="auto"/>
        <w:rPr>
          <w:rFonts w:hint="eastAsia" w:ascii="黑体" w:hAnsi="黑体" w:eastAsia="黑体" w:cs="黑体"/>
          <w:kern w:val="0"/>
          <w:sz w:val="32"/>
          <w:szCs w:val="32"/>
        </w:rPr>
      </w:pP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一、部门概况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90" w:lineRule="atLeast"/>
        <w:ind w:left="0" w:right="0" w:firstLine="641"/>
        <w:rPr>
          <w:rFonts w:hint="eastAsia" w:ascii="仿宋" w:hAnsi="仿宋" w:eastAsia="仿宋" w:cs="仿宋"/>
          <w:i w:val="0"/>
          <w:iCs w:val="0"/>
          <w:caps w:val="0"/>
          <w:color w:val="333333"/>
          <w:spacing w:val="0"/>
          <w:sz w:val="32"/>
          <w:szCs w:val="32"/>
        </w:rPr>
      </w:pPr>
      <w:r>
        <w:rPr>
          <w:rFonts w:hint="eastAsia" w:ascii="楷体" w:hAnsi="楷体" w:eastAsia="楷体" w:cs="楷体"/>
          <w:kern w:val="0"/>
          <w:sz w:val="32"/>
          <w:szCs w:val="32"/>
        </w:rPr>
        <w:t>（一）部门基本情况</w:t>
      </w:r>
      <w:r>
        <w:rPr>
          <w:rFonts w:hint="eastAsia" w:ascii="仿宋" w:hAnsi="仿宋" w:eastAsia="仿宋" w:cs="仿宋"/>
          <w:kern w:val="0"/>
          <w:sz w:val="32"/>
          <w:szCs w:val="32"/>
        </w:rPr>
        <w:t>（包括部门的在职人员情况、机构设置、主要职能及重点工作计划等）。</w:t>
      </w:r>
      <w:r>
        <w:rPr>
          <w:rFonts w:hint="eastAsia" w:ascii="仿宋" w:hAnsi="仿宋" w:eastAsia="仿宋" w:cs="仿宋"/>
          <w:kern w:val="0"/>
          <w:sz w:val="32"/>
          <w:szCs w:val="32"/>
          <w:shd w:val="clear" w:color="auto" w:fill="FFFFFF"/>
          <w:lang w:eastAsia="zh-CN"/>
        </w:rPr>
        <w:t>邵阳市双清区妇女联合会</w:t>
      </w:r>
      <w:r>
        <w:rPr>
          <w:rFonts w:hint="eastAsia" w:ascii="仿宋" w:hAnsi="仿宋" w:eastAsia="仿宋" w:cs="仿宋"/>
          <w:kern w:val="0"/>
          <w:sz w:val="32"/>
          <w:szCs w:val="32"/>
          <w:shd w:val="clear" w:color="auto" w:fill="FFFFFF"/>
        </w:rPr>
        <w:t>内设</w:t>
      </w:r>
      <w:r>
        <w:rPr>
          <w:rFonts w:hint="eastAsia" w:ascii="仿宋" w:hAnsi="仿宋" w:eastAsia="仿宋" w:cs="仿宋"/>
          <w:i w:val="0"/>
          <w:iCs w:val="0"/>
          <w:caps w:val="0"/>
          <w:color w:val="000000"/>
          <w:spacing w:val="0"/>
          <w:sz w:val="32"/>
          <w:szCs w:val="32"/>
          <w:shd w:val="clear" w:fill="FFFFFF"/>
        </w:rPr>
        <w:t>办公室和综合部共2个机构</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kern w:val="0"/>
          <w:sz w:val="32"/>
          <w:szCs w:val="32"/>
        </w:rPr>
        <w:t>主要职能是：</w:t>
      </w:r>
      <w:r>
        <w:rPr>
          <w:rFonts w:hint="eastAsia" w:ascii="仿宋" w:hAnsi="仿宋" w:eastAsia="仿宋" w:cs="仿宋"/>
          <w:i w:val="0"/>
          <w:iCs w:val="0"/>
          <w:caps w:val="0"/>
          <w:color w:val="000000"/>
          <w:spacing w:val="0"/>
          <w:sz w:val="32"/>
          <w:szCs w:val="32"/>
          <w:shd w:val="clear" w:fill="FFFFFF"/>
        </w:rPr>
        <w:t>指导全区各级妇联组织依据《中华全国妇女联合会章程》和妇女代表大会的决定、决议，开展妇女儿童工作，联系团体会员，并给予业务指导</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 组织引导妇女学习贯彻习近平新时代中国特色社会主义思想和党的路线方针政策，用中国特色社会主义共同理想凝聚妇女</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团结动员妇女投身改革开放和社会主义经济建设、政治建设、文化建设、社会建设和生态文明建设，注重发挥妇女在社会生活和家庭生活中的独特作用，指导和推动全区妇女参与扶贫、乡村振兴、生态环境建设、城乡岗位建功和“文明家庭”创建，为中国特色社会主义伟大实践作贡献</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树立自尊、自信、自立、自强的精神，提高综合素质，实现全面发展。宣传马克思主义妇女观，推动落实男女平等基本国策，营造有利于妇女全面发展的社会环境。宣传表彰优秀妇女典型，培养、推荐女性人才</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教育引导妇女践行社会主义核心价值观，弘扬中华优秀文化，组织开展家庭文明创建，支持服务家庭教育，传承中华民族家庭美德，树立良好家风，推动形成家庭文明新风尚</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维护妇女儿童合法权益，倾听妇女意见，反映妇女诉求，调查研究妇女、儿童问题，为区委、区政府决策提供依据，提出建议。代表妇女参与管理国家事务、管理经济和文化事业、管理社会事务，参与民主决策、民主管理、民主监督，参与社会治理和公共服务，推动保障妇女权益法律政策和妇女、儿童发展纲要的实施</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加强城乡基层妇女组织建设，扩大组织网络，拓宽工作领域。关心妇女工作生活，拓宽服务渠道，创新服务方式，建设服务阵地，发展公益事业，壮大巾帼志愿者队伍，加强妇女之家建设。联系和引导女性社会组织，加强与社会各界的协作，推动全社会为妇女儿童和家庭服务</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负责与社会各族各界妇女的联络，与民主党派、工商联和团体会员之间的联系</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 承担区人民政府妇女儿童工作委员会办公室日常工作</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i w:val="0"/>
          <w:iCs w:val="0"/>
          <w:caps w:val="0"/>
          <w:color w:val="000000"/>
          <w:spacing w:val="0"/>
          <w:sz w:val="32"/>
          <w:szCs w:val="32"/>
          <w:shd w:val="clear" w:fill="FFFFFF"/>
        </w:rPr>
        <w:t>完成市妇联和区委、区政府交办的其他任务。 </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楷体" w:hAnsi="楷体" w:eastAsia="楷体" w:cs="楷体"/>
          <w:kern w:val="0"/>
          <w:sz w:val="32"/>
          <w:szCs w:val="32"/>
        </w:rPr>
      </w:pPr>
      <w:r>
        <w:rPr>
          <w:rFonts w:hint="eastAsia" w:ascii="楷体" w:hAnsi="楷体" w:eastAsia="楷体" w:cs="楷体"/>
          <w:kern w:val="0"/>
          <w:sz w:val="32"/>
          <w:szCs w:val="32"/>
        </w:rPr>
        <w:t>（二）部门整体支出规模、使用方向和主要内容、涉及范围等。</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年度部门整体支出分为基本支出和项目支出，基本支出用于保障单位正常运转的日常支出，项目支出用于</w:t>
      </w:r>
      <w:r>
        <w:rPr>
          <w:rFonts w:hint="eastAsia" w:ascii="仿宋" w:hAnsi="仿宋" w:eastAsia="仿宋" w:cs="仿宋"/>
          <w:kern w:val="0"/>
          <w:sz w:val="32"/>
          <w:szCs w:val="32"/>
          <w:lang w:eastAsia="zh-CN"/>
        </w:rPr>
        <w:t>开展妇女儿童工作及相关业务支出</w:t>
      </w:r>
      <w:r>
        <w:rPr>
          <w:rFonts w:hint="eastAsia" w:ascii="仿宋" w:hAnsi="仿宋" w:eastAsia="仿宋" w:cs="仿宋"/>
          <w:kern w:val="0"/>
          <w:sz w:val="32"/>
          <w:szCs w:val="32"/>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二、部门整体支出管理及使用情况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（一）预算执行情况</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年度预算收入</w:t>
      </w:r>
      <w:r>
        <w:rPr>
          <w:rFonts w:hint="eastAsia" w:ascii="仿宋" w:hAnsi="仿宋" w:eastAsia="仿宋" w:cs="仿宋"/>
          <w:kern w:val="0"/>
          <w:sz w:val="32"/>
          <w:szCs w:val="32"/>
          <w:lang w:val="en-US" w:eastAsia="zh-CN"/>
        </w:rPr>
        <w:t>69.65</w:t>
      </w:r>
      <w:r>
        <w:rPr>
          <w:rFonts w:hint="eastAsia" w:ascii="仿宋" w:hAnsi="仿宋" w:eastAsia="仿宋" w:cs="仿宋"/>
          <w:kern w:val="0"/>
          <w:sz w:val="32"/>
          <w:szCs w:val="32"/>
        </w:rPr>
        <w:t>万元，预算支出</w:t>
      </w:r>
      <w:r>
        <w:rPr>
          <w:rFonts w:hint="eastAsia" w:ascii="仿宋" w:hAnsi="仿宋" w:eastAsia="仿宋" w:cs="仿宋"/>
          <w:kern w:val="0"/>
          <w:sz w:val="32"/>
          <w:szCs w:val="32"/>
          <w:lang w:val="en-US" w:eastAsia="zh-CN"/>
        </w:rPr>
        <w:t>69.65</w:t>
      </w:r>
      <w:r>
        <w:rPr>
          <w:rFonts w:hint="eastAsia" w:ascii="仿宋" w:hAnsi="仿宋" w:eastAsia="仿宋" w:cs="仿宋"/>
          <w:kern w:val="0"/>
          <w:sz w:val="32"/>
          <w:szCs w:val="32"/>
        </w:rPr>
        <w:t>万元。预</w:t>
      </w:r>
      <w:r>
        <w:rPr>
          <w:rFonts w:hint="eastAsia" w:ascii="仿宋" w:hAnsi="仿宋" w:eastAsia="仿宋" w:cs="仿宋"/>
          <w:kern w:val="0"/>
          <w:sz w:val="32"/>
          <w:szCs w:val="32"/>
          <w:lang w:eastAsia="zh-CN"/>
        </w:rPr>
        <w:t>决</w:t>
      </w:r>
      <w:r>
        <w:rPr>
          <w:rFonts w:hint="eastAsia" w:ascii="仿宋" w:hAnsi="仿宋" w:eastAsia="仿宋" w:cs="仿宋"/>
          <w:kern w:val="0"/>
          <w:sz w:val="32"/>
          <w:szCs w:val="32"/>
        </w:rPr>
        <w:t>算信息都在邵阳市人民政府门户网站公开，接受社会公众监督。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3" w:firstLineChars="200"/>
        <w:jc w:val="both"/>
        <w:textAlignment w:val="auto"/>
        <w:rPr>
          <w:rFonts w:hint="eastAsia" w:ascii="楷体" w:hAnsi="楷体" w:eastAsia="楷体" w:cs="楷体"/>
          <w:b/>
          <w:bCs w:val="0"/>
          <w:kern w:val="0"/>
          <w:sz w:val="32"/>
          <w:szCs w:val="32"/>
        </w:rPr>
      </w:pPr>
      <w:r>
        <w:rPr>
          <w:rFonts w:hint="eastAsia" w:ascii="楷体" w:hAnsi="楷体" w:eastAsia="楷体" w:cs="楷体"/>
          <w:b/>
          <w:bCs w:val="0"/>
          <w:kern w:val="0"/>
          <w:sz w:val="32"/>
          <w:szCs w:val="32"/>
        </w:rPr>
        <w:t>（二）基本支出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一般公共服务</w:t>
      </w:r>
      <w:r>
        <w:rPr>
          <w:rFonts w:hint="eastAsia" w:ascii="仿宋" w:hAnsi="仿宋" w:eastAsia="仿宋" w:cs="仿宋"/>
          <w:kern w:val="0"/>
          <w:sz w:val="32"/>
          <w:szCs w:val="32"/>
        </w:rPr>
        <w:t>支出</w:t>
      </w:r>
      <w:r>
        <w:rPr>
          <w:rFonts w:hint="eastAsia" w:ascii="仿宋" w:hAnsi="仿宋" w:eastAsia="仿宋" w:cs="仿宋"/>
          <w:kern w:val="0"/>
          <w:sz w:val="32"/>
          <w:szCs w:val="32"/>
          <w:lang w:val="en-US" w:eastAsia="zh-CN"/>
        </w:rPr>
        <w:t>109.47</w:t>
      </w:r>
      <w:r>
        <w:rPr>
          <w:rFonts w:hint="eastAsia" w:ascii="仿宋" w:hAnsi="仿宋" w:eastAsia="仿宋" w:cs="仿宋"/>
          <w:kern w:val="0"/>
          <w:sz w:val="32"/>
          <w:szCs w:val="32"/>
        </w:rPr>
        <w:t>万元，响应国家相关政策，厉行节约，严格控制“三公”经费支出，202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年“三公”经费共支出</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万元，其中：公务用车运行费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万元，公务接待费</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元，</w:t>
      </w:r>
      <w:r>
        <w:rPr>
          <w:rFonts w:hint="eastAsia" w:ascii="仿宋" w:hAnsi="仿宋" w:eastAsia="仿宋" w:cs="仿宋"/>
          <w:kern w:val="0"/>
          <w:sz w:val="32"/>
          <w:szCs w:val="32"/>
          <w:lang w:eastAsia="zh-CN"/>
        </w:rPr>
        <w:t>与上年度持平</w:t>
      </w:r>
      <w:r>
        <w:rPr>
          <w:rFonts w:hint="eastAsia" w:ascii="仿宋" w:hAnsi="仿宋" w:eastAsia="仿宋" w:cs="仿宋"/>
          <w:kern w:val="0"/>
          <w:sz w:val="32"/>
          <w:szCs w:val="32"/>
          <w:lang w:val="en-US" w:eastAsia="zh-CN"/>
        </w:rPr>
        <w:t>。</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三、资产管理情况</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年固定资产年初数</w:t>
      </w:r>
      <w:r>
        <w:rPr>
          <w:rFonts w:hint="eastAsia" w:ascii="仿宋" w:hAnsi="仿宋" w:eastAsia="仿宋" w:cs="仿宋"/>
          <w:kern w:val="0"/>
          <w:sz w:val="32"/>
          <w:szCs w:val="32"/>
          <w:lang w:val="en-US" w:eastAsia="zh-CN"/>
        </w:rPr>
        <w:t>2.49</w:t>
      </w:r>
      <w:r>
        <w:rPr>
          <w:rFonts w:hint="eastAsia" w:ascii="仿宋" w:hAnsi="仿宋" w:eastAsia="仿宋" w:cs="仿宋"/>
          <w:kern w:val="0"/>
          <w:sz w:val="32"/>
          <w:szCs w:val="32"/>
        </w:rPr>
        <w:t>万元，期末数</w:t>
      </w:r>
      <w:r>
        <w:rPr>
          <w:rFonts w:hint="eastAsia" w:ascii="仿宋" w:hAnsi="仿宋" w:eastAsia="仿宋" w:cs="仿宋"/>
          <w:kern w:val="0"/>
          <w:sz w:val="32"/>
          <w:szCs w:val="32"/>
          <w:lang w:val="en-US" w:eastAsia="zh-CN"/>
        </w:rPr>
        <w:t>1.91</w:t>
      </w:r>
      <w:r>
        <w:rPr>
          <w:rFonts w:hint="eastAsia" w:ascii="仿宋" w:hAnsi="仿宋" w:eastAsia="仿宋" w:cs="仿宋"/>
          <w:kern w:val="0"/>
          <w:sz w:val="32"/>
          <w:szCs w:val="32"/>
        </w:rPr>
        <w:t xml:space="preserve"> 万元。</w:t>
      </w:r>
    </w:p>
    <w:p>
      <w:pPr>
        <w:keepNext w:val="0"/>
        <w:keepLines w:val="0"/>
        <w:pageBreakBefore w:val="0"/>
        <w:widowControl/>
        <w:numPr>
          <w:ilvl w:val="0"/>
          <w:numId w:val="1"/>
        </w:numPr>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绩效评价工作</w:t>
      </w:r>
      <w:r>
        <w:rPr>
          <w:rFonts w:hint="eastAsia" w:ascii="黑体" w:hAnsi="黑体" w:eastAsia="黑体" w:cs="黑体"/>
          <w:kern w:val="0"/>
          <w:sz w:val="32"/>
          <w:szCs w:val="32"/>
          <w:lang w:eastAsia="zh-CN"/>
        </w:rPr>
        <w:t>开展</w:t>
      </w:r>
      <w:r>
        <w:rPr>
          <w:rFonts w:hint="eastAsia" w:ascii="黑体" w:hAnsi="黑体" w:eastAsia="黑体" w:cs="黑体"/>
          <w:kern w:val="0"/>
          <w:sz w:val="32"/>
          <w:szCs w:val="32"/>
        </w:rPr>
        <w:t>情况</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0" w:name="_Toc32578"/>
      <w:bookmarkStart w:id="1" w:name="_Toc22407"/>
      <w:bookmarkStart w:id="2" w:name="_Toc21446"/>
      <w:r>
        <w:rPr>
          <w:rFonts w:hint="eastAsia" w:ascii="楷体" w:hAnsi="楷体" w:eastAsia="楷体" w:cs="楷体"/>
          <w:b/>
          <w:bCs/>
          <w:kern w:val="0"/>
          <w:sz w:val="32"/>
          <w:szCs w:val="32"/>
          <w:lang w:val="en-US" w:eastAsia="zh-CN"/>
        </w:rPr>
        <w:t>（一）绩效评价目的</w:t>
      </w:r>
      <w:bookmarkEnd w:id="0"/>
      <w:bookmarkEnd w:id="1"/>
      <w:bookmarkEnd w:id="2"/>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通过对部门整体支出绩效评价，了解部门资金使用情况及取得的成果，及时发现资金管理和部门支出过程中存在的问题，提出相关建议和采取相应的措施，从而为加强预算绩效管理、提高专项资金的使用效益、强化预算约束提供重要的参考依据。</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leftChars="200" w:right="0" w:rightChars="0"/>
        <w:jc w:val="both"/>
        <w:textAlignment w:val="auto"/>
        <w:rPr>
          <w:rFonts w:hint="eastAsia" w:ascii="楷体" w:hAnsi="楷体" w:eastAsia="楷体" w:cs="楷体"/>
          <w:b/>
          <w:bCs/>
          <w:kern w:val="0"/>
          <w:sz w:val="32"/>
          <w:szCs w:val="32"/>
          <w:lang w:val="en-US" w:eastAsia="zh-CN"/>
        </w:rPr>
      </w:pPr>
      <w:bookmarkStart w:id="3" w:name="_Toc6376"/>
      <w:bookmarkStart w:id="4" w:name="_Toc12780"/>
      <w:bookmarkStart w:id="5" w:name="_Toc22978"/>
      <w:bookmarkStart w:id="6" w:name="_Toc2315"/>
      <w:bookmarkStart w:id="7" w:name="_Toc29745"/>
      <w:bookmarkStart w:id="8" w:name="_Toc22734"/>
      <w:bookmarkStart w:id="9" w:name="_Toc22531"/>
      <w:bookmarkStart w:id="10" w:name="_Toc5938"/>
      <w:bookmarkStart w:id="11" w:name="_Toc27511"/>
      <w:bookmarkStart w:id="12" w:name="_Toc23600"/>
      <w:bookmarkStart w:id="13" w:name="_Toc11842"/>
      <w:bookmarkStart w:id="14" w:name="_Toc6076"/>
      <w:bookmarkStart w:id="15" w:name="_Toc22165"/>
      <w:r>
        <w:rPr>
          <w:rFonts w:hint="eastAsia" w:ascii="楷体" w:hAnsi="楷体" w:eastAsia="楷体" w:cs="楷体"/>
          <w:b/>
          <w:bCs/>
          <w:kern w:val="0"/>
          <w:sz w:val="32"/>
          <w:szCs w:val="32"/>
          <w:lang w:val="en-US" w:eastAsia="zh-CN"/>
        </w:rPr>
        <w:t>（二）绩效评价的基本原则</w:t>
      </w:r>
      <w:bookmarkEnd w:id="3"/>
      <w:bookmarkEnd w:id="4"/>
      <w:bookmarkEnd w:id="5"/>
      <w:bookmarkEnd w:id="6"/>
      <w:bookmarkEnd w:id="7"/>
      <w:bookmarkEnd w:id="8"/>
      <w:bookmarkEnd w:id="9"/>
      <w:bookmarkEnd w:id="10"/>
      <w:bookmarkEnd w:id="11"/>
      <w:bookmarkEnd w:id="12"/>
      <w:bookmarkEnd w:id="13"/>
      <w:bookmarkEnd w:id="14"/>
      <w:bookmarkEnd w:id="15"/>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1.科学规范：注重专项资金的经济性、效率性和有效性，运用科学合理的方法，按照规范的程序，对财政运行绩效进行客观、公正的反映。</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2.统筹兼顾：绩效评价应职责明确，各有侧重，相互衔接。在单位自评的基础上，对专项资金进行绩效评价。</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3.激励约束：绩效评价结果应与预算安排、政策调整、改进管理实质性挂钩，体现奖优罚劣和激励相容导向。即：有效要保障、低效要压减、无效要问责。</w:t>
      </w:r>
    </w:p>
    <w:p>
      <w:pPr>
        <w:keepNext w:val="0"/>
        <w:keepLines w:val="0"/>
        <w:pageBreakBefore w:val="0"/>
        <w:widowControl/>
        <w:numPr>
          <w:ilvl w:val="0"/>
          <w:numId w:val="0"/>
        </w:numPr>
        <w:suppressLineNumbers w:val="0"/>
        <w:kinsoku/>
        <w:wordWrap/>
        <w:overflowPunct/>
        <w:autoSpaceDE/>
        <w:autoSpaceDN/>
        <w:bidi w:val="0"/>
        <w:adjustRightInd w:val="0"/>
        <w:snapToGrid w:val="0"/>
        <w:spacing w:after="0" w:afterAutospacing="0" w:line="560" w:lineRule="exact"/>
        <w:ind w:right="0" w:rightChars="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4.公开透明：绩效评价结果应依法依规公开，并自觉接受社会监督。</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五、综合评价情况及评价结论</w:t>
      </w:r>
    </w:p>
    <w:p>
      <w:pPr>
        <w:keepNext w:val="0"/>
        <w:keepLines w:val="0"/>
        <w:pageBreakBefore w:val="0"/>
        <w:widowControl/>
        <w:suppressLineNumbers w:val="0"/>
        <w:kinsoku/>
        <w:wordWrap/>
        <w:overflowPunct/>
        <w:autoSpaceDE/>
        <w:autoSpaceDN/>
        <w:bidi w:val="0"/>
        <w:spacing w:after="0" w:afterAutospacing="0" w:line="560" w:lineRule="exact"/>
        <w:ind w:left="0" w:firstLine="640" w:firstLineChars="200"/>
        <w:jc w:val="both"/>
        <w:textAlignment w:val="auto"/>
        <w:rPr>
          <w:rFonts w:hint="eastAsia" w:ascii="仿宋" w:hAnsi="仿宋" w:eastAsia="仿宋" w:cs="仿宋"/>
          <w:b/>
          <w:bCs w:val="0"/>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我单位积极履职，强化管理，较好地完成了年度工作目标。通过加强预算收支管理，不断建立健全内部管理制度，梳理内部管理流程，部门整体支出管理水平得到提升。根据部门整体支出绩效评价指标体系，我单位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年度评价得分为96分。</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六、部门整体支出主要绩效</w:t>
      </w:r>
    </w:p>
    <w:p>
      <w:pPr>
        <w:bidi w:val="0"/>
        <w:ind w:firstLine="640" w:firstLineChars="200"/>
        <w:rPr>
          <w:rFonts w:hint="eastAsia" w:ascii="仿宋" w:hAnsi="仿宋" w:eastAsia="仿宋_GB2312" w:cs="仿宋"/>
          <w:kern w:val="0"/>
          <w:sz w:val="32"/>
          <w:szCs w:val="32"/>
          <w:lang w:eastAsia="zh-CN"/>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 xml:space="preserve"> 年主要</w:t>
      </w:r>
      <w:r>
        <w:rPr>
          <w:rFonts w:hint="eastAsia" w:ascii="仿宋" w:hAnsi="仿宋" w:eastAsia="仿宋" w:cs="仿宋"/>
          <w:kern w:val="0"/>
          <w:sz w:val="32"/>
          <w:szCs w:val="32"/>
          <w:lang w:eastAsia="zh-CN"/>
        </w:rPr>
        <w:t>完成工作任务</w:t>
      </w:r>
      <w:r>
        <w:rPr>
          <w:rFonts w:hint="eastAsia" w:ascii="仿宋" w:hAnsi="仿宋" w:eastAsia="仿宋" w:cs="仿宋"/>
          <w:kern w:val="0"/>
          <w:sz w:val="32"/>
          <w:szCs w:val="32"/>
        </w:rPr>
        <w:t>：一</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党建带妇建</w:t>
      </w:r>
      <w:r>
        <w:rPr>
          <w:rFonts w:hint="eastAsia" w:ascii="仿宋_GB2312" w:hAnsi="仿宋_GB2312" w:eastAsia="仿宋_GB2312" w:cs="仿宋_GB2312"/>
          <w:sz w:val="32"/>
          <w:szCs w:val="32"/>
          <w:lang w:eastAsia="zh-CN"/>
        </w:rPr>
        <w:t>这一中心，</w:t>
      </w:r>
      <w:r>
        <w:rPr>
          <w:rFonts w:hint="eastAsia" w:ascii="仿宋_GB2312" w:hAnsi="仿宋_GB2312" w:eastAsia="仿宋_GB2312" w:cs="仿宋_GB2312"/>
          <w:sz w:val="32"/>
          <w:szCs w:val="32"/>
        </w:rPr>
        <w:t>以“巾帼心向党·礼赞新中国”为主题，持续深化开展党建带妇建工作</w:t>
      </w:r>
      <w:r>
        <w:rPr>
          <w:rFonts w:hint="eastAsia" w:ascii="仿宋_GB2312" w:hAnsi="仿宋_GB2312" w:eastAsia="仿宋_GB2312" w:cs="仿宋_GB2312"/>
          <w:sz w:val="32"/>
          <w:szCs w:val="32"/>
          <w:lang w:eastAsia="zh-CN"/>
        </w:rPr>
        <w:t>。</w:t>
      </w:r>
      <w:r>
        <w:rPr>
          <w:rFonts w:hint="eastAsia" w:ascii="仿宋_GB2312" w:hAnsi="仿宋" w:eastAsia="仿宋_GB2312" w:cs="仿宋"/>
          <w:snapToGrid w:val="0"/>
          <w:sz w:val="32"/>
          <w:szCs w:val="32"/>
        </w:rPr>
        <w:t>对邵水桥社区、佘湖社区、和谐社区进行了走访调研，形成了《妇联组织推动妇女参与社区居民自治的调研报告》</w:t>
      </w:r>
      <w:r>
        <w:rPr>
          <w:rFonts w:hint="eastAsia" w:ascii="仿宋_GB2312" w:hAnsi="仿宋" w:eastAsia="仿宋_GB2312" w:cs="仿宋"/>
          <w:snapToGrid w:val="0"/>
          <w:sz w:val="32"/>
          <w:szCs w:val="32"/>
          <w:lang w:val="en-US" w:eastAsia="zh-CN"/>
        </w:rPr>
        <w:t>,将新华社区、立新社区、观音塘社区、邵水桥社区、塔北社区作为妇联阵地建设示范社区</w:t>
      </w:r>
      <w:r>
        <w:rPr>
          <w:rFonts w:hint="eastAsia" w:ascii="仿宋_GB2312" w:hAnsi="仿宋" w:eastAsia="仿宋_GB2312" w:cs="仿宋"/>
          <w:snapToGrid w:val="0"/>
          <w:sz w:val="32"/>
          <w:szCs w:val="32"/>
          <w:lang w:eastAsia="zh-CN"/>
        </w:rPr>
        <w:t>。二是立足部门职能，围绕关爱妇女儿童，维护妇女儿童的合法权益开展各类活动。</w:t>
      </w:r>
      <w:r>
        <w:rPr>
          <w:rFonts w:hint="eastAsia" w:ascii="仿宋_GB2312" w:hAnsi="仿宋" w:eastAsia="仿宋_GB2312" w:cs="仿宋"/>
          <w:snapToGrid w:val="0"/>
          <w:sz w:val="32"/>
          <w:szCs w:val="32"/>
          <w:lang w:val="en-US" w:eastAsia="zh-CN"/>
        </w:rPr>
        <w:t>在七夕节开展“浪漫七夕 我们在一起”主题活动，关心关爱环卫工人。</w:t>
      </w:r>
      <w:r>
        <w:rPr>
          <w:rFonts w:hint="eastAsia" w:ascii="仿宋" w:hAnsi="仿宋" w:eastAsia="仿宋" w:cs="仿宋"/>
          <w:kern w:val="0"/>
          <w:sz w:val="32"/>
          <w:szCs w:val="32"/>
        </w:rPr>
        <w:t>三是</w:t>
      </w:r>
      <w:r>
        <w:rPr>
          <w:rFonts w:hint="eastAsia" w:ascii="仿宋_GB2312" w:hAnsi="仿宋_GB2312" w:eastAsia="仿宋_GB2312" w:cs="仿宋_GB2312"/>
          <w:sz w:val="32"/>
          <w:szCs w:val="32"/>
          <w:lang w:eastAsia="zh-CN"/>
        </w:rPr>
        <w:t>以培育典型和以点带面的方式，立足社区、家庭阵地，充分发挥妇联组织的独特作用，</w:t>
      </w:r>
      <w:r>
        <w:rPr>
          <w:rFonts w:hint="eastAsia" w:ascii="仿宋_GB2312" w:hAnsi="仿宋_GB2312" w:eastAsia="仿宋_GB2312" w:cs="仿宋_GB2312"/>
          <w:sz w:val="32"/>
          <w:szCs w:val="32"/>
          <w:lang w:val="en-US" w:eastAsia="zh-CN"/>
        </w:rPr>
        <w:t>成功创建了市级儿童之家1个、市级示范家长学校1个，市级“巾帼脱贫示范基地”1个。</w:t>
      </w:r>
      <w:r>
        <w:rPr>
          <w:rFonts w:hint="eastAsia" w:ascii="仿宋" w:hAnsi="仿宋" w:eastAsia="仿宋" w:cs="仿宋"/>
          <w:kern w:val="0"/>
          <w:sz w:val="32"/>
          <w:szCs w:val="32"/>
        </w:rPr>
        <w:t>四是</w:t>
      </w:r>
      <w:r>
        <w:rPr>
          <w:rFonts w:hint="eastAsia" w:ascii="仿宋_GB2312" w:hAnsi="仿宋_GB2312" w:eastAsia="仿宋_GB2312" w:cs="仿宋_GB2312"/>
          <w:sz w:val="32"/>
          <w:szCs w:val="32"/>
          <w:lang w:eastAsia="zh-CN"/>
        </w:rPr>
        <w:t>开展“幸福人生.家护航”系列公益活动进校园、进社区，为城市失业妇女、农村妇女免费开展家庭教育、家政服务培训班</w:t>
      </w:r>
      <w:r>
        <w:rPr>
          <w:rFonts w:hint="eastAsia" w:ascii="仿宋_GB2312" w:hAnsi="仿宋_GB2312" w:eastAsia="仿宋_GB2312" w:cs="仿宋_GB2312"/>
          <w:sz w:val="32"/>
          <w:szCs w:val="32"/>
        </w:rPr>
        <w:t>共</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期，参训妇女</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0多人次。</w:t>
      </w:r>
      <w:r>
        <w:rPr>
          <w:rFonts w:hint="eastAsia" w:ascii="仿宋_GB2312" w:hAnsi="仿宋_GB2312" w:eastAsia="仿宋_GB2312" w:cs="仿宋_GB2312"/>
          <w:sz w:val="32"/>
          <w:szCs w:val="32"/>
          <w:lang w:eastAsia="zh-CN"/>
        </w:rPr>
        <w:t>五是</w:t>
      </w:r>
      <w:r>
        <w:rPr>
          <w:rFonts w:hint="eastAsia" w:ascii="仿宋" w:hAnsi="仿宋" w:eastAsia="仿宋" w:cs="仿宋"/>
          <w:snapToGrid w:val="0"/>
          <w:sz w:val="32"/>
          <w:szCs w:val="32"/>
          <w:lang w:eastAsia="zh-CN"/>
        </w:rPr>
        <w:t>集中</w:t>
      </w:r>
      <w:r>
        <w:rPr>
          <w:rFonts w:hint="eastAsia" w:ascii="仿宋_GB2312" w:hAnsi="仿宋" w:eastAsia="仿宋_GB2312" w:cs="仿宋"/>
          <w:snapToGrid w:val="0"/>
          <w:sz w:val="32"/>
          <w:szCs w:val="32"/>
        </w:rPr>
        <w:t>开展禁毒、反邪教、防艾等维权及宣传教育工作</w:t>
      </w:r>
      <w:r>
        <w:rPr>
          <w:rFonts w:hint="eastAsia" w:ascii="仿宋" w:hAnsi="仿宋" w:eastAsia="仿宋" w:cs="仿宋"/>
          <w:snapToGrid w:val="0"/>
          <w:sz w:val="32"/>
          <w:szCs w:val="32"/>
          <w:lang w:eastAsia="zh-CN"/>
        </w:rPr>
        <w:t>，如开展了“三八维权周活动”、“</w:t>
      </w:r>
      <w:r>
        <w:rPr>
          <w:rFonts w:hint="eastAsia" w:ascii="仿宋" w:hAnsi="仿宋" w:eastAsia="仿宋" w:cs="仿宋"/>
          <w:snapToGrid w:val="0"/>
          <w:sz w:val="32"/>
          <w:szCs w:val="32"/>
          <w:lang w:val="en-US" w:eastAsia="zh-CN"/>
        </w:rPr>
        <w:t>6.26</w:t>
      </w:r>
      <w:r>
        <w:rPr>
          <w:rFonts w:hint="eastAsia" w:ascii="仿宋" w:hAnsi="仿宋" w:eastAsia="仿宋" w:cs="仿宋"/>
          <w:snapToGrid w:val="0"/>
          <w:sz w:val="32"/>
          <w:szCs w:val="32"/>
          <w:lang w:eastAsia="zh-CN"/>
        </w:rPr>
        <w:t>”禁毒宣传活动、“</w:t>
      </w:r>
      <w:r>
        <w:rPr>
          <w:rFonts w:hint="eastAsia" w:ascii="仿宋" w:hAnsi="仿宋" w:eastAsia="仿宋" w:cs="仿宋"/>
          <w:snapToGrid w:val="0"/>
          <w:sz w:val="32"/>
          <w:szCs w:val="32"/>
          <w:lang w:val="en-US" w:eastAsia="zh-CN"/>
        </w:rPr>
        <w:t>11.25</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国际消除对妇女的暴力日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12.1</w:t>
      </w:r>
      <w:r>
        <w:rPr>
          <w:rFonts w:hint="eastAsia" w:ascii="仿宋" w:hAnsi="仿宋" w:eastAsia="仿宋" w:cs="仿宋"/>
          <w:snapToGrid w:val="0"/>
          <w:sz w:val="32"/>
          <w:szCs w:val="32"/>
          <w:lang w:eastAsia="zh-CN"/>
        </w:rPr>
        <w:t>”</w:t>
      </w:r>
      <w:r>
        <w:rPr>
          <w:rFonts w:hint="eastAsia" w:ascii="仿宋" w:hAnsi="仿宋" w:eastAsia="仿宋" w:cs="仿宋"/>
          <w:snapToGrid w:val="0"/>
          <w:sz w:val="32"/>
          <w:szCs w:val="32"/>
          <w:lang w:val="en-US" w:eastAsia="zh-CN"/>
        </w:rPr>
        <w:t>世界艾滋病日</w:t>
      </w:r>
      <w:r>
        <w:rPr>
          <w:rFonts w:hint="eastAsia" w:ascii="仿宋" w:hAnsi="仿宋" w:eastAsia="仿宋" w:cs="仿宋"/>
          <w:snapToGrid w:val="0"/>
          <w:sz w:val="32"/>
          <w:szCs w:val="32"/>
          <w:lang w:eastAsia="zh-CN"/>
        </w:rPr>
        <w:t>活动、“</w:t>
      </w:r>
      <w:r>
        <w:rPr>
          <w:rFonts w:hint="eastAsia" w:ascii="仿宋" w:hAnsi="仿宋" w:eastAsia="仿宋" w:cs="仿宋"/>
          <w:snapToGrid w:val="0"/>
          <w:sz w:val="32"/>
          <w:szCs w:val="32"/>
          <w:lang w:val="en-US" w:eastAsia="zh-CN"/>
        </w:rPr>
        <w:t>12.4</w:t>
      </w:r>
      <w:r>
        <w:rPr>
          <w:rFonts w:hint="eastAsia" w:ascii="仿宋" w:hAnsi="仿宋" w:eastAsia="仿宋" w:cs="仿宋"/>
          <w:snapToGrid w:val="0"/>
          <w:sz w:val="32"/>
          <w:szCs w:val="32"/>
          <w:lang w:eastAsia="zh-CN"/>
        </w:rPr>
        <w:t>”宪法宣传周活动，共制作宣传展板</w:t>
      </w:r>
      <w:r>
        <w:rPr>
          <w:rFonts w:hint="eastAsia" w:ascii="仿宋" w:hAnsi="仿宋" w:eastAsia="仿宋" w:cs="仿宋"/>
          <w:snapToGrid w:val="0"/>
          <w:sz w:val="32"/>
          <w:szCs w:val="32"/>
          <w:lang w:val="en-US" w:eastAsia="zh-CN"/>
        </w:rPr>
        <w:t>30余块，宣传横幅20余条，发放宣传资料5000余份。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七、存在的问题</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1.对项目资金的帐务处理不太规范，预算批复中的项目资金虽已按照批复专款专用，但在帐务处理时没有区分项目支出和基本支出，统一核算。</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2.预算编制工作有待细化，在年初预算时，项目资金的经济分类科目没有按支出分配好。</w:t>
      </w:r>
    </w:p>
    <w:p>
      <w:pPr>
        <w:keepNext w:val="0"/>
        <w:keepLines w:val="0"/>
        <w:pageBreakBefore w:val="0"/>
        <w:widowControl/>
        <w:suppressLineNumbers w:val="0"/>
        <w:kinsoku/>
        <w:wordWrap/>
        <w:overflowPunct/>
        <w:autoSpaceDE/>
        <w:autoSpaceDN/>
        <w:bidi w:val="0"/>
        <w:adjustRightInd w:val="0"/>
        <w:snapToGrid w:val="0"/>
        <w:spacing w:after="0" w:afterAutospacing="0" w:line="560" w:lineRule="exact"/>
        <w:ind w:left="0" w:firstLine="640" w:firstLineChars="200"/>
        <w:jc w:val="both"/>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八、改进措施和有关建议</w:t>
      </w:r>
    </w:p>
    <w:p>
      <w:pPr>
        <w:ind w:firstLine="640" w:firstLineChars="200"/>
        <w:rPr>
          <w:rFonts w:hint="eastAsia" w:ascii="仿宋" w:hAnsi="仿宋" w:eastAsia="仿宋" w:cs="仿宋"/>
          <w:spacing w:val="0"/>
          <w:kern w:val="0"/>
          <w:sz w:val="32"/>
          <w:szCs w:val="32"/>
        </w:rPr>
      </w:pPr>
      <w:r>
        <w:rPr>
          <w:rFonts w:hint="eastAsia" w:ascii="仿宋" w:hAnsi="仿宋" w:eastAsia="仿宋" w:cs="仿宋"/>
          <w:spacing w:val="0"/>
          <w:kern w:val="0"/>
          <w:sz w:val="32"/>
          <w:szCs w:val="32"/>
        </w:rPr>
        <w:t xml:space="preserve">1.细化预算编制工作，认真做好预算的编制。进一步加强我委内部机构各办的预算管理意识，严格按照预算编制的相关制度和要求进行预算编制 </w:t>
      </w:r>
    </w:p>
    <w:p>
      <w:pPr>
        <w:ind w:firstLine="640" w:firstLineChars="200"/>
        <w:rPr>
          <w:rFonts w:hint="eastAsia" w:ascii="宋体" w:hAnsi="宋体" w:eastAsia="宋体" w:cs="宋体"/>
          <w:spacing w:val="0"/>
          <w:kern w:val="0"/>
          <w:sz w:val="30"/>
          <w:szCs w:val="30"/>
        </w:rPr>
      </w:pPr>
      <w:r>
        <w:rPr>
          <w:rFonts w:hint="eastAsia" w:ascii="仿宋" w:hAnsi="仿宋" w:eastAsia="仿宋" w:cs="仿宋"/>
          <w:spacing w:val="0"/>
          <w:kern w:val="0"/>
          <w:sz w:val="32"/>
          <w:szCs w:val="32"/>
        </w:rPr>
        <w:t>2.加强财务管理，严格财务审核。在费用报账支付时，按照预算规定的费用项目和用途进行财务核算，分门别类做支出。</w:t>
      </w:r>
      <w:r>
        <w:rPr>
          <w:rFonts w:hint="eastAsia" w:ascii="宋体" w:hAnsi="宋体" w:eastAsia="宋体" w:cs="宋体"/>
          <w:spacing w:val="0"/>
          <w:kern w:val="0"/>
          <w:sz w:val="30"/>
          <w:szCs w:val="30"/>
        </w:rPr>
        <w:br w:type="page"/>
      </w:r>
    </w:p>
    <w:p>
      <w:pPr>
        <w:rPr>
          <w:rFonts w:hint="eastAsia" w:ascii="宋体" w:hAnsi="宋体" w:eastAsia="宋体" w:cs="宋体"/>
          <w:spacing w:val="0"/>
          <w:kern w:val="0"/>
          <w:sz w:val="30"/>
          <w:szCs w:val="30"/>
        </w:rPr>
      </w:pPr>
    </w:p>
    <w:p>
      <w:pPr>
        <w:rPr>
          <w:rFonts w:hint="eastAsia" w:ascii="宋体" w:hAnsi="宋体" w:eastAsia="宋体" w:cs="宋体"/>
          <w:spacing w:val="0"/>
          <w:kern w:val="0"/>
          <w:sz w:val="30"/>
          <w:szCs w:val="30"/>
        </w:rPr>
      </w:pPr>
    </w:p>
    <w:p>
      <w:pPr>
        <w:spacing w:line="600" w:lineRule="exact"/>
        <w:rPr>
          <w:rFonts w:ascii="宋体" w:hAnsi="宋体" w:cs="宋体"/>
          <w:kern w:val="0"/>
          <w:sz w:val="32"/>
          <w:szCs w:val="32"/>
        </w:rPr>
      </w:pPr>
      <w:bookmarkStart w:id="16" w:name="RANGE!A1:H22"/>
      <w:r>
        <w:rPr>
          <w:rFonts w:hint="eastAsia" w:ascii="黑体" w:hAnsi="宋体" w:eastAsia="黑体" w:cs="宋体"/>
          <w:kern w:val="0"/>
          <w:sz w:val="32"/>
          <w:szCs w:val="32"/>
        </w:rPr>
        <w:t>附件</w:t>
      </w:r>
      <w:bookmarkEnd w:id="16"/>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20年度非税实际收入完成数/</w:t>
            </w:r>
            <w:r>
              <w:rPr>
                <w:rFonts w:ascii="仿宋_GB2312" w:hAnsi="宋体" w:eastAsia="仿宋_GB2312" w:cs="宋体"/>
                <w:kern w:val="0"/>
                <w:sz w:val="20"/>
                <w:szCs w:val="20"/>
              </w:rPr>
              <w:t>20</w:t>
            </w:r>
            <w:r>
              <w:rPr>
                <w:rFonts w:hint="eastAsia" w:ascii="仿宋_GB2312" w:hAnsi="宋体" w:eastAsia="仿宋_GB2312" w:cs="宋体"/>
                <w:kern w:val="0"/>
                <w:sz w:val="20"/>
                <w:szCs w:val="20"/>
              </w:rPr>
              <w:t>20年度非税收入预算数）×100%，有减免因素的，以非税局确定的为准。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eastAsia" w:ascii="宋体" w:hAnsi="宋体" w:cs="宋体"/>
                <w:kern w:val="0"/>
                <w:sz w:val="24"/>
                <w:highlight w:val="yellow"/>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eastAsia="仿宋_GB2312" w:cs="宋体"/>
                <w:kern w:val="0"/>
                <w:sz w:val="20"/>
                <w:szCs w:val="20"/>
                <w:lang w:val="en-US" w:eastAsia="zh-CN"/>
              </w:rPr>
              <w:t>21</w:t>
            </w:r>
            <w:bookmarkStart w:id="17" w:name="_GoBack"/>
            <w:bookmarkEnd w:id="17"/>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noWrap w:val="0"/>
            <w:vAlign w:val="center"/>
          </w:tcPr>
          <w:p>
            <w:pPr>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center"/>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w:t>
            </w:r>
            <w:r>
              <w:rPr>
                <w:rFonts w:hint="eastAsia" w:ascii="仿宋_GB2312" w:eastAsia="仿宋_GB2312" w:cs="宋体"/>
                <w:kern w:val="0"/>
                <w:sz w:val="20"/>
                <w:szCs w:val="20"/>
                <w:lang w:val="en-US" w:eastAsia="zh-CN"/>
              </w:rPr>
              <w:t>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center"/>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center"/>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cs="宋体"/>
                <w:kern w:val="0"/>
                <w:sz w:val="24"/>
              </w:rPr>
            </w:pPr>
            <w:r>
              <w:rPr>
                <w:rFonts w:hint="eastAsia" w:ascii="宋体" w:hAnsi="宋体" w:cs="宋体"/>
                <w:kern w:val="0"/>
                <w:sz w:val="24"/>
              </w:rPr>
              <w:t>96</w:t>
            </w:r>
          </w:p>
        </w:tc>
      </w:tr>
    </w:tbl>
    <w:p>
      <w:pPr>
        <w:spacing w:line="600" w:lineRule="exact"/>
        <w:rPr>
          <w:rFonts w:ascii="宋体" w:hAnsi="宋体" w:cs="宋体"/>
          <w:kern w:val="0"/>
          <w:sz w:val="32"/>
          <w:szCs w:val="32"/>
        </w:rPr>
      </w:pPr>
    </w:p>
    <w:p>
      <w:pPr>
        <w:adjustRightInd w:val="0"/>
        <w:spacing w:line="600" w:lineRule="exact"/>
        <w:ind w:right="641"/>
      </w:pPr>
    </w:p>
    <w:p>
      <w:pPr>
        <w:rPr>
          <w:rFonts w:hint="eastAsia" w:ascii="宋体" w:hAnsi="宋体" w:eastAsia="宋体" w:cs="宋体"/>
          <w:spacing w:val="0"/>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74D54"/>
    <w:multiLevelType w:val="singleLevel"/>
    <w:tmpl w:val="5F374D54"/>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MjA0NDdjYjAxNDY3NjM4ZjI0NjQ5YWM3MDc2M2UifQ=="/>
  </w:docVars>
  <w:rsids>
    <w:rsidRoot w:val="00000000"/>
    <w:rsid w:val="1408686D"/>
    <w:rsid w:val="16D05697"/>
    <w:rsid w:val="1CBD4177"/>
    <w:rsid w:val="255276FC"/>
    <w:rsid w:val="26C27C44"/>
    <w:rsid w:val="331932AB"/>
    <w:rsid w:val="3A2A5C24"/>
    <w:rsid w:val="4CB7318A"/>
    <w:rsid w:val="517631D8"/>
    <w:rsid w:val="54257143"/>
    <w:rsid w:val="5B7C1C76"/>
    <w:rsid w:val="60CF1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3">
    <w:name w:val="heading 1"/>
    <w:basedOn w:val="1"/>
    <w:next w:val="1"/>
    <w:qFormat/>
    <w:uiPriority w:val="0"/>
    <w:pPr>
      <w:keepNext/>
      <w:keepLines/>
      <w:spacing w:line="560" w:lineRule="exact"/>
      <w:outlineLvl w:val="0"/>
    </w:pPr>
    <w:rPr>
      <w:rFonts w:eastAsia="黑体"/>
      <w:b/>
      <w:bCs/>
      <w:kern w:val="44"/>
      <w:szCs w:val="44"/>
    </w:rPr>
  </w:style>
  <w:style w:type="paragraph" w:styleId="4">
    <w:name w:val="heading 2"/>
    <w:basedOn w:val="1"/>
    <w:next w:val="1"/>
    <w:unhideWhenUsed/>
    <w:qFormat/>
    <w:uiPriority w:val="0"/>
    <w:pPr>
      <w:keepNext/>
      <w:keepLines/>
      <w:spacing w:beforeLines="0" w:beforeAutospacing="0" w:afterLines="0" w:afterAutospacing="0" w:line="560" w:lineRule="exact"/>
      <w:ind w:firstLine="640" w:firstLineChars="200"/>
      <w:outlineLvl w:val="1"/>
    </w:pPr>
    <w:rPr>
      <w:rFonts w:ascii="Arial" w:hAnsi="Arial" w:eastAsia="楷体"/>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paragraph" w:customStyle="1" w:styleId="11">
    <w:name w:val="普通(网站) Char"/>
    <w:basedOn w:val="1"/>
    <w:qFormat/>
    <w:uiPriority w:val="0"/>
    <w:pPr>
      <w:spacing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5307</Words>
  <Characters>5539</Characters>
  <Lines>0</Lines>
  <Paragraphs>0</Paragraphs>
  <TotalTime>22</TotalTime>
  <ScaleCrop>false</ScaleCrop>
  <LinksUpToDate>false</LinksUpToDate>
  <CharactersWithSpaces>5699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2022-07-19T06:59:00Z</dcterms:created>
  <dc:creator>Administrator</dc:creator>
  <cp:lastModifiedBy>Administrator</cp:lastModifiedBy>
  <dcterms:modified xsi:type="dcterms:W3CDTF">2022-09-27T02:00:48Z</dcterms:modified>
  <dc:title>2020年度邵阳市交通建设质量安全监督站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242308BAB55D4B64B28155C403B3E7D9</vt:lpwstr>
  </property>
</Properties>
</file>