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202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年度部门整体支出绩效评价报告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（一）整体支出绩效目标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预决算公开：20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年，按照上级的要求，我单位在政府网站上进行了预决算公开。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资产管理：我们进一步加强资产的管理，明确了具体责任人，完善了固定资产档案，严格报批、审核等手续，做好资产登记工作，单位无任何资产流失现象。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三公经费控制情况：我单位贯彻落实上级有关精神，严格控制“三公经费”支出，取得了良好效果。具体情况如下：20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年“三公”经费0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.19</w:t>
      </w:r>
      <w:r>
        <w:rPr>
          <w:rFonts w:ascii="Times New Roman" w:hAnsi="Times New Roman" w:eastAsia="仿宋_GB2312" w:cs="Times New Roman"/>
          <w:sz w:val="32"/>
          <w:szCs w:val="32"/>
        </w:rPr>
        <w:t>万元，其中公务接待费为0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.19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万元，公务用车运行维护费和因公出国（境）费用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（二）部门整体支出情况分析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从整体情况来看，我单位严格按照年初预算进行部门整体支出。在支出过程中，能严格遵守各项规章制度。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NzhkMmNhYzczMGVlMDhmNzk0ODc1NzIwYmM2YmIifQ=="/>
  </w:docVars>
  <w:rsids>
    <w:rsidRoot w:val="319150D9"/>
    <w:rsid w:val="059A4FFB"/>
    <w:rsid w:val="319150D9"/>
    <w:rsid w:val="586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2022-12-01T10:17:00Z</dcterms:created>
  <dc:creator>Moonshine</dc:creator>
  <cp:lastModifiedBy>Administrator</cp:lastModifiedBy>
  <dcterms:modified xsi:type="dcterms:W3CDTF">2023-09-19T01:51:16Z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E4FC74149FF8482C898173A0EBD5ABC0_13</vt:lpwstr>
  </property>
</Properties>
</file>