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年度</w:t>
      </w:r>
      <w:r>
        <w:rPr>
          <w:rFonts w:hint="eastAsia" w:ascii="黑体" w:hAnsi="黑体" w:eastAsia="黑体" w:cs="黑体"/>
          <w:kern w:val="0"/>
          <w:sz w:val="32"/>
          <w:szCs w:val="32"/>
          <w:lang w:eastAsia="zh-CN"/>
        </w:rPr>
        <w:t>双清区妇联</w:t>
      </w:r>
      <w:r>
        <w:rPr>
          <w:rFonts w:hint="eastAsia" w:ascii="黑体" w:hAnsi="黑体" w:eastAsia="黑体" w:cs="黑体"/>
          <w:kern w:val="0"/>
          <w:sz w:val="32"/>
          <w:szCs w:val="32"/>
        </w:rPr>
        <w:t>部门整体支出绩效评价报告</w:t>
      </w:r>
    </w:p>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90" w:lineRule="atLeast"/>
        <w:ind w:left="0" w:right="0" w:firstLine="641"/>
        <w:rPr>
          <w:rFonts w:hint="eastAsia" w:ascii="仿宋" w:hAnsi="仿宋" w:eastAsia="仿宋" w:cs="仿宋"/>
          <w:i w:val="0"/>
          <w:iCs w:val="0"/>
          <w:caps w:val="0"/>
          <w:color w:val="333333"/>
          <w:spacing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w:t>
      </w:r>
      <w:r>
        <w:rPr>
          <w:rFonts w:hint="eastAsia" w:ascii="仿宋" w:hAnsi="仿宋" w:eastAsia="仿宋" w:cs="仿宋"/>
          <w:kern w:val="0"/>
          <w:sz w:val="32"/>
          <w:szCs w:val="32"/>
          <w:shd w:val="clear" w:color="auto" w:fill="FFFFFF"/>
          <w:lang w:eastAsia="zh-CN"/>
        </w:rPr>
        <w:t>邵阳市双清区妇女联合会</w:t>
      </w:r>
      <w:r>
        <w:rPr>
          <w:rFonts w:hint="eastAsia" w:ascii="仿宋" w:hAnsi="仿宋" w:eastAsia="仿宋" w:cs="仿宋"/>
          <w:kern w:val="0"/>
          <w:sz w:val="32"/>
          <w:szCs w:val="32"/>
          <w:shd w:val="clear" w:color="auto" w:fill="FFFFFF"/>
        </w:rPr>
        <w:t>内设</w:t>
      </w:r>
      <w:r>
        <w:rPr>
          <w:rFonts w:hint="eastAsia" w:ascii="仿宋" w:hAnsi="仿宋" w:eastAsia="仿宋" w:cs="仿宋"/>
          <w:i w:val="0"/>
          <w:iCs w:val="0"/>
          <w:caps w:val="0"/>
          <w:color w:val="000000"/>
          <w:spacing w:val="0"/>
          <w:sz w:val="32"/>
          <w:szCs w:val="32"/>
          <w:shd w:val="clear" w:fill="FFFFFF"/>
        </w:rPr>
        <w:t>办公室和综合部共2个机构</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kern w:val="0"/>
          <w:sz w:val="32"/>
          <w:szCs w:val="32"/>
        </w:rPr>
        <w:t>主要职能是：</w:t>
      </w:r>
      <w:r>
        <w:rPr>
          <w:rFonts w:hint="eastAsia" w:ascii="仿宋" w:hAnsi="仿宋" w:eastAsia="仿宋" w:cs="仿宋"/>
          <w:i w:val="0"/>
          <w:iCs w:val="0"/>
          <w:caps w:val="0"/>
          <w:color w:val="000000"/>
          <w:spacing w:val="0"/>
          <w:sz w:val="32"/>
          <w:szCs w:val="32"/>
          <w:shd w:val="clear" w:fill="FFFFFF"/>
        </w:rPr>
        <w:t>指导全区各级妇联组织依据《中华全国妇女联合会章程》和妇女代表大会的决定、决议，开展妇女儿童工作，联系团体会员，并给予业务指导</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 组织引导妇女学习贯彻习近平新时代中国特色社会主义思想和党的路线方针政策，用中国特色社会主义共同理想凝聚妇女</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团结动员妇女投身改革开放和社会主义经济建设、政治建设、文化建设、社会建设和生态文明建设，注重发挥妇女在社会生活和家庭生活中的独特作用，指导和推动全区妇女参与扶贫、乡村振兴、生态环境建设、城乡岗位建功和“文明家庭”创建，为中国特色社会主义伟大实践作贡献</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教育引导妇女树立自尊、自信、自立、自强的精神，提高综合素质，实现全面发展。宣传马克思主义妇女观，推动落实男女平等基本国策，营造有利于妇女全面发展的社会环境。宣传表彰优秀妇女典型，培养、推荐女性人才</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教育引导妇女践行社会主义核心价值观，弘扬中华优秀文化，组织开展家庭文明创建，支持服务家庭教育，传承中华民族家庭美德，树立良好家风，推动形成家庭文明新风尚</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维护妇女儿童合法权益，倾听妇女意见，反映妇女诉求，调查研究妇女、儿童问题，为区委、区政府决策提供依据，提出建议。代表妇女参与管理国家事务、管理经济和文化事业、管理社会事务，参与民主决策、民主管理、民主监督，参与社会治理和公共服务，推动保障妇女权益法律政策和妇女、儿童发展纲要的实施</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加强城乡基层妇女组织建设，扩大组织网络，拓宽工作领域。关心妇女工作生活，拓宽服务渠道，创新服务方式，建设服务阵地，发展公益事业，壮大巾帼志愿者队伍，加强妇女之家建设。联系和引导女性社会组织，加强与社会各界的协作，推动全社会为妇女儿童和家庭服务</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负责与社会各族各界妇女的联络，与民主党派、工商联和团体会员之间的联系</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 承担区人民政府妇女儿童工作委员会办公室日常工作</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完成市妇联和区委、区政府交办的其他任务。 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开展妇女儿童工作及相关业务支出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年度预算收入</w:t>
      </w:r>
      <w:r>
        <w:rPr>
          <w:rFonts w:hint="eastAsia" w:ascii="仿宋" w:hAnsi="仿宋" w:eastAsia="仿宋" w:cs="仿宋"/>
          <w:kern w:val="0"/>
          <w:sz w:val="32"/>
          <w:szCs w:val="32"/>
          <w:lang w:val="en-US" w:eastAsia="zh-CN"/>
        </w:rPr>
        <w:t>83.77</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83.77</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一般公共服务</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65.65</w:t>
      </w:r>
      <w:r>
        <w:rPr>
          <w:rFonts w:hint="eastAsia" w:ascii="仿宋" w:hAnsi="仿宋" w:eastAsia="仿宋" w:cs="仿宋"/>
          <w:kern w:val="0"/>
          <w:sz w:val="32"/>
          <w:szCs w:val="32"/>
        </w:rPr>
        <w:t>万元，响应国家相关政策，厉行节约，严格控制“三公”经费支出，202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与上年度持平</w:t>
      </w:r>
      <w:r>
        <w:rPr>
          <w:rFonts w:hint="eastAsia" w:ascii="仿宋" w:hAnsi="仿宋" w:eastAsia="仿宋" w:cs="仿宋"/>
          <w:kern w:val="0"/>
          <w:sz w:val="32"/>
          <w:szCs w:val="32"/>
          <w:lang w:val="en-US"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年固定资产年初数</w:t>
      </w:r>
      <w:r>
        <w:rPr>
          <w:rFonts w:hint="eastAsia" w:ascii="仿宋" w:hAnsi="仿宋" w:eastAsia="仿宋" w:cs="仿宋"/>
          <w:kern w:val="0"/>
          <w:sz w:val="32"/>
          <w:szCs w:val="32"/>
          <w:lang w:val="en-US" w:eastAsia="zh-CN"/>
        </w:rPr>
        <w:t>3.97</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3.97</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1446"/>
      <w:bookmarkStart w:id="2" w:name="_Toc22407"/>
      <w:r>
        <w:rPr>
          <w:rFonts w:hint="eastAsia" w:ascii="楷体" w:hAnsi="楷体" w:eastAsia="楷体" w:cs="楷体"/>
          <w:b/>
          <w:bCs/>
          <w:kern w:val="0"/>
          <w:sz w:val="32"/>
          <w:szCs w:val="32"/>
          <w:lang w:val="en-US" w:eastAsia="zh-CN"/>
        </w:rPr>
        <w:t>（一）绩效评价目的</w:t>
      </w:r>
      <w:bookmarkEnd w:id="0"/>
      <w:bookmarkEnd w:id="1"/>
      <w:bookmarkEnd w:id="2"/>
      <w:bookmarkStart w:id="17" w:name="_GoBack"/>
      <w:bookmarkEnd w:id="17"/>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5938"/>
      <w:bookmarkStart w:id="4" w:name="_Toc29745"/>
      <w:bookmarkStart w:id="5" w:name="_Toc6376"/>
      <w:bookmarkStart w:id="6" w:name="_Toc22531"/>
      <w:bookmarkStart w:id="7" w:name="_Toc12780"/>
      <w:bookmarkStart w:id="8" w:name="_Toc22734"/>
      <w:bookmarkStart w:id="9" w:name="_Toc27511"/>
      <w:bookmarkStart w:id="10" w:name="_Toc23600"/>
      <w:bookmarkStart w:id="11" w:name="_Toc22165"/>
      <w:bookmarkStart w:id="12" w:name="_Toc2315"/>
      <w:bookmarkStart w:id="13" w:name="_Toc11842"/>
      <w:bookmarkStart w:id="14" w:name="_Toc22978"/>
      <w:bookmarkStart w:id="15" w:name="_Toc6076"/>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bidi w:val="0"/>
        <w:ind w:firstLine="640" w:firstLineChars="200"/>
        <w:rPr>
          <w:rFonts w:hint="eastAsia" w:ascii="仿宋" w:hAnsi="仿宋" w:eastAsia="仿宋_GB2312" w:cs="仿宋"/>
          <w:kern w:val="0"/>
          <w:sz w:val="32"/>
          <w:szCs w:val="32"/>
          <w:lang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 xml:space="preserve">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：一</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党建带妇建</w:t>
      </w:r>
      <w:r>
        <w:rPr>
          <w:rFonts w:hint="eastAsia" w:ascii="仿宋_GB2312" w:hAnsi="仿宋_GB2312" w:eastAsia="仿宋_GB2312" w:cs="仿宋_GB2312"/>
          <w:sz w:val="32"/>
          <w:szCs w:val="32"/>
          <w:lang w:eastAsia="zh-CN"/>
        </w:rPr>
        <w:t>这一中心，</w:t>
      </w:r>
      <w:r>
        <w:rPr>
          <w:rFonts w:hint="eastAsia" w:ascii="仿宋_GB2312" w:hAnsi="仿宋" w:eastAsia="仿宋_GB2312" w:cs="仿宋"/>
          <w:snapToGrid w:val="0"/>
          <w:sz w:val="32"/>
          <w:szCs w:val="32"/>
          <w:lang w:val="en-US" w:eastAsia="zh-CN"/>
        </w:rPr>
        <w:t>举办了“树清廉家风创清廉家庭”系列主题活动；“童心向党 唱支山歌给党听”六一红歌比赛；“巾帼心向党 喜迎二十大”主题宣讲活动，以及二十大宣讲进校园活动。</w:t>
      </w:r>
      <w:r>
        <w:rPr>
          <w:rFonts w:hint="eastAsia" w:ascii="仿宋" w:hAnsi="仿宋" w:eastAsia="仿宋" w:cs="仿宋"/>
          <w:color w:val="auto"/>
          <w:kern w:val="2"/>
          <w:sz w:val="32"/>
          <w:szCs w:val="32"/>
          <w:lang w:val="en-US" w:eastAsia="zh-CN" w:bidi="ar-SA"/>
        </w:rPr>
        <w:t>组织了党史知识抢答赛和廉洁知识抢答赛</w:t>
      </w:r>
      <w:r>
        <w:rPr>
          <w:rFonts w:hint="eastAsia" w:ascii="仿宋" w:hAnsi="仿宋" w:eastAsia="仿宋" w:cs="仿宋"/>
          <w:sz w:val="32"/>
          <w:szCs w:val="32"/>
          <w:lang w:val="en-US" w:eastAsia="zh-CN"/>
        </w:rPr>
        <w:t>。带领妇联系统党员干部到湘西南特委旧址纪念馆参观学习。开展党员志愿者服务活动，带领妇联干部开展志愿服务活动30余场。</w:t>
      </w:r>
      <w:r>
        <w:rPr>
          <w:rFonts w:hint="eastAsia" w:ascii="仿宋_GB2312" w:hAnsi="仿宋" w:eastAsia="仿宋_GB2312" w:cs="仿宋"/>
          <w:snapToGrid w:val="0"/>
          <w:sz w:val="32"/>
          <w:szCs w:val="32"/>
          <w:lang w:eastAsia="zh-CN"/>
        </w:rPr>
        <w:t>二是</w:t>
      </w:r>
      <w:r>
        <w:rPr>
          <w:rFonts w:hint="eastAsia" w:ascii="仿宋" w:hAnsi="仿宋" w:eastAsia="仿宋" w:cs="仿宋"/>
          <w:b w:val="0"/>
          <w:bCs w:val="0"/>
          <w:i w:val="0"/>
          <w:caps w:val="0"/>
          <w:smallCaps w:val="0"/>
          <w:color w:val="auto"/>
          <w:spacing w:val="0"/>
          <w:sz w:val="32"/>
          <w:szCs w:val="32"/>
          <w:lang w:val="en-US" w:eastAsia="zh-CN"/>
        </w:rPr>
        <w:t>以加强家庭、家教、家风建设，开展传承好家风好家训活动，区妇联在重要传统节日和时间节点组织了多项家庭文明创建活动。</w:t>
      </w:r>
      <w:r>
        <w:rPr>
          <w:rFonts w:hint="eastAsia" w:ascii="仿宋" w:hAnsi="仿宋" w:eastAsia="仿宋" w:cs="仿宋"/>
          <w:kern w:val="0"/>
          <w:sz w:val="32"/>
          <w:szCs w:val="32"/>
        </w:rPr>
        <w:t>三是</w:t>
      </w:r>
      <w:r>
        <w:rPr>
          <w:rFonts w:hint="eastAsia" w:ascii="仿宋" w:hAnsi="仿宋" w:eastAsia="仿宋" w:cs="仿宋"/>
          <w:sz w:val="32"/>
          <w:szCs w:val="32"/>
          <w:lang w:val="en-US" w:eastAsia="zh-CN"/>
        </w:rPr>
        <w:t>开展关爱困难妇女、留守老人、留守妇女、留守儿童帮扶活动10余次，在社区、学校、公共服务平台开展了各类家教家风、创文、法制宣传等活动20余场，开展了防溺水宣传活动86场，家庭教育促进法宣讲52场。</w:t>
      </w:r>
      <w:r>
        <w:rPr>
          <w:rFonts w:hint="eastAsia" w:ascii="仿宋" w:hAnsi="仿宋" w:eastAsia="仿宋" w:cs="仿宋"/>
          <w:kern w:val="0"/>
          <w:sz w:val="32"/>
          <w:szCs w:val="32"/>
        </w:rPr>
        <w:t>四是</w:t>
      </w:r>
      <w:r>
        <w:rPr>
          <w:rFonts w:hint="eastAsia" w:ascii="仿宋" w:hAnsi="仿宋" w:eastAsia="仿宋" w:cs="仿宋"/>
          <w:sz w:val="32"/>
          <w:szCs w:val="32"/>
        </w:rPr>
        <w:t>举办“</w:t>
      </w:r>
      <w:r>
        <w:rPr>
          <w:rFonts w:hint="eastAsia" w:ascii="仿宋" w:hAnsi="仿宋" w:eastAsia="仿宋" w:cs="仿宋"/>
          <w:sz w:val="32"/>
          <w:szCs w:val="32"/>
          <w:lang w:eastAsia="zh-CN"/>
        </w:rPr>
        <w:t>月</w:t>
      </w:r>
      <w:r>
        <w:rPr>
          <w:rFonts w:hint="eastAsia" w:ascii="仿宋" w:hAnsi="仿宋" w:eastAsia="仿宋" w:cs="仿宋"/>
          <w:sz w:val="32"/>
          <w:szCs w:val="32"/>
        </w:rPr>
        <w:t>嫂”母婴护理培训班、家庭收纳技巧公益培训班、女性素质提升班等</w:t>
      </w:r>
      <w:r>
        <w:rPr>
          <w:rFonts w:hint="eastAsia" w:ascii="仿宋" w:hAnsi="仿宋" w:eastAsia="仿宋" w:cs="仿宋"/>
          <w:sz w:val="32"/>
          <w:szCs w:val="32"/>
          <w:lang w:eastAsia="zh-CN"/>
        </w:rPr>
        <w:t>线下线上培训班</w:t>
      </w:r>
      <w:r>
        <w:rPr>
          <w:rFonts w:hint="eastAsia" w:ascii="仿宋" w:hAnsi="仿宋" w:eastAsia="仿宋" w:cs="仿宋"/>
          <w:sz w:val="32"/>
          <w:szCs w:val="32"/>
          <w:lang w:val="en-US" w:eastAsia="zh-CN"/>
        </w:rPr>
        <w:t>4</w:t>
      </w:r>
      <w:r>
        <w:rPr>
          <w:rFonts w:hint="eastAsia" w:ascii="仿宋" w:hAnsi="仿宋" w:eastAsia="仿宋" w:cs="仿宋"/>
          <w:sz w:val="32"/>
          <w:szCs w:val="32"/>
        </w:rPr>
        <w:t>场，受益妇女超过</w:t>
      </w:r>
      <w:r>
        <w:rPr>
          <w:rFonts w:hint="eastAsia" w:ascii="仿宋" w:hAnsi="仿宋" w:eastAsia="仿宋" w:cs="仿宋"/>
          <w:sz w:val="32"/>
          <w:szCs w:val="32"/>
          <w:lang w:val="en-US" w:eastAsia="zh-CN"/>
        </w:rPr>
        <w:t>200</w:t>
      </w:r>
      <w:r>
        <w:rPr>
          <w:rFonts w:hint="eastAsia" w:ascii="仿宋" w:hAnsi="仿宋" w:eastAsia="仿宋" w:cs="仿宋"/>
          <w:sz w:val="32"/>
          <w:szCs w:val="32"/>
        </w:rPr>
        <w:t>人次；开展妇女“双学双比”活动，培育市级以上巾帼示范基地</w:t>
      </w:r>
      <w:r>
        <w:rPr>
          <w:rFonts w:hint="eastAsia" w:ascii="仿宋" w:hAnsi="仿宋" w:eastAsia="仿宋" w:cs="仿宋"/>
          <w:sz w:val="32"/>
          <w:szCs w:val="32"/>
          <w:lang w:val="en-US" w:eastAsia="zh-CN"/>
        </w:rPr>
        <w:t>2</w:t>
      </w:r>
      <w:r>
        <w:rPr>
          <w:rFonts w:hint="eastAsia" w:ascii="仿宋" w:hAnsi="仿宋" w:eastAsia="仿宋" w:cs="仿宋"/>
          <w:sz w:val="32"/>
          <w:szCs w:val="32"/>
        </w:rPr>
        <w:t>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五是</w:t>
      </w:r>
      <w:r>
        <w:rPr>
          <w:rFonts w:hint="eastAsia" w:ascii="仿宋" w:hAnsi="仿宋" w:eastAsia="仿宋" w:cs="仿宋"/>
          <w:snapToGrid w:val="0"/>
          <w:sz w:val="32"/>
          <w:szCs w:val="32"/>
          <w:lang w:eastAsia="zh-CN"/>
        </w:rPr>
        <w:t>集中</w:t>
      </w:r>
      <w:r>
        <w:rPr>
          <w:rFonts w:hint="eastAsia" w:ascii="仿宋_GB2312" w:hAnsi="仿宋" w:eastAsia="仿宋_GB2312" w:cs="仿宋"/>
          <w:snapToGrid w:val="0"/>
          <w:sz w:val="32"/>
          <w:szCs w:val="32"/>
        </w:rPr>
        <w:t>开展禁毒、反邪教、防艾等维权及宣传教育工作</w:t>
      </w:r>
      <w:r>
        <w:rPr>
          <w:rFonts w:hint="eastAsia" w:ascii="仿宋" w:hAnsi="仿宋" w:eastAsia="仿宋" w:cs="仿宋"/>
          <w:snapToGrid w:val="0"/>
          <w:sz w:val="32"/>
          <w:szCs w:val="32"/>
          <w:lang w:eastAsia="zh-CN"/>
        </w:rPr>
        <w:t>，如开展了“三八维权周活动”、“</w:t>
      </w:r>
      <w:r>
        <w:rPr>
          <w:rFonts w:hint="eastAsia" w:ascii="仿宋" w:hAnsi="仿宋" w:eastAsia="仿宋" w:cs="仿宋"/>
          <w:snapToGrid w:val="0"/>
          <w:sz w:val="32"/>
          <w:szCs w:val="32"/>
          <w:lang w:val="en-US" w:eastAsia="zh-CN"/>
        </w:rPr>
        <w:t>6.26</w:t>
      </w:r>
      <w:r>
        <w:rPr>
          <w:rFonts w:hint="eastAsia" w:ascii="仿宋" w:hAnsi="仿宋" w:eastAsia="仿宋" w:cs="仿宋"/>
          <w:snapToGrid w:val="0"/>
          <w:sz w:val="32"/>
          <w:szCs w:val="32"/>
          <w:lang w:eastAsia="zh-CN"/>
        </w:rPr>
        <w:t>”禁毒宣传活动、“</w:t>
      </w:r>
      <w:r>
        <w:rPr>
          <w:rFonts w:hint="eastAsia" w:ascii="仿宋" w:hAnsi="仿宋" w:eastAsia="仿宋" w:cs="仿宋"/>
          <w:snapToGrid w:val="0"/>
          <w:sz w:val="32"/>
          <w:szCs w:val="32"/>
          <w:lang w:val="en-US" w:eastAsia="zh-CN"/>
        </w:rPr>
        <w:t>11.25</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国际消除对妇女的暴力日</w:t>
      </w:r>
      <w:r>
        <w:rPr>
          <w:rFonts w:hint="eastAsia" w:ascii="仿宋" w:hAnsi="仿宋" w:eastAsia="仿宋" w:cs="仿宋"/>
          <w:snapToGrid w:val="0"/>
          <w:sz w:val="32"/>
          <w:szCs w:val="32"/>
          <w:lang w:eastAsia="zh-CN"/>
        </w:rPr>
        <w:t>活动、“</w:t>
      </w:r>
      <w:r>
        <w:rPr>
          <w:rFonts w:hint="eastAsia" w:ascii="仿宋" w:hAnsi="仿宋" w:eastAsia="仿宋" w:cs="仿宋"/>
          <w:snapToGrid w:val="0"/>
          <w:sz w:val="32"/>
          <w:szCs w:val="32"/>
          <w:lang w:val="en-US" w:eastAsia="zh-CN"/>
        </w:rPr>
        <w:t>12.1</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世界艾滋病日</w:t>
      </w:r>
      <w:r>
        <w:rPr>
          <w:rFonts w:hint="eastAsia" w:ascii="仿宋" w:hAnsi="仿宋" w:eastAsia="仿宋" w:cs="仿宋"/>
          <w:snapToGrid w:val="0"/>
          <w:sz w:val="32"/>
          <w:szCs w:val="32"/>
          <w:lang w:eastAsia="zh-CN"/>
        </w:rPr>
        <w:t>活动、“</w:t>
      </w:r>
      <w:r>
        <w:rPr>
          <w:rFonts w:hint="eastAsia" w:ascii="仿宋" w:hAnsi="仿宋" w:eastAsia="仿宋" w:cs="仿宋"/>
          <w:snapToGrid w:val="0"/>
          <w:sz w:val="32"/>
          <w:szCs w:val="32"/>
          <w:lang w:val="en-US" w:eastAsia="zh-CN"/>
        </w:rPr>
        <w:t>12.4</w:t>
      </w:r>
      <w:r>
        <w:rPr>
          <w:rFonts w:hint="eastAsia" w:ascii="仿宋" w:hAnsi="仿宋" w:eastAsia="仿宋" w:cs="仿宋"/>
          <w:snapToGrid w:val="0"/>
          <w:sz w:val="32"/>
          <w:szCs w:val="32"/>
          <w:lang w:eastAsia="zh-CN"/>
        </w:rPr>
        <w:t>”宪法宣传周活动，共制作宣传展板</w:t>
      </w:r>
      <w:r>
        <w:rPr>
          <w:rFonts w:hint="eastAsia" w:ascii="仿宋" w:hAnsi="仿宋" w:eastAsia="仿宋" w:cs="仿宋"/>
          <w:snapToGrid w:val="0"/>
          <w:sz w:val="32"/>
          <w:szCs w:val="32"/>
          <w:lang w:val="en-US" w:eastAsia="zh-CN"/>
        </w:rPr>
        <w:t>30余块，宣传横幅20余条，发放宣传资料5000余份。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w:t>
            </w:r>
            <w:r>
              <w:rPr>
                <w:rFonts w:hint="eastAsia" w:ascii="仿宋_GB2312"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w:t>
            </w:r>
            <w:r>
              <w:rPr>
                <w:rFonts w:hint="eastAsia" w:ascii="仿宋_GB2312"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DU5ZTM4MTFkMzU0ODliNmJlY2VmOGRjNWYxODYifQ=="/>
  </w:docVars>
  <w:rsids>
    <w:rsidRoot w:val="00000000"/>
    <w:rsid w:val="1408686D"/>
    <w:rsid w:val="16D05697"/>
    <w:rsid w:val="1CBD4177"/>
    <w:rsid w:val="255276FC"/>
    <w:rsid w:val="26C27C44"/>
    <w:rsid w:val="331932AB"/>
    <w:rsid w:val="3A2A5C24"/>
    <w:rsid w:val="4C3504D0"/>
    <w:rsid w:val="4C4E0E3A"/>
    <w:rsid w:val="4CB7318A"/>
    <w:rsid w:val="517631D8"/>
    <w:rsid w:val="54257143"/>
    <w:rsid w:val="552C79A0"/>
    <w:rsid w:val="5B7C1C76"/>
    <w:rsid w:val="60CF195F"/>
    <w:rsid w:val="61AA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5307</Words>
  <Characters>5539</Characters>
  <Lines>0</Lines>
  <Paragraphs>0</Paragraphs>
  <TotalTime>2</TotalTime>
  <ScaleCrop>false</ScaleCrop>
  <LinksUpToDate>false</LinksUpToDate>
  <CharactersWithSpaces>5699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燕子～路遥</cp:lastModifiedBy>
  <dcterms:modified xsi:type="dcterms:W3CDTF">2023-09-18T03:22:15Z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56B207F8B3FD4C72B4A3A98D69B781F6_13</vt:lpwstr>
  </property>
</Properties>
</file>