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2022年度部门整体支出绩效评价报告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上级文件精神，结合具体情况，双清区市场监督管理局党组对2022年度部门整体支出绩效评价进行了认真的研究和部署，以财务股牵头组织开展预算资金绩效自评工作，现将2022年度部门整体支出绩效评价情况报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（一）部门组织机构及人员情况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双清区市场监督管理局局机关现设有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办公室、政策法规股、登记注册股（加挂行政审批服务股）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等17个股室；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个事业单位分别是邵阳市双清区个体私营经济发展指导中心（加挂区个体劳动者私营企业协会办公室）、邵阳市双清区消费者权益保障服务中心、邵阳市双清区市场监督管理局信息中心、邵阳市双清区市场监管执法大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；并下设11个市场监督管理所。全局现有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现实有人数235人，其中在职人员141人，退休人员94人。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（二）部门整体支出概况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2022年收入总计3071.25万元，其中财政拨款收入3033.8万元，其他收入14.33万元，上年结转23.12万元。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 全年总支出3071.25万元，其中基本支出2077.06万元；项目支出300.59万元。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财政年初预算经费2358.06万元，预算完成率为130.24%。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收支平衡结余情况：收入3071.25万元，支出3071.25万元，本年结余0万元。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（三）部门整体支出绩效目标情况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1.绩效完成情况 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一是大力实施市场主体倍增工程。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制定《邵阳市双清区优化营商环境促进市场主体高质量发展实施方案（2022-2025年）》，健全工作机制，将市场主体倍增任务分解下达到各部门、乡镇街道、市场监管所，形成任务层层分解、责任层层压实、领导层层督促的工作局面，让更多市场主体立起来、活起来、强起来。全年净增市场主体4086户，其中企业1039户；年末实有市场主体28481户，其中企业8025户，个体工商户20456户。市场主体和企业总量均排全市前列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二是持续深化商事制度改革。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推动企业开办一网通办，全年共办理一网通办757户，全程电子化958户。推行歇业新政策，全年歇业企业为149户，歇业后再复业7家。严格落实“四减”行动，通过实行一次性告知、健全全链条服务、全程网办、跨域办理等一系列举措，实现政务服务更便捷。推行“新办企业首次刻制印章免费服务”，降低企业开办刻章成本约400元/家，全年为新办企业节约刻章成本50多万元，全面实现了新办企业开办“零成本”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三是落实政策帮扶为企业纾困。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严格落实扶持个体户发展、支持企业复工复产、市场监管助力稳增长等相关政策措施，搭建重点产业链企业对接服务平台，认真开展“个体工商户服务月”活动，深入企业开展知识产权质押融资、标准助企纾困、质量管理咨询、诊断等系列纾困解难活动，走访市场主体6675家，帮助解决实际困难问题476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这一年，我们坚持促公平、树权威，监管执法持续加强。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一是广告和网络执法推深走实。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认真开展全区传统媒体、互联网、户外广告监测工作，清理违规户外广告36处，清查从事广告经营与发布的市场主体23户，责令改正11户，立案查处2起，处罚金额8.81万元。整治网络市场，网上检查网站、网店86个，实地检查网站、网店经营者21家，责令整改1家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二是价费和竞争监管持续发力。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深入开展疫情期间哄抬物价、转供电专项整治工作和教育收费专项检查，全年查处哄抬物价违法案件2件，罚没款7万余元。加强涉企违规收费治理，督促退费12万元。纠治虚假宣传、商业贿赂等竞争乱象，查办不正当竞争案件1件，罚没3万元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三是市场专项整治深入推进。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紧盯人民群众最为关注的学校及周边食品、餐饮、农资产品、疫苗、锅炉、摩托车、电动车、医疗教育收费等重点行业，精准发力，重拳出击，全面铺开“强执法，防事故，保安全”18大专项整治，全年共办理案件128件，罚没180万元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四是消费维权工作取得实效。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深入开展放心消费创建活动，推进线下无理由退货，加强12315消费者投诉举报处理工作，受理消费者投诉举报4062起，其中举报731起，投诉3331起，受理率、办结率、满意率均达到100%。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这一年，我们坚持守底线、保安全，市场秩序稳定有序。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一是打赢疫情防控攻坚战。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持续做好疫情防控常态化监管，加强进口冷链食品“物防”工作，督促指导注册应用湘冷链平台145户，进行疫情防控和消毒技术培训300人次。配合卫健部门核酸检测食品、环境和从业人员样品3万余份。面对“4.19”和“10.15”两次突发疫情，全局充分发挥斗争精神，成立若干专班驻点监督和市场巡查，督促做好疫情防控期间药械医疗物资保障，强化药品零售监测和价格监督，确保了全区防疫和生活物资供应充足、质量可靠、价格稳定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二是构筑食品安全防火墙。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推进“守查保”专项行动和特色食品风险排查，持续深化“护苗”“护老”行动，开展“三小食品”及农村假冒伪劣食品专项整治，全年共出动检查人员6790人次，检查食品生产企业及小作坊41家次，食品流通经营者3385家次，排查风险隐患106处，立案查处25起，罚款42.1万元。完成国家监督抽检计划832批次，全区监督抽检计划1000批次。开展食品经营环节打击销售长江禁捕行动，组织食品经营主体签订承诺书284家次。积极组织“食品安全宣传周”活动，印发野生蘑菇中毒防控等宣传手册21600份，实现了社区、学校、企业、农村、商场全覆盖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三是织密药品安全监管网。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加强日常监管，对辖区内141家药品经营企业、135家医疗器械经营企业、117家化妆品经营企业、11家疫苗接种单位进行了全面检查，共办理药械化案件7件，罚款30余万元。完善药械经营许可（备案）制度，建立健全药品监管机制。强化提醒警示机制，对13家药品经营企业和5家化妆品经营企业实施行政约谈。加强药品不良反应监测水平，积极督促药械化不良反应（事件）监测上报工作，我区上报率达到100%，完成全年目标任务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四是划定特设安全警戒线。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组织开展特种设备超期未检、燃气管道、气瓶、锅炉等隐患排查，全面开展危险化学品安全专项治理、安全生产大检查、节假日重点单位特种设备安全等专项检查11次，共出动执法人员323余人次，检查单位220家，下达特种设备监察指令书83份，立案11起，结案11起，罚款31.4万元，发现的安全隐患全部整改到位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五是把好产品质量安全关。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全年完成产品质量抽检150批次，其中13批次抽检结果不合格，对抽检不合格产品均进行了立案查处。深入推进烟花爆竹产品质量安全专项治理，检查烟花爆竹经营场所等60余家，立案查处1起，罚款10020元，共收缴各类小烟花、鞭炮等50余件，已依法进行集中销毁。开展塑料污染专项整治行动，对辖区内各大中超市、商场、专业市场进行全面检查。联合双清区消防救援大队开展消防产品专项整治工作，立案查处1起，罚款2520元，下架违规消防器材22批次，下发责令整改通知书4份，集中销毁假冒伪劣消防产品100余件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六是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守住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其他安全监管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底线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深入摸排经营性自建房，全年共出动执法人员1298人次，共排查自建房市场主体635户。深入开展交通问题顽瘴痼疾整治行动，查办案件30件，罚没款18020元。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这一年，我们坚持抓创新、求突破，产业发展提质增速。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一是知识产权创造量质齐升。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深入推进高价值专利培育、商标品牌培育等“四大工程”，实现了知识产权数量和质量的大幅提升。全区专利授权总量2896项，有效发明专利总量275件，每万人有效发明专利拥有量8.67件，均排名全市第一。全区新增专利授权747件，其中，新增发明专利授权65件，同比增长12%，排名全市第二。PCT(国际专利)申请3件。全区有效商标数为4541件，与去年同期相比增长15%，高于全市同期有效商标平均增长率。商标申请量为721件，注册授权466件，注册成功率64%，远高于全市平均注册成功率。成功注册马德里国际商标2件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二是知识产权保护更加严格。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完善了全区装备制造、中医药产业知识产权强链护链体系。开展非正常专利申请清理行动,全年共清理非正常专利申请57件。组织开展知识产权保护专项检查，共出动执法人员280人次，检查商户260余家。强化行政执法，严厉打击商标侵权、假冒专利等违法行为，处理商标纠纷7件，调解知识产权纠纷5起，办理知识产权案件9起，专利侵权纠纷案件办理排名全市第一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三是知识产权运用成效良好。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强化知识产权金融扶持政策与区域、产业政策相结合，鼓励和支持各类金融机构和中介机构参与知识产权金融服务工作，全力推动知识产权金融助企纾困，全区共完成知识产权质押融资4笔，融资金额2400万元。新增国家知识产权优势企业1家，新增国家知识产权优势示范企业1家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四是知识产权服务能力增强。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坚持打造知识产权信息服务平台，完善以企业为主体、市场为导向、产学研相结合的高价值知识产权创造体系。对辖区内19家高新技术企业及2家马德里商标企业开展了走访活动，通过现场调研，了解企业具体需求，培育知识产权人才，为企业知识产权工作提供了“管家式”指导服务。协助企业争取到省级专项资金80万元，促进了全区2019-2021年度的省知识产权战略专项项目圆满完成，2022年在全市知识产权工作综合考评中排名第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这一年，我们坚持讲政治、重廉洁，党建引领凝心聚力。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一是党的建设持续加强。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抓实政治建局、统筹党建兴局、推动清廉筑局，深刻领会“两个确立”的决定性意义，切实增强“两个维护”的行动自觉，落实意识形态工作责任制，开展中心组学习12次。组织学习贯彻党的十九届六中全会精神、《习近平谈治国理政》（第四卷）、党的二十大精神专题宣讲会5次，组织全局152名党员参观红色教育基地5次，组织观看党员教育片8次。积极配合区委政治巡察，扎实推进未巡先改、边巡边改、立行立改，已整改问题4个。加强非公党建，深入开展“党建引领、助力千企”行动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二是能力建设稳步推进。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强化监管效能，补齐能力短板。信用监管方面，开展年报公示工作，大力推进许可信息、处罚信息双公示，全年已完成“双随机、一公开”跨部门联合抽查任务9项、部门内抽查任务25项，抽查并公示市场主体875户。全年共310家企业被列入经营异常名录，38家企业被移出名录；113家企业被列入严重违法失信名单，3家企业被移出名单。智慧监管方面，积极探索智慧市场监管新模式，投入20万元加强信息化体系建设，归集数据54856条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三是廉政建设全面强化。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对标“清廉市监”建设，严格落实“两个责任”，一体推进“三不腐”，组织全体党员学习《条例》《准则》、观看《警钟长鸣》等警示教育片，强化党风廉政建设责任。开展“清廉双清”建设，每月开展“清廉课堂”“清廉茶话会”，全年召开党风廉政建设专题会议10次，召开拒绝违规收受红包专题会议3次，10名班子成员、77名副股所长以上局中层干部鉴订了拒绝违规收受红包礼金承诺书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四是队伍建设不断巩固。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才引进5人，新招考事业工作人员5名，队伍结构得到进一步优化。积极参加省局实施的“万人培训计划”，组织开展各项业务培训19期，培训干部职工1780人次，业务素质得到进一步强化。制式服装配发到位，队伍管理更加规范，精神风貌得到进一步提升。积极开展正面宣传，充分运用融媒体，全方位宣传报道市场监管工作，全年在新湖南、红网、邵阳新闻网、双清发布等各大主流媒体共上稿181篇，群众认同度得到进一步提高。区市场监管局成功获评全市精神文明建设先进单位。一年来，局机关纪委认真履行职责，为推动各项工作提供了重要监督保障；办公室、政工、财务、工会等工作都取得新成绩，有力推进了市场监管改革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2.效益情况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在区委、区政府的绩效考核为优秀。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3.预算决算公开透明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整体预算决算在双清区人民政府网站公开。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4.严控“三公经费”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2022年“三公经费”财政拨款支出决算为0.13万元。其中：公务用车购置及运行费支出0.13万元，公务接待费支出0元。 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（四）部门整体支出或项目实施情况分析：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2022年双清区市场监督管理局根据本局的工作特色和职能情况，分别对基层管理所和职能股室在综合管理、市场管理、依法行政、消费维权、服务发展、后勤运行、执勤执法车运行等方面进行计划落实。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双清区市场监督管理局项目资金实际使用基本正常，共300.59万元，从大类来分：一般行政管理事务占35.88%，107.86万元；市场主体管理支出占23.39%，70.3万元；药品事务支出占0.78%，2.35万元；质量安全监管支出占6.75%，20.3万元；食品安全监管支出占26.42%，79.42万元；其他市场监督管理事务支出占6.77%，20.36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2022年，双清区市场监督管理局对项目资金和其他资金的管理主要通过《财务管理办法》和《联审会签》制度在多个方面管理项目资金，使项目资金在内容上和性质上能按照部门预算的要求进行使用。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二、绩效评价工作情况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绩效评价目的：通过绩效评价，了解局属各单位工作情况及取得的效果，总结管理经验，发现管理中存在的问题，为提高经费使用效益，加强财政支出的规范化管理，健全和完善支出项目和资金使用管理办法，完善预算编制、加强绩效目标管理和绩效考核工作提供重要的参考依据，以及提出相关的建议和应采取的措施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（二）绩效评价工作过程：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1、根据绩效评价工作要求，成立了自评工作小组，由主管财务的副局长任组长，财务股负责落实本单位自评工作。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为检测项目进展与实施效果，根据评价指标对项目的实施结果进行测评，并对项目经费的资金落实、支出、监督、管理的跟踪问效，了解该项目资金使用的过程、结果，判断资金使用是否科学、合理和有效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收集资料的基础上，根据《绩效评价工作方案》，在指标设置中通过定量和定性相结合、目标与结果比较、投入与效果比较等方法设置指标体系。通过设置指标的实现值、标准值、权值和权值的记分方法的体系来评价每个指标的最终得分，以最终得分来综合评价项目的绩效，并形成绩效评价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4、征求意见。对履行职责情况的公众满意度征求了局属各单位同志意见。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5、评价组对各项评价指标进行分析讨论。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三、主要绩效及评价结论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 双清区市场监督管理局履行职责职能,严格按财经法规及制度使用、管理资金,成效明显,主要体现在以下几个方面：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资金使用效益高。表现在:1.保障了职工工资,津补贴和追加工资的及时足额发放,没有出现拖欠职工工资,离退休费用等现象；2.保障了各项工作的正常运转,资金支付正常；3.财政供养人员控制较好；4.资金使用无虚列支出及随意使用现象,无大额现金支付现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二是资金使用社会效益好。1.保障了双清区市场监督管理局各项工作的顺利进行。2.保障了创文固卫、疫情防控的经费开支。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四、存在问题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1、预算计划与预算执行存在一定的偏差。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2、绩效目标设立不够明确、细化和量化。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五、有关建议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1、进一步完善单位财务部门和业务部门共同参与、协调配合的绩效评价工作机制。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2、开展多种形式的讲座和培训，强化预算绩效管理意识，提高基层单位绩效评价工作水平。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六、其他需要说明的问题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1、双清区市场监督管理局2022年度的项目预算资金量比较大，内容比较多，性质比较复杂，因此自评起来，不可能面面具到。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2、双清区市场监督管理局的项目资金使用，专业性较强，术语较多，因此绩效自评时，表述把握不准。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3、有些项目资金使用后，它产生的绩效交叉关系，我们无法分解，只能笼统进行自评。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YTYzMTk1NzhjYmEzZjdjMzU5MGNhYzRkOGY2YWUifQ=="/>
  </w:docVars>
  <w:rsids>
    <w:rsidRoot w:val="1DF928B5"/>
    <w:rsid w:val="0AEB06CA"/>
    <w:rsid w:val="1DF928B5"/>
    <w:rsid w:val="47507FEA"/>
    <w:rsid w:val="51524295"/>
    <w:rsid w:val="553F49A4"/>
    <w:rsid w:val="58B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4473</Words>
  <Characters>4852</Characters>
  <Lines>0</Lines>
  <Paragraphs>0</Paragraphs>
  <TotalTime>19</TotalTime>
  <ScaleCrop>false</ScaleCrop>
  <LinksUpToDate>false</LinksUpToDate>
  <CharactersWithSpaces>4857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2022-06-28T08:33:00Z</dcterms:created>
  <dc:creator>小杰1412386286</dc:creator>
  <cp:lastModifiedBy>小杰1412386286</cp:lastModifiedBy>
  <dcterms:modified xsi:type="dcterms:W3CDTF">2023-09-19T10:14:38Z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749C0F0FD43C4366A9A813BAEE2CBC3F_13</vt:lpwstr>
  </property>
</Properties>
</file>