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inorEastAsia" w:hAnsiTheme="minorEastAsia"/>
          <w:b/>
          <w:color w:val="000000"/>
          <w:kern w:val="0"/>
          <w:sz w:val="48"/>
          <w:szCs w:val="48"/>
        </w:rPr>
      </w:pPr>
      <w:bookmarkStart w:id="0" w:name="_GoBack"/>
      <w:r>
        <w:rPr>
          <w:rFonts w:hint="eastAsia" w:cs="黑体" w:asciiTheme="minorEastAsia" w:hAnsiTheme="minorEastAsia"/>
          <w:b/>
          <w:color w:val="000000"/>
          <w:kern w:val="0"/>
          <w:sz w:val="48"/>
          <w:szCs w:val="48"/>
        </w:rPr>
        <w:t>2020年度部门整体支出绩效评价报告</w:t>
      </w:r>
    </w:p>
    <w:bookmarkEnd w:id="0"/>
    <w:p>
      <w:pPr>
        <w:ind w:firstLine="643" w:firstLineChars="200"/>
        <w:rPr>
          <w:rFonts w:cs="Arial"/>
          <w:b/>
          <w:bCs/>
          <w:color w:val="333333"/>
          <w:sz w:val="32"/>
          <w:szCs w:val="32"/>
        </w:rPr>
      </w:pPr>
      <w:r>
        <w:rPr>
          <w:rFonts w:hint="eastAsia" w:cs="Arial"/>
          <w:b/>
          <w:bCs/>
          <w:color w:val="333333"/>
          <w:sz w:val="32"/>
          <w:szCs w:val="32"/>
        </w:rPr>
        <w:t>一、单位概况</w:t>
      </w:r>
    </w:p>
    <w:p>
      <w:pPr>
        <w:ind w:firstLine="640" w:firstLineChars="200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（一）机构组成</w:t>
      </w:r>
    </w:p>
    <w:p>
      <w:pPr>
        <w:ind w:firstLine="640" w:firstLineChars="200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  <w:lang w:eastAsia="zh-CN"/>
        </w:rPr>
        <w:t>邵阳市</w:t>
      </w:r>
      <w:r>
        <w:rPr>
          <w:rFonts w:hint="eastAsia" w:cs="Arial"/>
          <w:color w:val="333333"/>
          <w:sz w:val="32"/>
          <w:szCs w:val="32"/>
        </w:rPr>
        <w:t>双清区退役军人事务局内设机构包括：办公室（加挂规划财务股牌子）、政工股（加挂行政审批服务股牌子）、优抚拥军褒扬股、移交安置和就业创业股。</w:t>
      </w:r>
    </w:p>
    <w:p>
      <w:pPr>
        <w:ind w:firstLine="640" w:firstLineChars="200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（二）机构职能</w:t>
      </w:r>
    </w:p>
    <w:p>
      <w:pPr>
        <w:ind w:firstLine="640" w:firstLineChars="200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1、贯彻执行党和国家关于退役军人思想政治、管理保障和安置优抚等工作政策法规，拟订全区退役军人事务发展规划和政策，并组织实施;褒扬彰显退役军人为党、国家和人民牺牲奉献的精神风范和价值导向。</w:t>
      </w:r>
    </w:p>
    <w:p>
      <w:pPr>
        <w:ind w:firstLine="640" w:firstLineChars="200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2、负责全区军队转业干部、复员干部、离休退休干部、退役士兵和无军籍退休退职职工的移交安置工作和自主择业、就业退役军人服务管理工作。</w:t>
      </w:r>
      <w:r>
        <w:rPr>
          <w:rFonts w:hint="eastAsia" w:cs="Arial"/>
          <w:color w:val="333333"/>
          <w:sz w:val="32"/>
          <w:szCs w:val="32"/>
        </w:rPr>
        <w:br w:type="textWrapping"/>
      </w:r>
      <w:r>
        <w:rPr>
          <w:rFonts w:hint="eastAsia" w:cs="Arial"/>
          <w:color w:val="333333"/>
          <w:sz w:val="32"/>
          <w:szCs w:val="32"/>
        </w:rPr>
        <w:t xml:space="preserve">    3、组织指导全区退役军人教育培训工作，协调扶持退役军人和随军随调家属就业创业。</w:t>
      </w:r>
    </w:p>
    <w:p>
      <w:pPr>
        <w:ind w:firstLine="640" w:firstLineChars="200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4、贯彻落实国家关于退役军人的特殊保障政策，会同有关部门制定相关政策，并组织实施。</w:t>
      </w:r>
    </w:p>
    <w:p>
      <w:pPr>
        <w:ind w:firstLine="640" w:firstLineChars="200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5、组织协调落实全区移交地方的离休退休军人、  符合条件的其他退役军人和无军籍退休退职职工的住房保障工作，以及退役军人医疗保障、社会保险等待遇保障工作。</w:t>
      </w:r>
    </w:p>
    <w:p>
      <w:pPr>
        <w:ind w:firstLine="640" w:firstLineChars="200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6、组织指导全区伤病残退役军人服务管理和抚恤工作，贯彻落实有关退役军人医疗、疗养、养老等机构的规划政策并指导实施。承担全区不适宜继续服役的伤病残军人相关工作。组织指导全区军供服务保障工作。</w:t>
      </w:r>
    </w:p>
    <w:p>
      <w:pPr>
        <w:ind w:firstLine="640" w:firstLineChars="200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7、组织指导全区拥军优属工作。负责全区现役军人、退役军人、军队文职人员和军属优待、抚恤等工作;贯彻执行国家关于国民党抗战老兵等有关人员优待政策并指导实施。</w:t>
      </w:r>
    </w:p>
    <w:p>
      <w:pPr>
        <w:ind w:firstLine="640" w:firstLineChars="200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8、负责全区烈士及退役军人荣誉奖励、军人公墓管理维护、纪念活动等工作，依法承担英雄烈士保护相关工作，审核拟列入全区重点保护单位的烈士纪念建筑物名录，总结表彰和宣扬退役军人、退役军人工作单位和个人先进典型事迹。</w:t>
      </w:r>
    </w:p>
    <w:p>
      <w:pPr>
        <w:ind w:firstLine="640" w:firstLineChars="200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9、指导并监督检查关于退役军人相关法律法规和政策措施的落实;开展全区退役军人权益维护和有关人员的帮扶援助工作。</w:t>
      </w:r>
    </w:p>
    <w:p>
      <w:pPr>
        <w:ind w:firstLine="640" w:firstLineChars="200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10、完成区委、区政府交办的其他任务。</w:t>
      </w:r>
    </w:p>
    <w:p>
      <w:pPr>
        <w:spacing w:line="560" w:lineRule="exact"/>
        <w:ind w:firstLine="643" w:firstLineChars="2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二、财政资金总体情况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（一）双清区退役军人事务局财政资金整体收支情况</w:t>
      </w:r>
    </w:p>
    <w:p>
      <w:pPr>
        <w:pStyle w:val="5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HAnsi" w:hAnsiTheme="minorHAnsi" w:eastAsiaTheme="minorEastAsia"/>
          <w:color w:val="333333"/>
          <w:kern w:val="2"/>
          <w:sz w:val="32"/>
          <w:szCs w:val="32"/>
          <w:lang w:val="en-US" w:eastAsia="zh-CN" w:bidi="ar-SA"/>
        </w:rPr>
        <w:t>2020年度支出预算数184.14万元。</w:t>
      </w:r>
      <w:r>
        <w:rPr>
          <w:rFonts w:hint="eastAsia" w:asciiTheme="minorEastAsia" w:hAnsiTheme="minorEastAsia" w:eastAsiaTheme="minorEastAsia"/>
          <w:sz w:val="32"/>
          <w:szCs w:val="32"/>
        </w:rPr>
        <w:t>2020年度支出合计3134.87万元，基本支出185.53万元，项目支出2011.44万元。其中一般公共服务支出1.05万元，社会保障和就业支出2948.21万元，卫生健康支出59.44万元，住房保障（类）支出8.54万元，其他支出117.63万元。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（二）双清区退役军人事务局预算编制及绩效目标设定情况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双清区退役军人事务局预算编制精心细致严谨，将有限的资金合理有效的安排，提高人民幸福获得感、保障社会稳定、促进辖区经济发展、保障机构正常运转等。主要目标包括：1、大力加强退役军人事务系统党的建设；2、加强拥军优属管理，落实军民建设措施；3、加强对涉核和带病回乡退伍军人福利管理工作；4、协调做好退役军人职业教育和技能培训；5、加强退役军人日常信访接待工作；6、加强服务中心建设。</w:t>
      </w:r>
    </w:p>
    <w:p>
      <w:pPr>
        <w:spacing w:line="560" w:lineRule="exact"/>
        <w:ind w:firstLine="643" w:firstLineChars="2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三、预算管理情况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（一）预算执行情况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1、总体执行进度：本单位当年预算支出完成率为100%。</w:t>
      </w:r>
    </w:p>
    <w:p>
      <w:pPr>
        <w:ind w:firstLine="640" w:firstLineChars="200"/>
        <w:rPr>
          <w:rFonts w:hint="eastAsia" w:cs="Arial"/>
          <w:color w:val="333333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2、</w:t>
      </w:r>
      <w:r>
        <w:rPr>
          <w:rFonts w:hint="eastAsia" w:cs="Arial"/>
          <w:color w:val="333333"/>
          <w:sz w:val="32"/>
          <w:szCs w:val="32"/>
        </w:rPr>
        <w:t>预算调整及结余结转情况。</w:t>
      </w:r>
    </w:p>
    <w:p>
      <w:pPr>
        <w:ind w:firstLine="640" w:firstLineChars="200"/>
        <w:rPr>
          <w:rFonts w:hint="eastAsia" w:cs="Arial"/>
          <w:color w:val="333333"/>
          <w:sz w:val="32"/>
          <w:szCs w:val="32"/>
          <w:lang w:val="en-US" w:eastAsia="zh-CN"/>
        </w:rPr>
      </w:pPr>
      <w:r>
        <w:rPr>
          <w:rFonts w:hint="eastAsia" w:cs="Arial"/>
          <w:color w:val="333333"/>
          <w:sz w:val="32"/>
          <w:szCs w:val="32"/>
          <w:lang w:val="en-US" w:eastAsia="zh-CN"/>
        </w:rPr>
        <w:t>(1)预算调整。本年度执行过程中一般公共预算财政拨款调整增加2012.83万元，主要用于我局2020年抚恤、退役安置、退役军人管理事务等支出。</w:t>
      </w:r>
    </w:p>
    <w:p>
      <w:pPr>
        <w:ind w:firstLine="640" w:firstLineChars="200"/>
        <w:rPr>
          <w:rFonts w:hint="eastAsia"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(2)结转结余情况。20</w:t>
      </w:r>
      <w:r>
        <w:rPr>
          <w:rFonts w:hint="eastAsia" w:cs="Arial"/>
          <w:color w:val="333333"/>
          <w:sz w:val="32"/>
          <w:szCs w:val="32"/>
          <w:lang w:val="en-US" w:eastAsia="zh-CN"/>
        </w:rPr>
        <w:t>20</w:t>
      </w:r>
      <w:r>
        <w:rPr>
          <w:rFonts w:hint="eastAsia" w:cs="Arial"/>
          <w:color w:val="333333"/>
          <w:sz w:val="32"/>
          <w:szCs w:val="32"/>
        </w:rPr>
        <w:t>年度结转结余</w:t>
      </w:r>
      <w:r>
        <w:rPr>
          <w:rFonts w:hint="eastAsia" w:cs="Arial"/>
          <w:color w:val="333333"/>
          <w:sz w:val="32"/>
          <w:szCs w:val="32"/>
          <w:lang w:val="en-US" w:eastAsia="zh-CN"/>
        </w:rPr>
        <w:t>117.67万元</w:t>
      </w:r>
      <w:r>
        <w:rPr>
          <w:rFonts w:hint="eastAsia" w:cs="Arial"/>
          <w:color w:val="333333"/>
          <w:sz w:val="32"/>
          <w:szCs w:val="32"/>
        </w:rPr>
        <w:t>。</w:t>
      </w:r>
    </w:p>
    <w:p>
      <w:pPr>
        <w:ind w:firstLine="640" w:firstLineChars="200"/>
        <w:rPr>
          <w:rFonts w:hint="eastAsia"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（二）“三公”经费管理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“三公”经费支出总额0万元，其中：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（1）无因公出国（境），年初预算0万元。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（2）公务用车购置费及运行维护费支出决算0万元</w:t>
      </w:r>
      <w:r>
        <w:rPr>
          <w:rFonts w:hint="eastAsia" w:asciiTheme="minorEastAsia" w:hAnsi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32"/>
          <w:szCs w:val="32"/>
        </w:rPr>
        <w:t>年初预算0万元。</w:t>
      </w:r>
    </w:p>
    <w:p>
      <w:pPr>
        <w:pStyle w:val="5"/>
        <w:rPr>
          <w:rFonts w:asciiTheme="minorEastAsia" w:hAnsiTheme="minorEastAsia" w:eastAsia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</w:rPr>
        <w:t xml:space="preserve">    （3）公务接待费0万元，</w:t>
      </w:r>
      <w:r>
        <w:rPr>
          <w:rFonts w:hint="eastAsia" w:asciiTheme="minorEastAsia" w:hAnsiTheme="minorEastAsia" w:eastAsiaTheme="minorEastAsia"/>
          <w:sz w:val="32"/>
          <w:szCs w:val="32"/>
        </w:rPr>
        <w:t>年初预算</w:t>
      </w:r>
      <w:r>
        <w:rPr>
          <w:rFonts w:hint="eastAsia" w:asciiTheme="minorEastAsia" w:hAnsi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/>
          <w:color w:val="000000"/>
          <w:sz w:val="32"/>
          <w:szCs w:val="32"/>
        </w:rPr>
        <w:t>（三）绩效管理情况</w:t>
      </w:r>
    </w:p>
    <w:p>
      <w:pPr>
        <w:spacing w:line="560" w:lineRule="exact"/>
        <w:ind w:firstLine="640" w:firstLineChars="200"/>
        <w:rPr>
          <w:rFonts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/>
          <w:color w:val="000000"/>
          <w:sz w:val="32"/>
          <w:szCs w:val="32"/>
        </w:rPr>
        <w:t>根据双清区退役军人事务局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>
      <w:pPr>
        <w:spacing w:line="560" w:lineRule="exact"/>
        <w:ind w:firstLine="643" w:firstLineChars="200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000000"/>
          <w:sz w:val="32"/>
          <w:szCs w:val="32"/>
        </w:rPr>
        <w:t>四、双清区退役军人事务局整体绩效情况</w:t>
      </w:r>
    </w:p>
    <w:p>
      <w:pPr>
        <w:spacing w:line="560" w:lineRule="exact"/>
        <w:ind w:firstLine="640" w:firstLineChars="200"/>
        <w:rPr>
          <w:rFonts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/>
          <w:color w:val="000000"/>
          <w:sz w:val="32"/>
          <w:szCs w:val="32"/>
        </w:rPr>
        <w:t>1、党的建设全面加强；2、退役军人工作有序开展；3、拥军优属管理工作不断加强；4、涉核和带病回乡退伍军人福利管理工作，落实建设措施；5、协调做好退役军人职业教育和技能培训；6、做好移交安置工作和退役军人服务管理工作；7、加强退役军人日常信访接待工作。</w:t>
      </w:r>
    </w:p>
    <w:p>
      <w:pPr>
        <w:spacing w:line="560" w:lineRule="exact"/>
        <w:ind w:firstLine="643" w:firstLineChars="2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五、评价结论及自评得分情况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整体绩效评价总分100分，自评得分98.20分。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（一）预算编制总分30分，自评得分29.80分。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1.“目标填报”总分4分，自评得分4分。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2.“目标完整具体”总分8分，自评得分8分。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3.“目标量化”总分8分，自评得分8分。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4.“预算编制准确性”总分5分，自评得分4.80分。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改进措施：加强沟通，仔细筹划，争取将预算工作做得更细更准。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5.“项目分类”总分3分，自评得分3分。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6.“预算编制报送时效和质量”总分2分，自评得分2分。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（二）预算管理总分55分，自评得分53.6分。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1.“预算调整”总分2分，自评得分1.8分。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改进措施：做好工作统筹，加强工作的计划性，减少预算调整事项。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2.“结余结转”总分2分，自评得分1.8分。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改进措施：提前做好工作开展的各项准备，资金到位后迅速展开工作，避免工作跨年。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3.“部门总体执行进度” 总分7分，自评得分7分。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4.“政府采购预算执行” 总分2分，自评得分2分。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5.“三公经费控制”总分2分，自评得分2分。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6.“管理制度健全性”总分2分，自评得分2分。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7.“资金使用合规性”总分3分，自评得分3分。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8．“资产信息系统建设情况”总分2分，自评得分2分。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9.“行政事业单位资产清查开展情况”总分2分，自评得分2分。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10. “行政事业单位资产报表上报情况”总分3分，自评得分3分。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11.“部门决算质量”总分3分，自评得分3分。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12.“决算账表一致性”总分2分，自评得分2分。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13.“预决算信息公开”总分2分，自评得分2分。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14.“遵纪情况”总分2分，自评得分2分。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15.“绩效评价工作开展”总分3分，自评得分3分。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16．“绩效指标构建”总分3分，自评得分2.5分。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改进措施：加强绩效指标构建的主动性，深入思考工作，构建出与单位实际情况贴切的指标，促进工作成效上台阶。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“评价结果报送”总分3分，自评得分3分。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18.“整改完成情况”总分4分，自评得分4分。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19.“绩效信息公开”总分3分，自评得分3分。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20.“绩效工作宣传”总分3分，自评得分2.5分。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改进措施：加大绩效工作宣传力度，拓宽宣传渠道，主动作为，让更多的事项参与到绩效评价工作中来，提高工作效率和效益。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（三）整体绩效总分15分，自评得分14.8分。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1.“工作任务完成”总分10分，自评得分10分。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2.“满意度”总分5分，自评得分4.8分。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改进措施：不断提高服务质量，提高工作对象的满意度。</w:t>
      </w:r>
    </w:p>
    <w:p>
      <w:pPr>
        <w:spacing w:line="560" w:lineRule="exact"/>
        <w:ind w:firstLine="643" w:firstLineChars="2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六、建议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将降低单位运行成本作为财务工作的一项重要任务，重点抓好报销标准财政收支的审核、日常办公费用的节约以及严控不必要的项目支出，厉行节约，杜绝浪费，力争通过行之有效的制度，将全年预算编制整体筹划好、执行过程把控好。</w:t>
      </w:r>
    </w:p>
    <w:p>
      <w:pPr>
        <w:pStyle w:val="2"/>
        <w:widowControl/>
        <w:spacing w:beforeAutospacing="0" w:afterAutospacing="0" w:line="560" w:lineRule="exact"/>
        <w:ind w:left="6947" w:leftChars="2964" w:hanging="723" w:hangingChars="300"/>
        <w:rPr>
          <w:rFonts w:asciiTheme="minorEastAsia" w:hAnsiTheme="minorEastAsia" w:cstheme="minorEastAsia"/>
          <w:b/>
          <w:bCs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 xml:space="preserve">                                           </w:t>
      </w:r>
    </w:p>
    <w:p>
      <w:pPr>
        <w:pStyle w:val="2"/>
        <w:widowControl/>
        <w:spacing w:beforeAutospacing="0" w:afterAutospacing="0" w:line="560" w:lineRule="exact"/>
        <w:ind w:left="4790" w:leftChars="1824" w:hanging="960" w:hangingChars="300"/>
        <w:rPr>
          <w:rFonts w:asciiTheme="minorEastAsia" w:hAnsiTheme="minorEastAsia" w:cstheme="minorEastAsia"/>
          <w:kern w:val="2"/>
          <w:sz w:val="32"/>
          <w:szCs w:val="32"/>
        </w:rPr>
      </w:pPr>
      <w:r>
        <w:rPr>
          <w:rFonts w:hint="eastAsia" w:asciiTheme="minorEastAsia" w:hAnsiTheme="minorEastAsia" w:cstheme="minorEastAsia"/>
          <w:kern w:val="2"/>
          <w:sz w:val="32"/>
          <w:szCs w:val="32"/>
        </w:rPr>
        <w:t>邵阳市双清区退役军人事务局     2021年9月17日</w:t>
      </w:r>
    </w:p>
    <w:p>
      <w:pPr>
        <w:pStyle w:val="2"/>
        <w:widowControl/>
        <w:spacing w:beforeAutospacing="0" w:afterAutospacing="0" w:line="560" w:lineRule="exact"/>
        <w:ind w:firstLine="8353" w:firstLineChars="2600"/>
        <w:rPr>
          <w:rFonts w:asciiTheme="minorEastAsia" w:hAnsiTheme="minorEastAsia" w:cstheme="minorEastAsia"/>
          <w:b/>
          <w:bCs/>
          <w:sz w:val="32"/>
          <w:szCs w:val="32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ind w:firstLine="8353" w:firstLineChars="2600"/>
        <w:rPr>
          <w:rFonts w:cs="黑体"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shd w:val="clear" w:color="auto" w:fill="FFFFFF"/>
        </w:rPr>
        <w:t xml:space="preserve">                                                                        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76C7E"/>
    <w:multiLevelType w:val="singleLevel"/>
    <w:tmpl w:val="31F76C7E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2YxOTNiODUwMmM3ZDE3OGNhOWY3NGVjNTEzYjAifQ=="/>
  </w:docVars>
  <w:rsids>
    <w:rsidRoot w:val="75B7634A"/>
    <w:rsid w:val="75B7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2022-06-27T08:50:00Z</dcterms:created>
  <dc:creator>不瘦20斤不改名</dc:creator>
  <cp:lastModifiedBy>不瘦20斤不改名</cp:lastModifiedBy>
  <dcterms:modified xsi:type="dcterms:W3CDTF">2022-06-27T08:52:08Z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03F765C04ED3456784C0AE24DC06E2CE</vt:lpwstr>
  </property>
</Properties>
</file>