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jc w:val="center"/>
        <w:textAlignment w:val="auto"/>
        <w:rPr>
          <w:rFonts w:cs="黑体" w:asciiTheme="minorEastAsia" w:hAnsiTheme="minorEastAsia"/>
          <w:b/>
          <w:color w:val="000000"/>
          <w:kern w:val="0"/>
          <w:sz w:val="48"/>
          <w:szCs w:val="48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</w:rPr>
        <w:t>202</w:t>
      </w: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  <w:lang w:val="en-US" w:eastAsia="zh-CN"/>
        </w:rPr>
        <w:t>2</w:t>
      </w:r>
      <w:r>
        <w:rPr>
          <w:rFonts w:hint="eastAsia" w:cs="黑体" w:asciiTheme="minorEastAsia" w:hAnsiTheme="minorEastAsia"/>
          <w:b/>
          <w:color w:val="000000"/>
          <w:kern w:val="0"/>
          <w:sz w:val="48"/>
          <w:szCs w:val="48"/>
        </w:rPr>
        <w:t>年度部门整体支出绩效评价报告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cs="Arial"/>
          <w:b/>
          <w:bCs/>
          <w:color w:val="333333"/>
          <w:sz w:val="32"/>
          <w:szCs w:val="32"/>
        </w:rPr>
      </w:pPr>
      <w:r>
        <w:rPr>
          <w:rFonts w:hint="eastAsia" w:cs="Arial"/>
          <w:b/>
          <w:bCs/>
          <w:color w:val="333333"/>
          <w:sz w:val="32"/>
          <w:szCs w:val="32"/>
        </w:rPr>
        <w:t>一、单位概况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（一）机构组成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  <w:lang w:eastAsia="zh-CN"/>
        </w:rPr>
        <w:t>邵阳市</w:t>
      </w:r>
      <w:r>
        <w:rPr>
          <w:rFonts w:hint="eastAsia" w:cs="Arial"/>
          <w:color w:val="333333"/>
          <w:sz w:val="32"/>
          <w:szCs w:val="32"/>
        </w:rPr>
        <w:t>双清区退役军人事务局内设机构包括：办公室（加挂规划财务股牌子）、政工股（加挂行政审批服务股牌子）、优抚拥军褒扬股、移交安置和就业创业股。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（二）机构职能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1、贯彻执行党和国家关于退役军人思想政治、管理保障和安置优抚等工作政策法规，拟订全区退役军人事务发展规划和政策，并组织实施;褒扬彰显退役军人为党、国家和人民牺牲奉献的精神风范和价值导向。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2、负责全区军队转业干部、复员干部、离休退休干部、退役士兵和无军籍退休退职职工的移交安置工作和自主择业、就业退役军人服务管理工作。</w:t>
      </w:r>
      <w:r>
        <w:rPr>
          <w:rFonts w:hint="eastAsia" w:cs="Arial"/>
          <w:color w:val="333333"/>
          <w:sz w:val="32"/>
          <w:szCs w:val="32"/>
        </w:rPr>
        <w:br w:type="textWrapping"/>
      </w:r>
      <w:r>
        <w:rPr>
          <w:rFonts w:hint="eastAsia" w:cs="Arial"/>
          <w:color w:val="333333"/>
          <w:sz w:val="32"/>
          <w:szCs w:val="32"/>
        </w:rPr>
        <w:t xml:space="preserve">    3、组织指导全区退役军人教育培训工作，协调扶持退役军人和随军随调家属就业创业。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4、贯彻落实国家关于退役军人的特殊保障政策，会同有关部门制定相关政策，并组织实施。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5、组织协调落实全区移交地方的离休退休军人、  符合条件的其他退役军人和无军籍退休退职职工的住房保障工作，以及退役军人医疗保障、社会保险等待遇保障工作。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6、组织指导全区伤病残退役军人服务管理和抚恤工作，贯彻落实有关退役军人医疗、疗养、养老等机构的规划政策并指导实施。承担全区不适宜继续服役的伤病残军人相关工作。组织指导全区军供服务保障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7、组织指导全区拥军优属工作。负责全区现役军人、退役军人、军队文职人员和军属优待、抚恤等工作;贯彻执行国家关于国民党抗战老兵等有关人员优待政策并指导实施。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8、负责全区烈士及退役军人荣誉奖励、军人公墓管理维护、纪念活动等工作，依法承担英雄烈士保护相关工作，审核拟列入全区重点保护单位的烈士纪念建筑物名录，总结表彰和宣扬退役军人、退役军人工作单位和个人先进典型事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9、指导并监督检查关于退役军人相关法律法规和政策措施的落实;开展全区退役军人权益维护和有关人员的帮扶援助工作。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10、完成区委、区政府交办的其他任务。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二、财政资金总体情况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（一）双清区退役军人事务局财政资金整体收支情况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32"/>
          <w:szCs w:val="32"/>
        </w:rPr>
        <w:t>年预算安排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252.44</w:t>
      </w:r>
      <w:r>
        <w:rPr>
          <w:rFonts w:hint="eastAsia" w:asciiTheme="minorEastAsia" w:hAnsiTheme="minorEastAsia" w:eastAsiaTheme="minorEastAsia"/>
          <w:sz w:val="32"/>
          <w:szCs w:val="32"/>
        </w:rPr>
        <w:t>万元，基本支出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180.34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72.1</w:t>
      </w:r>
      <w:r>
        <w:rPr>
          <w:rFonts w:hint="eastAsia" w:asciiTheme="minorEastAsia" w:hAnsiTheme="minorEastAsia" w:eastAsiaTheme="minorEastAsia"/>
          <w:sz w:val="32"/>
          <w:szCs w:val="32"/>
        </w:rPr>
        <w:t>万元。其中一般公共预算财政拨款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252.44</w:t>
      </w:r>
      <w:r>
        <w:rPr>
          <w:rFonts w:hint="eastAsia" w:asciiTheme="minorEastAsia" w:hAnsiTheme="minorEastAsia" w:eastAsiaTheme="minorEastAsia"/>
          <w:sz w:val="32"/>
          <w:szCs w:val="32"/>
        </w:rPr>
        <w:t>万元，政府性基金预算财政拨款0万元。社会保障和就业支出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232.08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万元，卫生健康支出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9.27</w:t>
      </w:r>
      <w:r>
        <w:rPr>
          <w:rFonts w:hint="eastAsia" w:asciiTheme="minorEastAsia" w:hAnsiTheme="minorEastAsia" w:eastAsiaTheme="minorEastAsia"/>
          <w:sz w:val="32"/>
          <w:szCs w:val="32"/>
        </w:rPr>
        <w:t>万元，住房保障支出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11.09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（二）双清区退役军人事务局预算编制及绩效目标设定情况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双清区退役军人事务局预算编制精心细致严谨，将有限的资金合理有效的安排，提高人民幸福获得感、保障社会稳定、促进辖区经济发展、保障机构正常运转等。主要目标包括：1、大力加强退役军人事务系统党的建设；2、加强拥军优属管理，落实军民建设措施；3、加强对涉核和带病回乡退伍军人福利管理工作；4、协调做好退役军人职业教育和技能培训；5、加强退役军人日常信访接待工作；6、加强服务中心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三、预算管理情况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（一）预算执行情况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1、总体执行进度：本单位当年预算支出完成率为100%。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2、</w:t>
      </w:r>
      <w:r>
        <w:rPr>
          <w:rFonts w:hint="eastAsia" w:cs="Arial"/>
          <w:color w:val="333333"/>
          <w:sz w:val="32"/>
          <w:szCs w:val="32"/>
        </w:rPr>
        <w:t>预算调整及结余结转情况。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  <w:lang w:val="en-US" w:eastAsia="zh-CN"/>
        </w:rPr>
      </w:pPr>
      <w:r>
        <w:rPr>
          <w:rFonts w:hint="eastAsia" w:cs="Arial"/>
          <w:color w:val="333333"/>
          <w:sz w:val="32"/>
          <w:szCs w:val="32"/>
          <w:lang w:val="en-US" w:eastAsia="zh-CN"/>
        </w:rPr>
        <w:t>(1)预算调整。本年度执行过程中一般公共预算财政拨款调整增加至2967.24万元，主要用于我局2022年抚恤、退役安置、退役军人管理事务等支出。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(2)结转结余情况。20</w:t>
      </w:r>
      <w:r>
        <w:rPr>
          <w:rFonts w:hint="eastAsia" w:cs="Arial"/>
          <w:color w:val="333333"/>
          <w:sz w:val="32"/>
          <w:szCs w:val="32"/>
          <w:lang w:val="en-US" w:eastAsia="zh-CN"/>
        </w:rPr>
        <w:t>22</w:t>
      </w:r>
      <w:r>
        <w:rPr>
          <w:rFonts w:hint="eastAsia" w:cs="Arial"/>
          <w:color w:val="333333"/>
          <w:sz w:val="32"/>
          <w:szCs w:val="32"/>
        </w:rPr>
        <w:t>年度结转结余</w:t>
      </w:r>
      <w:r>
        <w:rPr>
          <w:rFonts w:hint="eastAsia" w:cs="Arial"/>
          <w:color w:val="333333"/>
          <w:sz w:val="32"/>
          <w:szCs w:val="32"/>
          <w:lang w:val="en-US" w:eastAsia="zh-CN"/>
        </w:rPr>
        <w:t>479.58万元</w:t>
      </w:r>
      <w:r>
        <w:rPr>
          <w:rFonts w:hint="eastAsia" w:cs="Arial"/>
          <w:color w:val="333333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cs="Arial"/>
          <w:color w:val="333333"/>
          <w:sz w:val="32"/>
          <w:szCs w:val="32"/>
        </w:rPr>
      </w:pPr>
      <w:r>
        <w:rPr>
          <w:rFonts w:hint="eastAsia" w:cs="Arial"/>
          <w:color w:val="333333"/>
          <w:sz w:val="32"/>
          <w:szCs w:val="32"/>
        </w:rPr>
        <w:t>（二）“三公”经费管理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“三公”经费支出总额0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.23</w:t>
      </w:r>
      <w:r>
        <w:rPr>
          <w:rFonts w:hint="eastAsia" w:asciiTheme="minorEastAsia" w:hAnsiTheme="minorEastAsia"/>
          <w:sz w:val="32"/>
          <w:szCs w:val="3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（1）无因公出国（境），年初无预算，与上年决算数持平。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（2）公务用车购置费及运行维护费支出决算0万元，与上年决算数持平。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420"/>
        <w:textAlignment w:val="auto"/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（3）公务接待费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 w:bidi="ar-SA"/>
        </w:rPr>
        <w:t>0.23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万元，较上年决算增加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 w:bidi="ar-SA"/>
        </w:rPr>
        <w:t>0.04</w:t>
      </w: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  <w:lang w:val="en-US" w:eastAsia="zh-CN" w:bidi="ar-SA"/>
        </w:rPr>
        <w:t>万元，变动原因为接待其他县市单位交流学习。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kern w:val="2"/>
          <w:sz w:val="32"/>
          <w:szCs w:val="32"/>
        </w:rPr>
        <w:t xml:space="preserve">    </w:t>
      </w:r>
      <w:r>
        <w:rPr>
          <w:rFonts w:hint="eastAsia" w:asciiTheme="minorEastAsia" w:hAnsiTheme="minorEastAsia"/>
          <w:color w:val="000000"/>
          <w:sz w:val="32"/>
          <w:szCs w:val="32"/>
        </w:rPr>
        <w:t>（三）绩效管理情况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根据双清区退役军人事务局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/>
          <w:b/>
          <w:bCs/>
          <w:color w:val="000000"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</w:rPr>
        <w:t>四、双清区退役军人事务局整体绩效情况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/>
          <w:color w:val="000000"/>
          <w:sz w:val="32"/>
          <w:szCs w:val="32"/>
        </w:rPr>
        <w:t>1、党的建设全面加强；2、退役军人工作有序开展；3、拥军优属管理工作不断加强；4、涉核和带病回乡退伍军人福利管理工作，落实建设措施；5、协调做好退役军人职业教育和技能培训；6、做好移交安置工作和退役军人服务管理工作；7、加强退役军人日常信访接待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五、评价结论及自评得分情况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整体绩效评价总分100分，自评得分9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6.80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（一）预算编制总分30分，自评得分29分。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1.“目标填报”总分4分，自评得分4分。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2.“目标完整具体”总分8分，自评得分8分。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3.“目标量化”总分8分，自评得分8分。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4.“预算编制准确性”总分5分，自评得分4分。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改进措施：加强沟通，仔细筹划，争取将预算工作做得更细更准。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5.“项目分类”总分3分，自评得分3分。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6.“预算编制报送时效和质量”总分2分，自评得分2分。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（二）预算管理总分55分，自评得分53分。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1.“预算调整”总分2分，自评得分1.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改进措施：做好工作统筹，加强工作的计划性，减少预算调整事项。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2.“结余结转”总分2分，自评得分1.8分。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改进措施：提前做好工作开展的各项准备，资金到位后迅速展开工作，避免工作跨年。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3.“部门总体执行进度” 总分7分，自评得分7分。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4.“政府采购预算执行” 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5.“三公经费控制”总分2分，自评得分2分。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6.“管理制度健全性”总分2分，自评得分2分。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7.“资金使用合规性”总分3分，自评得分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2.7</w:t>
      </w:r>
      <w:r>
        <w:rPr>
          <w:rFonts w:hint="eastAsia" w:asciiTheme="minorEastAsia" w:hAnsiTheme="minorEastAsia" w:cstheme="minorEastAsia"/>
          <w:sz w:val="32"/>
          <w:szCs w:val="32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改进措施：加强资金的管理，做到资金的专款专用，及时发放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8．“资产信息系统建设情况”总分2分，自评得分2分。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9.“行政事业单位资产清查开展情况”总分2分，自评得分2分。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10. “行政事业单位资产报表上报情况”总分3分，自评得分3分。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11.“部门决算质量”总分3分，自评得分3分。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12.“决算账表一致性”总分2分，自评得分2分。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13.“预决算信息公开”总分2分，自评得分2分。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14.“遵纪情况”总分2分，自评得分2分。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15.“绩效评价工作开展”总分3分，自评得分3分。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16．“绩效指标构建”总分3分，自评得分2.5分。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改进措施：加强绩效指标构建的主动性，深入思考工作，构建出与单位实际情况贴切的指标，促进工作成效上台阶。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“评价结果报送”总分3分，自评得分3分。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18.“整改完成情况”总分4分，自评得分4分。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19.“绩效信息公开”总分3分，自评得分3分。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20.“绩效工作宣传”总分3分，自评得分2.5分。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改进措施：加大绩效工作宣传力度，拓宽宣传渠道，主动作为，让更多的事项参与到绩效评价工作中来，提高工作效率和效益。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（三）整体绩效总分15分，自评得分14.8分。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1.“工作任务完成”总分10分，自评得分10分。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2.“满意度”总分5分，自评得分4.8分。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改进措施：不断提高服务质量，提高工作对象的满意度。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3" w:firstLineChars="200"/>
        <w:textAlignment w:val="auto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六、建议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将降低单位运行成本作为财务工作的一项重要任务，重点抓好报销标准财政收支的审核、日常办公费用的节约以及严控不必要的项目支出，厉行节约，杜绝浪费，力争通过行之有效的制度，将全年预算编制整体筹划好、执行过程把控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left="6947" w:leftChars="2964" w:hanging="723" w:hangingChars="300"/>
        <w:textAlignment w:val="auto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hd w:val="clear" w:color="auto" w:fill="FFFFFF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left="4790" w:leftChars="1824" w:hanging="960" w:hangingChars="300"/>
        <w:textAlignment w:val="auto"/>
        <w:rPr>
          <w:rFonts w:asciiTheme="minorEastAsia" w:hAnsi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cstheme="minorEastAsia"/>
          <w:kern w:val="2"/>
          <w:sz w:val="32"/>
          <w:szCs w:val="32"/>
        </w:rPr>
        <w:t>邵阳市双清区退役军人事务局     202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2"/>
          <w:sz w:val="32"/>
          <w:szCs w:val="32"/>
        </w:rPr>
        <w:t>年9月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/>
        </w:rPr>
        <w:t>15</w:t>
      </w:r>
      <w:r>
        <w:rPr>
          <w:rFonts w:hint="eastAsia" w:asciiTheme="minorEastAsia" w:hAnsiTheme="minorEastAsia" w:cstheme="minorEastAsia"/>
          <w:kern w:val="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8353" w:firstLineChars="2600"/>
        <w:textAlignment w:val="auto"/>
        <w:rPr>
          <w:rFonts w:asciiTheme="minorEastAsia" w:hAnsiTheme="minorEastAsia" w:cstheme="minorEastAsia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8353" w:firstLineChars="2600"/>
        <w:textAlignment w:val="auto"/>
        <w:rPr>
          <w:rFonts w:cs="黑体" w:asciiTheme="minorEastAsia" w:hAnsiTheme="minorEastAsia"/>
          <w:color w:val="00000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shd w:val="clear" w:color="auto" w:fill="FFFFFF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F76C7E"/>
    <w:multiLevelType w:val="singleLevel"/>
    <w:tmpl w:val="31F76C7E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2YxOTNiODUwMmM3ZDE3OGNhOWY3NGVjNTEzYjAifQ=="/>
  </w:docVars>
  <w:rsids>
    <w:rsidRoot w:val="75B7634A"/>
    <w:rsid w:val="07E01DA1"/>
    <w:rsid w:val="11F80304"/>
    <w:rsid w:val="257460AC"/>
    <w:rsid w:val="2DCF003E"/>
    <w:rsid w:val="32626B26"/>
    <w:rsid w:val="473768F4"/>
    <w:rsid w:val="610164CF"/>
    <w:rsid w:val="75B7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2715</Words>
  <Characters>2856</Characters>
  <Lines>0</Lines>
  <Paragraphs>0</Paragraphs>
  <TotalTime>13</TotalTime>
  <ScaleCrop>false</ScaleCrop>
  <LinksUpToDate>false</LinksUpToDate>
  <CharactersWithSpaces>2990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2022-06-27T08:50:00Z</dcterms:created>
  <dc:creator>不瘦20斤不改名</dc:creator>
  <cp:lastModifiedBy>Administrator</cp:lastModifiedBy>
  <dcterms:modified xsi:type="dcterms:W3CDTF">2023-09-15T02:10:58Z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F875749DB7E04B8F97A8C98D77F6CD65_13</vt:lpwstr>
  </property>
</Properties>
</file>