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44"/>
          <w:szCs w:val="44"/>
        </w:rPr>
        <w:t>双清区</w:t>
      </w:r>
      <w:r>
        <w:rPr>
          <w:rFonts w:hint="eastAsia" w:ascii="黑体" w:hAnsi="黑体" w:eastAsia="黑体"/>
          <w:b/>
          <w:bCs/>
          <w:sz w:val="44"/>
          <w:szCs w:val="44"/>
          <w:lang w:eastAsia="zh-CN"/>
        </w:rPr>
        <w:t>小江湖</w:t>
      </w:r>
      <w:r>
        <w:rPr>
          <w:rFonts w:hint="eastAsia" w:ascii="黑体" w:hAnsi="黑体" w:eastAsia="黑体"/>
          <w:b/>
          <w:bCs/>
          <w:sz w:val="44"/>
          <w:szCs w:val="44"/>
        </w:rPr>
        <w:t>街道办事处202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44"/>
          <w:szCs w:val="44"/>
        </w:rPr>
        <w:t>年度</w:t>
      </w:r>
    </w:p>
    <w:p>
      <w:pPr>
        <w:ind w:firstLine="883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>部门整体支出绩效评价报告</w:t>
      </w:r>
    </w:p>
    <w:bookmarkEnd w:id="0"/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一、单位概况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（一）机构组成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邵阳市双清区小江湖街道办事处内设股室1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个，分别为：党政综合办公室、财税所、基层党建办公室、经济发展办公室、城市管理办公室、公共服务办公室、公共安全办公室、街道文化综合服务中心、网格化综合服务中心、综合行政执法大队、街道政务服务中心、退役军人服务站。办事处管辖8个社区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（二）机构职能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小江湖</w:t>
      </w:r>
      <w:r>
        <w:rPr>
          <w:rFonts w:hint="eastAsia" w:ascii="仿宋" w:hAnsi="仿宋" w:eastAsia="仿宋"/>
          <w:sz w:val="30"/>
          <w:szCs w:val="30"/>
        </w:rPr>
        <w:t>街道办事处是行政单位性质的单位，上级部门是双清区人民政府。主要职责包括：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1、贯彻执行党和国家的路线方针、政策以及市、区关于街道工作方面的指示，制订具体的管理办法并组织实施。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2、指导、搞好辖区内村（居）委会的工作，支持、帮助村（居）民委员会加强思想、组织、制度建设，向区人民政府和有关部门及时反映村（居）民的意见、建议和要求。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 3、抓好村（社区）文化建设，开展文明街道、文明单位，文明小区建设活动，组织村（居）民开展经常性的文化、娱乐、体育活动。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4、负责街道的人民调解、治安保卫工作，加强对违法青少年的帮教转化，保护老人、妇女、儿童的合法权益。</w:t>
      </w:r>
    </w:p>
    <w:p>
      <w:pPr>
        <w:ind w:firstLine="600" w:firstLineChars="200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 5、协助有关部门做好辖区拥军优属、优抚安置、社会救济、殡葬改革、残疾人就业等工作；积极开展便民利民的村（社区）服务和教育工作。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6、会同有关部门做好辖区内常住和流动人口的管理及计划生育工作，完成区下达的各项计划生育指标任务。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7、协助武装部门做好辖区民兵训练和公民服兵役工作。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8、负责在辖区开展普法教育工作，做好民事调解，开展法律咨询、服务等工作，维护居民的合法权益，搞好辖区内社会管理综合治理工作。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  9、负责本辖区的城市管理工作，发动群众开展爱国卫生运动，绿化、美化、净化城市环境，协助有关部门做好环境卫生、环境保护工作。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10、负责本辖区的综合执法工作，维护辖区的良好秩序。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11、负责研究辖区经济发展的规划，协助有关部门抓好安全生产工作。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12、配合有关部门做好辖区内的三防、抢险救灾、安全生产检查、居民迁移等工作。</w:t>
      </w:r>
      <w:r>
        <w:rPr>
          <w:rFonts w:hint="eastAsia"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30"/>
          <w:szCs w:val="30"/>
        </w:rPr>
        <w:t>   13、承办区委、区政府交办的其他工作。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二、财政资金总体情况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（一）街道财政资金整体收支情况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2022</w:t>
      </w:r>
      <w:r>
        <w:rPr>
          <w:rFonts w:hint="eastAsia" w:ascii="仿宋" w:hAnsi="仿宋" w:eastAsia="仿宋"/>
          <w:sz w:val="30"/>
          <w:szCs w:val="30"/>
        </w:rPr>
        <w:t>年预算安排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888.07</w:t>
      </w:r>
      <w:r>
        <w:rPr>
          <w:rFonts w:hint="eastAsia" w:ascii="仿宋" w:hAnsi="仿宋" w:eastAsia="仿宋"/>
          <w:sz w:val="30"/>
          <w:szCs w:val="30"/>
        </w:rPr>
        <w:t>万元，基本支出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888.07</w:t>
      </w:r>
      <w:r>
        <w:rPr>
          <w:rFonts w:hint="eastAsia" w:ascii="仿宋" w:hAnsi="仿宋" w:eastAsia="仿宋"/>
          <w:sz w:val="30"/>
          <w:szCs w:val="30"/>
        </w:rPr>
        <w:t>万元，项目支出0万元。其中一般公共服务支出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455.81</w:t>
      </w:r>
      <w:r>
        <w:rPr>
          <w:rFonts w:hint="eastAsia" w:ascii="仿宋" w:hAnsi="仿宋" w:eastAsia="仿宋"/>
          <w:sz w:val="30"/>
          <w:szCs w:val="30"/>
        </w:rPr>
        <w:t>万元，社会保障与就业支出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333.82</w:t>
      </w:r>
      <w:r>
        <w:rPr>
          <w:rFonts w:hint="eastAsia" w:ascii="仿宋" w:hAnsi="仿宋" w:eastAsia="仿宋"/>
          <w:sz w:val="30"/>
          <w:szCs w:val="30"/>
        </w:rPr>
        <w:t>万元，卫生健康支出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51.25</w:t>
      </w:r>
      <w:r>
        <w:rPr>
          <w:rFonts w:hint="eastAsia" w:ascii="仿宋" w:hAnsi="仿宋" w:eastAsia="仿宋"/>
          <w:sz w:val="30"/>
          <w:szCs w:val="30"/>
        </w:rPr>
        <w:t>万元，住房保障支出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47.19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（二）街道预算编制及绩效目标设定情况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街道预算编制精心细致严谨，将有限的资金安排到关系民生提高人民幸福获得感、保障社会稳定、促进辖区经济发展、保障机构正常运转等方面。主要目标包括：1.保障辖区环境卫生质量；2..合理运用社区公共服务保障资金，为辖区居民做好公共服务；3.保障办事处基本运行与各项工作的顺利开展；4.保障基层各级党组织的健全运转；5.做好做细城市管理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三、预算管理情况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（一）预算执行情况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1、总体执行进度：本单位当年预算支出完成率为100%。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2、预算调整及结余结转情况。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(1)预算调整。年度执行过程中一般公共预算财政拨款调整增加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295.7</w:t>
      </w:r>
      <w:r>
        <w:rPr>
          <w:rFonts w:hint="eastAsia" w:ascii="仿宋" w:hAnsi="仿宋" w:eastAsia="仿宋"/>
          <w:sz w:val="30"/>
          <w:szCs w:val="30"/>
        </w:rPr>
        <w:t>万元，主要用于我办</w:t>
      </w:r>
      <w:r>
        <w:rPr>
          <w:rFonts w:hint="eastAsia" w:ascii="仿宋" w:hAnsi="仿宋" w:eastAsia="仿宋"/>
          <w:sz w:val="30"/>
          <w:szCs w:val="30"/>
          <w:lang w:eastAsia="zh-CN"/>
        </w:rPr>
        <w:t>2022</w:t>
      </w:r>
      <w:r>
        <w:rPr>
          <w:rFonts w:hint="eastAsia" w:ascii="仿宋" w:hAnsi="仿宋" w:eastAsia="仿宋"/>
          <w:sz w:val="30"/>
          <w:szCs w:val="30"/>
        </w:rPr>
        <w:t>年工资福利、住房公积金、医社保、基本建设、环境保护、城乡卫生、社会保障和就业、创全国文明城市等经费支出。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(2)结转结余情况。</w:t>
      </w:r>
      <w:r>
        <w:rPr>
          <w:rFonts w:hint="eastAsia" w:ascii="仿宋" w:hAnsi="仿宋" w:eastAsia="仿宋"/>
          <w:sz w:val="30"/>
          <w:szCs w:val="30"/>
          <w:lang w:eastAsia="zh-CN"/>
        </w:rPr>
        <w:t>2022</w:t>
      </w:r>
      <w:r>
        <w:rPr>
          <w:rFonts w:hint="eastAsia" w:ascii="仿宋" w:hAnsi="仿宋" w:eastAsia="仿宋"/>
          <w:sz w:val="30"/>
          <w:szCs w:val="30"/>
        </w:rPr>
        <w:t>年度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无</w:t>
      </w:r>
      <w:r>
        <w:rPr>
          <w:rFonts w:hint="eastAsia" w:ascii="仿宋" w:hAnsi="仿宋" w:eastAsia="仿宋"/>
          <w:sz w:val="30"/>
          <w:szCs w:val="30"/>
        </w:rPr>
        <w:t>结转结余。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（二）“三公”经费管理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“三公”经费支出总额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万元，其中：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（1）无因公出国（境），年初无预算，与上年决算数持平。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（2）现公务用车保有量1辆，</w:t>
      </w:r>
      <w:r>
        <w:rPr>
          <w:rFonts w:hint="eastAsia" w:ascii="仿宋" w:hAnsi="仿宋" w:eastAsia="仿宋"/>
          <w:sz w:val="30"/>
          <w:szCs w:val="30"/>
          <w:lang w:eastAsia="zh-CN"/>
        </w:rPr>
        <w:t>2022</w:t>
      </w:r>
      <w:r>
        <w:rPr>
          <w:rFonts w:hint="eastAsia" w:ascii="仿宋" w:hAnsi="仿宋" w:eastAsia="仿宋"/>
          <w:sz w:val="30"/>
          <w:szCs w:val="30"/>
        </w:rPr>
        <w:t>年公务用车运行费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万元，相较上年决算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0.81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增加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0.19</w:t>
      </w:r>
      <w:r>
        <w:rPr>
          <w:rFonts w:hint="eastAsia" w:ascii="仿宋" w:hAnsi="仿宋" w:eastAsia="仿宋"/>
          <w:sz w:val="30"/>
          <w:szCs w:val="30"/>
        </w:rPr>
        <w:t>万元。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（3）公务接待费0万元，较上年决算0万元，变动原因为未发生招待费用。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（三）绩效管理情况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街道实际情况实施绩效管理，按规定组织和开展绩效评价，工作内容包括本部门的自评、完成本部门绩效评价报告与佐证、对各项目都进行了绩效评价，积极加强绩效管理与落实。通过加强绩效评价工作的指导和督导，提高了资金使用的效率和效益，让工作留下了痕迹，同时也产生了许多宝贵的经验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四、街道整体绩效情况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是配足配强改革工作力量。成立由街道党工委书记牵头，各科室及社区参加的街道全面深化改革工作领导小组，统筹全面深改工作；制定街道全面深化改革工作方案，明确任分工；建立月分析、季汇总的工作机制，抓好任务推进。二是强化中央、省、市、区委重要改革部署及要求。组织街道全面深化改革工作动员部署会1次，按照要求组织相关人员学习4次，围绕干部关心激励、税收等6个方面组织调查研究并形成调研成果；分管副书记每月召集会议强化工作推进。三是注重优化举措，积极推动辖区改革创新工作，形成工作亮点。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五、评价结论及自评得分情况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整体绩效评价总分100分，自评得分95.4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（一）预算编制总分30分，自评得分29.87分。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1.“目标填报”总分4分，自评得分4分。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2.“目标完整具体”总分8分，自评得分8分。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3.“目标量化”总分8分，自评得分8分。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4.“预算编制准确性”总分5分，自评得分4.87分。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改进措施：加强沟通，仔细筹划，争取将预算工作做得更细更准。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5.“项目分类”总分3分，自评得分3分。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6.“预算编制报送时效和质量”总分2分，自评得分2分。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（二）预算管理总分55分，自评得分5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.77分。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1.“预算调整”总分2分，自评得分1.9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改进措施：做好工作统筹，加强工作的计划性，减少预算调整事项。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2.“结余结转”总分2分，自评得分1.8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改进措施：提前做好工作开展的各项准备，资金到位后迅速展开工作，避免工作跨年。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3.“部门总体执行进度” 总分7分，自评得分7分。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4.“政府采购预算执行” 总分2分，自评得分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5.“三公经费控制”总分2分，自评得分2分。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6.“管理制度健全性”总分2分，自评得分2分。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7.“资金使用合规性”总分3分，自评得分3分。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8．“资产信息系统建设情况”总分2分，自评得分2分。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9.“行政事业单位资产清查开展情况”总分2分，自评得分2分。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 “行政事业单位资产报表上报情况”总分2分，自评得分2分。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11.“部门决算质量”总分3分，自评得分3分。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12.“决算账表一致性”总分2分，自评得分2分。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13.“预决算信息公开”总分2分，自评得分2分。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14.“遵纪情况”总分2分，自评得分2分。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15.“绩效评价工作开展”总分3分，自评得分3分。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16．“绩效指标构建”总分1分，自评得分0分。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改进措施：加强绩效指标构建的主动性，深入思考工作，构建出与单位实际情况贴切的指标，促进工作成效上台阶。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17.“评价结果报送”总分2分，自评得分2分。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18.“整改完成情况”总分4分，自评得分4分。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19.“绩效信息公开”总分3分，自评得分3分。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20.“绩效工作宣传”总分3分，自评得分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改进措施：加大绩效工作宣传力度，拓宽宣传渠道，主动作为，让更多的事项参与到绩效评价工作中来，提高工作效率和效益。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（三）整体绩效总分15分，自评得分1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1.“工作任务完成”总分10分，自评得分10分。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2.“满意度”总分5分，自评得分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.8分。</w:t>
      </w:r>
    </w:p>
    <w:p>
      <w:pPr>
        <w:ind w:firstLine="600" w:firstLineChars="200"/>
        <w:jc w:val="left"/>
        <w:rPr>
          <w:rFonts w:hint="default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改进措施：不断提高服务质量，提高工作对象的满意度。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六、建议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将降低单位运行成本作为财务工作的一项重要任务，重点抓好报销标准的审核、日常办公费用的节约以及严控不必要的项目支出，力争通过行之有效的制度，将全年预算编制整体筹划好、执行过程把控好。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双清区</w:t>
      </w:r>
      <w:r>
        <w:rPr>
          <w:rFonts w:hint="eastAsia" w:ascii="仿宋" w:hAnsi="仿宋" w:eastAsia="仿宋"/>
          <w:sz w:val="30"/>
          <w:szCs w:val="30"/>
          <w:lang w:eastAsia="zh-CN"/>
        </w:rPr>
        <w:t>小江湖</w:t>
      </w:r>
      <w:r>
        <w:rPr>
          <w:rFonts w:hint="eastAsia" w:ascii="仿宋" w:hAnsi="仿宋" w:eastAsia="仿宋"/>
          <w:sz w:val="30"/>
          <w:szCs w:val="30"/>
        </w:rPr>
        <w:t>街道办事处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年9月15日</w:t>
      </w:r>
    </w:p>
    <w:p>
      <w:pPr>
        <w:ind w:firstLine="600" w:firstLineChars="200"/>
        <w:jc w:val="right"/>
        <w:rPr>
          <w:rFonts w:ascii="仿宋" w:hAnsi="仿宋" w:eastAsia="仿宋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ind w:firstLine="600" w:firstLineChars="200"/>
        <w:jc w:val="right"/>
        <w:rPr>
          <w:rFonts w:hint="eastAsia" w:ascii="仿宋" w:hAnsi="仿宋" w:eastAsia="仿宋"/>
          <w:color w:val="00000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YTlkOGQwNjY5YzY0YTRjNDQ3OTI4OWI2MzM5YTkifQ=="/>
  </w:docVars>
  <w:rsids>
    <w:rsidRoot w:val="007760D9"/>
    <w:rsid w:val="000618C8"/>
    <w:rsid w:val="0054740E"/>
    <w:rsid w:val="006D5FAF"/>
    <w:rsid w:val="007760D9"/>
    <w:rsid w:val="00997FF2"/>
    <w:rsid w:val="009A4E31"/>
    <w:rsid w:val="00A83E7B"/>
    <w:rsid w:val="00CF090F"/>
    <w:rsid w:val="00D06590"/>
    <w:rsid w:val="00DC358E"/>
    <w:rsid w:val="00DE3F9B"/>
    <w:rsid w:val="00FA0C1D"/>
    <w:rsid w:val="030255E3"/>
    <w:rsid w:val="33E3258B"/>
    <w:rsid w:val="375B0062"/>
    <w:rsid w:val="38215DEB"/>
    <w:rsid w:val="55DB7174"/>
    <w:rsid w:val="759B78C1"/>
    <w:rsid w:val="7A49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kern w:val="2"/>
      <w:sz w:val="21"/>
      <w:szCs w:val="22"/>
    </w:rPr>
  </w:style>
  <w:style w:type="character" w:customStyle="1" w:styleId="11">
    <w:name w:val="peoplefill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2889</Words>
  <Characters>3054</Characters>
  <Lines>28</Lines>
  <Paragraphs>7</Paragraphs>
  <TotalTime>3</TotalTime>
  <ScaleCrop>false</ScaleCrop>
  <LinksUpToDate>false</LinksUpToDate>
  <CharactersWithSpaces>3066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2022-09-28T03:32:00Z</dcterms:created>
  <dc:creator>Administrator</dc:creator>
  <cp:lastModifiedBy>Administrator</cp:lastModifiedBy>
  <cp:lastPrinted>2023-09-19T07:30:05Z</cp:lastPrinted>
  <dcterms:modified xsi:type="dcterms:W3CDTF">2023-09-19T07:43:21Z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B626D9156A804ACA85FC3A11CC4A35E2</vt:lpwstr>
  </property>
</Properties>
</file>